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8E" w:rsidRPr="007F2866" w:rsidRDefault="00E70BED" w:rsidP="00DE68D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Riding the Tide: Student</w:t>
      </w:r>
      <w:r w:rsidR="00DE68D6" w:rsidRPr="007F2866">
        <w:rPr>
          <w:rFonts w:ascii="Times New Roman" w:hAnsi="Times New Roman" w:cs="Times New Roman"/>
          <w:b/>
          <w:sz w:val="24"/>
          <w:szCs w:val="24"/>
        </w:rPr>
        <w:t xml:space="preserve"> Mobility in Cross Border Education</w:t>
      </w:r>
    </w:p>
    <w:p w:rsidR="00DE68D6" w:rsidRPr="007F2866" w:rsidRDefault="00DE68D6" w:rsidP="00DE68D6">
      <w:pPr>
        <w:spacing w:after="0" w:line="240" w:lineRule="auto"/>
        <w:jc w:val="center"/>
        <w:rPr>
          <w:rFonts w:ascii="Times New Roman" w:hAnsi="Times New Roman" w:cs="Times New Roman"/>
          <w:sz w:val="24"/>
          <w:szCs w:val="24"/>
        </w:rPr>
      </w:pPr>
      <w:r w:rsidRPr="007F2866">
        <w:rPr>
          <w:rFonts w:ascii="Times New Roman" w:hAnsi="Times New Roman" w:cs="Times New Roman"/>
          <w:sz w:val="24"/>
          <w:szCs w:val="24"/>
        </w:rPr>
        <w:t>Djoko Santoso</w:t>
      </w:r>
    </w:p>
    <w:p w:rsidR="00DE68D6" w:rsidRPr="007F2866" w:rsidRDefault="00DE68D6" w:rsidP="00DE68D6">
      <w:pPr>
        <w:spacing w:after="0" w:line="240" w:lineRule="auto"/>
        <w:jc w:val="center"/>
        <w:rPr>
          <w:rFonts w:ascii="Times New Roman" w:hAnsi="Times New Roman" w:cs="Times New Roman"/>
          <w:sz w:val="24"/>
          <w:szCs w:val="24"/>
        </w:rPr>
      </w:pPr>
      <w:r w:rsidRPr="007F2866">
        <w:rPr>
          <w:rFonts w:ascii="Times New Roman" w:hAnsi="Times New Roman" w:cs="Times New Roman"/>
          <w:sz w:val="24"/>
          <w:szCs w:val="24"/>
        </w:rPr>
        <w:t>Director General of Higher Education, Ministry of Education and Culture, Indonesia</w:t>
      </w:r>
    </w:p>
    <w:p w:rsidR="00DE68D6" w:rsidRPr="007F2866" w:rsidRDefault="00DE68D6">
      <w:pPr>
        <w:rPr>
          <w:rFonts w:ascii="Times New Roman" w:hAnsi="Times New Roman" w:cs="Times New Roman"/>
          <w:b/>
          <w:sz w:val="24"/>
          <w:szCs w:val="24"/>
        </w:rPr>
      </w:pPr>
    </w:p>
    <w:p w:rsidR="00E316EC" w:rsidRDefault="00E316EC" w:rsidP="008A5050">
      <w:pPr>
        <w:spacing w:after="0"/>
        <w:jc w:val="both"/>
        <w:rPr>
          <w:rFonts w:ascii="Times New Roman" w:hAnsi="Times New Roman" w:cs="Times New Roman"/>
          <w:sz w:val="24"/>
          <w:szCs w:val="24"/>
        </w:rPr>
      </w:pPr>
    </w:p>
    <w:p w:rsidR="005A01EA" w:rsidRPr="00C6340C" w:rsidRDefault="007F2866" w:rsidP="005A01EA">
      <w:pPr>
        <w:spacing w:after="0"/>
        <w:jc w:val="both"/>
        <w:rPr>
          <w:rFonts w:ascii="Times New Roman" w:eastAsia="Times New Roman" w:hAnsi="Times New Roman" w:cs="Times New Roman"/>
          <w:sz w:val="24"/>
          <w:szCs w:val="24"/>
        </w:rPr>
      </w:pPr>
      <w:r w:rsidRPr="007F2866">
        <w:rPr>
          <w:rFonts w:ascii="Times New Roman" w:hAnsi="Times New Roman" w:cs="Times New Roman"/>
          <w:sz w:val="24"/>
          <w:szCs w:val="24"/>
        </w:rPr>
        <w:t>N</w:t>
      </w:r>
      <w:r w:rsidR="00DE68D6" w:rsidRPr="007F2866">
        <w:rPr>
          <w:rFonts w:ascii="Times New Roman" w:hAnsi="Times New Roman" w:cs="Times New Roman"/>
          <w:sz w:val="24"/>
          <w:szCs w:val="24"/>
        </w:rPr>
        <w:t>owadays</w:t>
      </w:r>
      <w:r w:rsidR="008A5050" w:rsidRPr="007F2866">
        <w:rPr>
          <w:rFonts w:ascii="Times New Roman" w:hAnsi="Times New Roman" w:cs="Times New Roman"/>
          <w:sz w:val="24"/>
          <w:szCs w:val="24"/>
        </w:rPr>
        <w:t xml:space="preserve"> we are witnessing </w:t>
      </w:r>
      <w:r w:rsidRPr="007F2866">
        <w:rPr>
          <w:rFonts w:ascii="Times New Roman" w:hAnsi="Times New Roman" w:cs="Times New Roman"/>
          <w:sz w:val="24"/>
          <w:szCs w:val="24"/>
        </w:rPr>
        <w:t xml:space="preserve">the rise of cross border education, where </w:t>
      </w:r>
      <w:r w:rsidR="008A5050" w:rsidRPr="007F2866">
        <w:rPr>
          <w:rFonts w:ascii="Times New Roman" w:hAnsi="Times New Roman" w:cs="Times New Roman"/>
          <w:sz w:val="24"/>
          <w:szCs w:val="24"/>
        </w:rPr>
        <w:t>m</w:t>
      </w:r>
      <w:r w:rsidR="008A5050" w:rsidRPr="007F2866">
        <w:rPr>
          <w:rFonts w:ascii="Times New Roman" w:hAnsi="Times New Roman" w:cs="Times New Roman"/>
          <w:color w:val="000000"/>
          <w:sz w:val="24"/>
          <w:szCs w:val="24"/>
        </w:rPr>
        <w:t>ore and more students study and obtain degrees from foreign univer</w:t>
      </w:r>
      <w:r w:rsidR="008A5050" w:rsidRPr="007F2866">
        <w:rPr>
          <w:rFonts w:ascii="Times New Roman" w:hAnsi="Times New Roman" w:cs="Times New Roman"/>
          <w:color w:val="000000"/>
          <w:sz w:val="24"/>
          <w:szCs w:val="24"/>
        </w:rPr>
        <w:softHyphen/>
        <w:t>sities, professors teach outside of their home countries, and universities open branch cam</w:t>
      </w:r>
      <w:r w:rsidR="008A5050" w:rsidRPr="007F2866">
        <w:rPr>
          <w:rFonts w:ascii="Times New Roman" w:hAnsi="Times New Roman" w:cs="Times New Roman"/>
          <w:color w:val="000000"/>
          <w:sz w:val="24"/>
          <w:szCs w:val="24"/>
        </w:rPr>
        <w:softHyphen/>
        <w:t>puses abroad.  Th</w:t>
      </w:r>
      <w:r w:rsidR="001E7C4B">
        <w:rPr>
          <w:rFonts w:ascii="Times New Roman" w:hAnsi="Times New Roman" w:cs="Times New Roman"/>
          <w:color w:val="000000"/>
          <w:sz w:val="24"/>
          <w:szCs w:val="24"/>
        </w:rPr>
        <w:t>e</w:t>
      </w:r>
      <w:r w:rsidR="008A5050" w:rsidRPr="007F2866">
        <w:rPr>
          <w:rFonts w:ascii="Times New Roman" w:hAnsi="Times New Roman" w:cs="Times New Roman"/>
          <w:color w:val="000000"/>
          <w:sz w:val="24"/>
          <w:szCs w:val="24"/>
        </w:rPr>
        <w:t xml:space="preserve"> development</w:t>
      </w:r>
      <w:r w:rsidR="001E7C4B">
        <w:rPr>
          <w:rFonts w:ascii="Times New Roman" w:hAnsi="Times New Roman" w:cs="Times New Roman"/>
          <w:color w:val="000000"/>
          <w:sz w:val="24"/>
          <w:szCs w:val="24"/>
        </w:rPr>
        <w:t xml:space="preserve"> of cross border education</w:t>
      </w:r>
      <w:r w:rsidR="008A5050" w:rsidRPr="007F2866">
        <w:rPr>
          <w:rFonts w:ascii="Times New Roman" w:hAnsi="Times New Roman" w:cs="Times New Roman"/>
          <w:color w:val="000000"/>
          <w:sz w:val="24"/>
          <w:szCs w:val="24"/>
        </w:rPr>
        <w:t xml:space="preserve"> has </w:t>
      </w:r>
      <w:r w:rsidR="008A5050" w:rsidRPr="007F2866">
        <w:rPr>
          <w:rFonts w:ascii="Times New Roman" w:hAnsi="Times New Roman" w:cs="Times New Roman"/>
          <w:sz w:val="24"/>
          <w:szCs w:val="24"/>
        </w:rPr>
        <w:t xml:space="preserve">reflected the expansion of tertiary education systems worldwide and the globalization of </w:t>
      </w:r>
      <w:r w:rsidR="001E7C4B">
        <w:rPr>
          <w:rFonts w:ascii="Times New Roman" w:hAnsi="Times New Roman" w:cs="Times New Roman"/>
          <w:sz w:val="24"/>
          <w:szCs w:val="24"/>
        </w:rPr>
        <w:t xml:space="preserve">economies and societies, which inevitably </w:t>
      </w:r>
      <w:r w:rsidR="008A5050" w:rsidRPr="007F2866">
        <w:rPr>
          <w:rFonts w:ascii="Times New Roman" w:hAnsi="Times New Roman" w:cs="Times New Roman"/>
          <w:sz w:val="24"/>
          <w:szCs w:val="24"/>
        </w:rPr>
        <w:t>demands countries as well as individual higher education institution (HEI) to reform their education system into new direction.</w:t>
      </w:r>
      <w:r w:rsidRPr="007F2866">
        <w:rPr>
          <w:rFonts w:ascii="Times New Roman" w:hAnsi="Times New Roman" w:cs="Times New Roman"/>
          <w:sz w:val="24"/>
          <w:szCs w:val="24"/>
        </w:rPr>
        <w:t xml:space="preserve"> </w:t>
      </w:r>
      <w:r w:rsidR="001E7C4B">
        <w:rPr>
          <w:rFonts w:ascii="Times New Roman" w:eastAsia="Times New Roman" w:hAnsi="Times New Roman" w:cs="Times New Roman"/>
          <w:sz w:val="24"/>
          <w:szCs w:val="24"/>
        </w:rPr>
        <w:t xml:space="preserve">It is through cross border education, coherences among various education systems can be built via exchanges of goods and services, and facilitation of human and non-human mobility.  </w:t>
      </w:r>
      <w:r w:rsidR="005A01EA" w:rsidRPr="007F2866">
        <w:rPr>
          <w:rFonts w:ascii="Times New Roman" w:eastAsia="Times New Roman" w:hAnsi="Times New Roman" w:cs="Times New Roman"/>
          <w:sz w:val="24"/>
          <w:szCs w:val="24"/>
        </w:rPr>
        <w:t xml:space="preserve">Student mobility has been one of the strategic elements of </w:t>
      </w:r>
      <w:r w:rsidR="005A01EA">
        <w:rPr>
          <w:rFonts w:ascii="Times New Roman" w:eastAsia="Times New Roman" w:hAnsi="Times New Roman" w:cs="Times New Roman"/>
          <w:sz w:val="24"/>
          <w:szCs w:val="24"/>
        </w:rPr>
        <w:t>cross border</w:t>
      </w:r>
      <w:r w:rsidR="005A01EA" w:rsidRPr="007F2866">
        <w:rPr>
          <w:rFonts w:ascii="Times New Roman" w:eastAsia="Times New Roman" w:hAnsi="Times New Roman" w:cs="Times New Roman"/>
          <w:sz w:val="24"/>
          <w:szCs w:val="24"/>
        </w:rPr>
        <w:t xml:space="preserve"> educati</w:t>
      </w:r>
      <w:r w:rsidR="005A01EA">
        <w:rPr>
          <w:rFonts w:ascii="Times New Roman" w:eastAsia="Times New Roman" w:hAnsi="Times New Roman" w:cs="Times New Roman"/>
          <w:sz w:val="24"/>
          <w:szCs w:val="24"/>
        </w:rPr>
        <w:t xml:space="preserve">on as promoted by APEC. </w:t>
      </w:r>
    </w:p>
    <w:p w:rsidR="00972004" w:rsidRDefault="00972004" w:rsidP="001E7C4B">
      <w:pPr>
        <w:spacing w:after="0"/>
        <w:jc w:val="both"/>
        <w:rPr>
          <w:rFonts w:ascii="Times New Roman" w:eastAsia="Times New Roman" w:hAnsi="Times New Roman" w:cs="Times New Roman"/>
          <w:sz w:val="24"/>
          <w:szCs w:val="24"/>
        </w:rPr>
      </w:pPr>
    </w:p>
    <w:p w:rsidR="00115BB1" w:rsidRDefault="00115BB1" w:rsidP="00972004">
      <w:pPr>
        <w:spacing w:after="0"/>
        <w:jc w:val="both"/>
        <w:rPr>
          <w:rFonts w:ascii="Times New Roman" w:eastAsia="Times New Roman" w:hAnsi="Times New Roman" w:cs="Times New Roman"/>
          <w:sz w:val="24"/>
          <w:szCs w:val="24"/>
        </w:rPr>
      </w:pPr>
    </w:p>
    <w:p w:rsidR="00115BB1" w:rsidRPr="00CF5C9E" w:rsidRDefault="00115BB1" w:rsidP="00972004">
      <w:pPr>
        <w:spacing w:after="0"/>
        <w:jc w:val="both"/>
        <w:rPr>
          <w:rFonts w:ascii="Times New Roman" w:eastAsia="Times New Roman" w:hAnsi="Times New Roman" w:cs="Times New Roman"/>
          <w:b/>
          <w:sz w:val="24"/>
          <w:szCs w:val="24"/>
        </w:rPr>
      </w:pPr>
      <w:r w:rsidRPr="00CF5C9E">
        <w:rPr>
          <w:rFonts w:ascii="Times New Roman" w:eastAsia="Times New Roman" w:hAnsi="Times New Roman" w:cs="Times New Roman"/>
          <w:b/>
          <w:sz w:val="24"/>
          <w:szCs w:val="24"/>
        </w:rPr>
        <w:t>Student Mobility</w:t>
      </w:r>
    </w:p>
    <w:p w:rsidR="00115BB1" w:rsidRDefault="00115BB1" w:rsidP="00972004">
      <w:pPr>
        <w:spacing w:after="0"/>
        <w:jc w:val="both"/>
        <w:rPr>
          <w:rFonts w:ascii="Times New Roman" w:eastAsia="Times New Roman" w:hAnsi="Times New Roman" w:cs="Times New Roman"/>
          <w:sz w:val="24"/>
          <w:szCs w:val="24"/>
        </w:rPr>
      </w:pPr>
    </w:p>
    <w:p w:rsidR="00E92726" w:rsidRDefault="005A01EA" w:rsidP="009720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increasing number of student mobility places higher education in APEC region a pivotal role in developing human resources capable of creating and sustaining globalized </w:t>
      </w:r>
      <w:r w:rsidRPr="007F2866">
        <w:rPr>
          <w:rFonts w:ascii="Times New Roman" w:eastAsia="Times New Roman" w:hAnsi="Times New Roman" w:cs="Times New Roman"/>
          <w:sz w:val="24"/>
          <w:szCs w:val="24"/>
        </w:rPr>
        <w:t>knowledge-based societies</w:t>
      </w:r>
      <w:r>
        <w:rPr>
          <w:rFonts w:ascii="Times New Roman" w:eastAsia="Times New Roman" w:hAnsi="Times New Roman" w:cs="Times New Roman"/>
          <w:sz w:val="24"/>
          <w:szCs w:val="24"/>
        </w:rPr>
        <w:t xml:space="preserve">.  </w:t>
      </w:r>
      <w:r w:rsidR="00E92726">
        <w:rPr>
          <w:rFonts w:ascii="Times New Roman" w:eastAsia="Times New Roman" w:hAnsi="Times New Roman" w:cs="Times New Roman"/>
          <w:sz w:val="24"/>
          <w:szCs w:val="24"/>
        </w:rPr>
        <w:t>Student mobility can be interpreted into several kinds. Taking into consideration the rapid development of online learning, student mobility is taking a different perspective at present. In addition to the inner country and intra country mobility, there is also a perspective of physical mobility versus virtual mobility, as depicted in the follow</w:t>
      </w:r>
      <w:r w:rsidR="00115BB1">
        <w:rPr>
          <w:rFonts w:ascii="Times New Roman" w:eastAsia="Times New Roman" w:hAnsi="Times New Roman" w:cs="Times New Roman"/>
          <w:sz w:val="24"/>
          <w:szCs w:val="24"/>
        </w:rPr>
        <w:t>ing picture.</w:t>
      </w:r>
    </w:p>
    <w:p w:rsidR="00E92726" w:rsidRDefault="00E92726" w:rsidP="00972004">
      <w:pPr>
        <w:spacing w:after="0"/>
        <w:jc w:val="both"/>
        <w:rPr>
          <w:rFonts w:ascii="Times New Roman" w:eastAsia="Times New Roman" w:hAnsi="Times New Roman" w:cs="Times New Roman"/>
          <w:sz w:val="24"/>
          <w:szCs w:val="24"/>
        </w:rPr>
      </w:pPr>
    </w:p>
    <w:tbl>
      <w:tblPr>
        <w:tblW w:w="5000" w:type="pct"/>
        <w:tblCellMar>
          <w:left w:w="0" w:type="dxa"/>
          <w:right w:w="0" w:type="dxa"/>
        </w:tblCellMar>
        <w:tblLook w:val="0420" w:firstRow="1" w:lastRow="0" w:firstColumn="0" w:lastColumn="0" w:noHBand="0" w:noVBand="1"/>
      </w:tblPr>
      <w:tblGrid>
        <w:gridCol w:w="1854"/>
        <w:gridCol w:w="3601"/>
        <w:gridCol w:w="4193"/>
      </w:tblGrid>
      <w:tr w:rsidR="00115BB1" w:rsidRPr="00E92726" w:rsidTr="00115BB1">
        <w:trPr>
          <w:trHeight w:val="421"/>
        </w:trPr>
        <w:tc>
          <w:tcPr>
            <w:tcW w:w="961" w:type="pct"/>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E92726" w:rsidRPr="00762215" w:rsidRDefault="00E92726" w:rsidP="00115BB1">
            <w:pPr>
              <w:spacing w:after="0"/>
              <w:rPr>
                <w:rFonts w:ascii="Arial Narrow" w:eastAsia="Times New Roman" w:hAnsi="Arial Narrow" w:cs="Times New Roman"/>
                <w:sz w:val="20"/>
                <w:szCs w:val="20"/>
              </w:rPr>
            </w:pPr>
          </w:p>
        </w:tc>
        <w:tc>
          <w:tcPr>
            <w:tcW w:w="1866" w:type="pct"/>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b/>
                <w:bCs/>
                <w:sz w:val="20"/>
                <w:szCs w:val="20"/>
              </w:rPr>
              <w:t>Physical mobility</w:t>
            </w:r>
          </w:p>
        </w:tc>
        <w:tc>
          <w:tcPr>
            <w:tcW w:w="2173" w:type="pct"/>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b/>
                <w:bCs/>
                <w:sz w:val="20"/>
                <w:szCs w:val="20"/>
              </w:rPr>
              <w:t>Virtual mobility</w:t>
            </w:r>
          </w:p>
        </w:tc>
      </w:tr>
      <w:tr w:rsidR="00115BB1" w:rsidRPr="00E92726" w:rsidTr="00762215">
        <w:trPr>
          <w:trHeight w:val="925"/>
        </w:trPr>
        <w:tc>
          <w:tcPr>
            <w:tcW w:w="961" w:type="pct"/>
            <w:tcBorders>
              <w:top w:val="single" w:sz="8" w:space="0" w:color="F79646"/>
              <w:left w:val="single" w:sz="8" w:space="0" w:color="F79646"/>
              <w:bottom w:val="single" w:sz="8" w:space="0" w:color="F79646"/>
              <w:right w:val="single" w:sz="8" w:space="0" w:color="F79646"/>
            </w:tcBorders>
            <w:shd w:val="clear" w:color="auto" w:fill="FCDDCF"/>
            <w:tcMar>
              <w:top w:w="72" w:type="dxa"/>
              <w:left w:w="144" w:type="dxa"/>
              <w:bottom w:w="72" w:type="dxa"/>
              <w:right w:w="144" w:type="dxa"/>
            </w:tcMar>
            <w:hideMark/>
          </w:tcPr>
          <w:p w:rsidR="00E92726"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b/>
                <w:bCs/>
                <w:sz w:val="20"/>
                <w:szCs w:val="20"/>
              </w:rPr>
              <w:t>Inner country</w:t>
            </w:r>
          </w:p>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b/>
                <w:bCs/>
                <w:sz w:val="20"/>
                <w:szCs w:val="20"/>
              </w:rPr>
              <w:t>(local mobility)</w:t>
            </w:r>
          </w:p>
        </w:tc>
        <w:tc>
          <w:tcPr>
            <w:tcW w:w="1866" w:type="pct"/>
            <w:tcBorders>
              <w:top w:val="single" w:sz="8" w:space="0" w:color="F79646"/>
              <w:left w:val="single" w:sz="8" w:space="0" w:color="F79646"/>
              <w:bottom w:val="single" w:sz="8" w:space="0" w:color="F79646"/>
              <w:right w:val="single" w:sz="8" w:space="0" w:color="F79646"/>
            </w:tcBorders>
            <w:shd w:val="clear" w:color="auto" w:fill="FCDDCF"/>
            <w:tcMar>
              <w:top w:w="72" w:type="dxa"/>
              <w:left w:w="144" w:type="dxa"/>
              <w:bottom w:w="72" w:type="dxa"/>
              <w:right w:w="144" w:type="dxa"/>
            </w:tcMar>
            <w:hideMark/>
          </w:tcPr>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sz w:val="20"/>
                <w:szCs w:val="20"/>
              </w:rPr>
              <w:t>Student moves from one geographical area to another area within a country to pursue education</w:t>
            </w:r>
          </w:p>
        </w:tc>
        <w:tc>
          <w:tcPr>
            <w:tcW w:w="2173" w:type="pct"/>
            <w:tcBorders>
              <w:top w:val="single" w:sz="8" w:space="0" w:color="F79646"/>
              <w:left w:val="single" w:sz="8" w:space="0" w:color="F79646"/>
              <w:bottom w:val="single" w:sz="8" w:space="0" w:color="F79646"/>
              <w:right w:val="single" w:sz="8" w:space="0" w:color="F79646"/>
            </w:tcBorders>
            <w:shd w:val="clear" w:color="auto" w:fill="FCDDCF"/>
            <w:tcMar>
              <w:top w:w="72" w:type="dxa"/>
              <w:left w:w="144" w:type="dxa"/>
              <w:bottom w:w="72" w:type="dxa"/>
              <w:right w:w="144" w:type="dxa"/>
            </w:tcMar>
            <w:hideMark/>
          </w:tcPr>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sz w:val="20"/>
                <w:szCs w:val="20"/>
              </w:rPr>
              <w:t>Student stays in his/her hometown to study via online learning scenario offered by local higher education institution</w:t>
            </w:r>
          </w:p>
        </w:tc>
      </w:tr>
      <w:tr w:rsidR="00115BB1" w:rsidRPr="00E92726" w:rsidTr="00762215">
        <w:trPr>
          <w:trHeight w:val="826"/>
        </w:trPr>
        <w:tc>
          <w:tcPr>
            <w:tcW w:w="961" w:type="pct"/>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E92726"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b/>
                <w:bCs/>
                <w:sz w:val="20"/>
                <w:szCs w:val="20"/>
              </w:rPr>
              <w:t>Intra country</w:t>
            </w:r>
          </w:p>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b/>
                <w:bCs/>
                <w:sz w:val="20"/>
                <w:szCs w:val="20"/>
              </w:rPr>
              <w:t>Cross border education</w:t>
            </w:r>
          </w:p>
        </w:tc>
        <w:tc>
          <w:tcPr>
            <w:tcW w:w="1866" w:type="pct"/>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sz w:val="20"/>
                <w:szCs w:val="20"/>
              </w:rPr>
              <w:t>Student moves from one country to another country to pursue education</w:t>
            </w:r>
          </w:p>
        </w:tc>
        <w:tc>
          <w:tcPr>
            <w:tcW w:w="2173" w:type="pct"/>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78354B" w:rsidRPr="00762215" w:rsidRDefault="00E92726" w:rsidP="00115BB1">
            <w:pPr>
              <w:spacing w:after="0"/>
              <w:rPr>
                <w:rFonts w:ascii="Arial Narrow" w:eastAsia="Times New Roman" w:hAnsi="Arial Narrow" w:cs="Times New Roman"/>
                <w:sz w:val="20"/>
                <w:szCs w:val="20"/>
              </w:rPr>
            </w:pPr>
            <w:r w:rsidRPr="00762215">
              <w:rPr>
                <w:rFonts w:ascii="Arial Narrow" w:eastAsia="Times New Roman" w:hAnsi="Arial Narrow" w:cs="Times New Roman"/>
                <w:sz w:val="20"/>
                <w:szCs w:val="20"/>
              </w:rPr>
              <w:t>Student stays in his/her country to study via online learning scenario offered by foreign higher education institution</w:t>
            </w:r>
          </w:p>
        </w:tc>
      </w:tr>
    </w:tbl>
    <w:p w:rsidR="00E92726" w:rsidRDefault="00E92726" w:rsidP="00972004">
      <w:pPr>
        <w:spacing w:after="0"/>
        <w:jc w:val="both"/>
        <w:rPr>
          <w:rFonts w:ascii="Times New Roman" w:eastAsia="Times New Roman" w:hAnsi="Times New Roman" w:cs="Times New Roman"/>
          <w:sz w:val="24"/>
          <w:szCs w:val="24"/>
        </w:rPr>
      </w:pPr>
    </w:p>
    <w:p w:rsidR="00444C2B" w:rsidRDefault="00115BB1" w:rsidP="002D7E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conventional student mobility involves students physically moving from one geographical area to another to pursue higher education</w:t>
      </w:r>
      <w:r w:rsidR="00444C2B">
        <w:rPr>
          <w:rFonts w:ascii="Times New Roman" w:eastAsia="Times New Roman" w:hAnsi="Times New Roman" w:cs="Times New Roman"/>
          <w:sz w:val="24"/>
          <w:szCs w:val="24"/>
        </w:rPr>
        <w:t xml:space="preserve">, whether it is in his/her own country or across the border to other countries </w:t>
      </w:r>
      <w:r>
        <w:rPr>
          <w:rFonts w:ascii="Times New Roman" w:eastAsia="Times New Roman" w:hAnsi="Times New Roman" w:cs="Times New Roman"/>
          <w:sz w:val="24"/>
          <w:szCs w:val="24"/>
        </w:rPr>
        <w:t>.  This pra</w:t>
      </w:r>
      <w:r w:rsidR="00444C2B">
        <w:rPr>
          <w:rFonts w:ascii="Times New Roman" w:eastAsia="Times New Roman" w:hAnsi="Times New Roman" w:cs="Times New Roman"/>
          <w:sz w:val="24"/>
          <w:szCs w:val="24"/>
        </w:rPr>
        <w:t xml:space="preserve">ctice has a long history.  OECD’ research reveals that </w:t>
      </w:r>
      <w:r w:rsidR="00444C2B" w:rsidRPr="00444C2B">
        <w:rPr>
          <w:rFonts w:ascii="Times New Roman" w:eastAsia="Times New Roman" w:hAnsi="Times New Roman" w:cs="Times New Roman"/>
          <w:sz w:val="24"/>
          <w:szCs w:val="24"/>
        </w:rPr>
        <w:t xml:space="preserve">global students’ mobility is increasing rapidly, covering </w:t>
      </w:r>
      <w:r w:rsidR="00444C2B">
        <w:rPr>
          <w:rFonts w:ascii="Times New Roman" w:eastAsia="Times New Roman" w:hAnsi="Times New Roman" w:cs="Times New Roman"/>
          <w:sz w:val="24"/>
          <w:szCs w:val="24"/>
        </w:rPr>
        <w:t>more than 4.</w:t>
      </w:r>
      <w:r w:rsidR="001C1CBE">
        <w:rPr>
          <w:rFonts w:ascii="Times New Roman" w:eastAsia="Times New Roman" w:hAnsi="Times New Roman" w:cs="Times New Roman"/>
          <w:sz w:val="24"/>
          <w:szCs w:val="24"/>
        </w:rPr>
        <w:t>3</w:t>
      </w:r>
      <w:r w:rsidR="00444C2B" w:rsidRPr="00444C2B">
        <w:rPr>
          <w:rFonts w:ascii="Times New Roman" w:eastAsia="Times New Roman" w:hAnsi="Times New Roman" w:cs="Times New Roman"/>
          <w:sz w:val="24"/>
          <w:szCs w:val="24"/>
        </w:rPr>
        <w:t xml:space="preserve"> millio</w:t>
      </w:r>
      <w:r w:rsidR="00444C2B">
        <w:rPr>
          <w:rFonts w:ascii="Times New Roman" w:eastAsia="Times New Roman" w:hAnsi="Times New Roman" w:cs="Times New Roman"/>
          <w:sz w:val="24"/>
          <w:szCs w:val="24"/>
        </w:rPr>
        <w:t xml:space="preserve">n students in 2011 </w:t>
      </w:r>
      <w:r w:rsidR="00444C2B">
        <w:rPr>
          <w:rFonts w:ascii="Times New Roman" w:eastAsia="Times New Roman" w:hAnsi="Times New Roman" w:cs="Times New Roman"/>
          <w:sz w:val="24"/>
          <w:szCs w:val="24"/>
        </w:rPr>
        <w:lastRenderedPageBreak/>
        <w:t>worldwide.  While t</w:t>
      </w:r>
      <w:r w:rsidR="00444C2B" w:rsidRPr="00444C2B">
        <w:rPr>
          <w:rFonts w:ascii="Times New Roman" w:eastAsia="Times New Roman" w:hAnsi="Times New Roman" w:cs="Times New Roman"/>
          <w:sz w:val="24"/>
          <w:szCs w:val="24"/>
        </w:rPr>
        <w:t xml:space="preserve">he US, UK, China, France, Germany, Australia, Canada, and Japan are the top host destination for international students to study (Project Atlas, Trends </w:t>
      </w:r>
      <w:r w:rsidR="00444C2B">
        <w:rPr>
          <w:rFonts w:ascii="Times New Roman" w:eastAsia="Times New Roman" w:hAnsi="Times New Roman" w:cs="Times New Roman"/>
          <w:sz w:val="24"/>
          <w:szCs w:val="24"/>
        </w:rPr>
        <w:t xml:space="preserve">and Global Data 2012), </w:t>
      </w:r>
      <w:r w:rsidR="00444C2B" w:rsidRPr="00444C2B">
        <w:rPr>
          <w:rFonts w:ascii="Times New Roman" w:eastAsia="Times New Roman" w:hAnsi="Times New Roman" w:cs="Times New Roman"/>
          <w:sz w:val="24"/>
          <w:szCs w:val="24"/>
        </w:rPr>
        <w:t xml:space="preserve">Asia Pacific region has been considered as the biggest supplier of international students – especially from China and India.  </w:t>
      </w:r>
      <w:r w:rsidR="00444C2B">
        <w:rPr>
          <w:rFonts w:ascii="Times New Roman" w:eastAsia="Times New Roman" w:hAnsi="Times New Roman" w:cs="Times New Roman"/>
          <w:sz w:val="24"/>
          <w:szCs w:val="24"/>
        </w:rPr>
        <w:t xml:space="preserve">In OECD countries, </w:t>
      </w:r>
      <w:r w:rsidR="00444C2B" w:rsidRPr="00444C2B">
        <w:rPr>
          <w:rFonts w:ascii="Times New Roman" w:eastAsia="Times New Roman" w:hAnsi="Times New Roman" w:cs="Times New Roman"/>
          <w:sz w:val="24"/>
          <w:szCs w:val="24"/>
        </w:rPr>
        <w:t xml:space="preserve">Asian students make up to 45%, and up to 52% in non OECD countries.  </w:t>
      </w:r>
    </w:p>
    <w:p w:rsidR="001C1CBE" w:rsidRDefault="001C1CBE" w:rsidP="002D7EC8">
      <w:pPr>
        <w:spacing w:after="0"/>
        <w:jc w:val="both"/>
        <w:rPr>
          <w:rFonts w:ascii="Times New Roman" w:eastAsia="Times New Roman" w:hAnsi="Times New Roman" w:cs="Times New Roman"/>
          <w:sz w:val="24"/>
          <w:szCs w:val="24"/>
        </w:rPr>
      </w:pPr>
    </w:p>
    <w:p w:rsidR="001C1CBE" w:rsidRDefault="001C1CBE" w:rsidP="002D7EC8">
      <w:pPr>
        <w:spacing w:after="0"/>
        <w:jc w:val="both"/>
        <w:rPr>
          <w:rFonts w:ascii="Times New Roman" w:eastAsia="Times New Roman" w:hAnsi="Times New Roman" w:cs="Times New Roman"/>
          <w:sz w:val="24"/>
          <w:szCs w:val="24"/>
        </w:rPr>
      </w:pPr>
      <w:r w:rsidRPr="001C1CBE">
        <w:rPr>
          <w:rFonts w:ascii="Times New Roman" w:eastAsia="Times New Roman" w:hAnsi="Times New Roman" w:cs="Times New Roman"/>
          <w:noProof/>
          <w:sz w:val="24"/>
          <w:szCs w:val="24"/>
          <w:lang w:val="en-AU" w:eastAsia="en-AU"/>
        </w:rPr>
        <w:drawing>
          <wp:inline distT="0" distB="0" distL="0" distR="0" wp14:anchorId="633B1A4D" wp14:editId="6D6CEB9D">
            <wp:extent cx="5943600" cy="2635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004" t="16249" r="5125" b="12084"/>
                    <a:stretch/>
                  </pic:blipFill>
                  <pic:spPr bwMode="auto">
                    <a:xfrm>
                      <a:off x="0" y="0"/>
                      <a:ext cx="5943600" cy="2635250"/>
                    </a:xfrm>
                    <a:prstGeom prst="rect">
                      <a:avLst/>
                    </a:prstGeom>
                    <a:noFill/>
                    <a:ln>
                      <a:noFill/>
                    </a:ln>
                    <a:extLst/>
                  </pic:spPr>
                </pic:pic>
              </a:graphicData>
            </a:graphic>
          </wp:inline>
        </w:drawing>
      </w:r>
    </w:p>
    <w:p w:rsidR="001C1CBE" w:rsidRDefault="001C1CBE" w:rsidP="002D7E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Atlas, 2013)</w:t>
      </w:r>
    </w:p>
    <w:p w:rsidR="001C1CBE" w:rsidRDefault="001C1CBE" w:rsidP="002D7EC8">
      <w:pPr>
        <w:spacing w:after="0"/>
        <w:jc w:val="both"/>
        <w:rPr>
          <w:rFonts w:ascii="Times New Roman" w:eastAsia="Times New Roman" w:hAnsi="Times New Roman" w:cs="Times New Roman"/>
          <w:sz w:val="24"/>
          <w:szCs w:val="24"/>
        </w:rPr>
      </w:pPr>
    </w:p>
    <w:p w:rsidR="00762215" w:rsidRDefault="00762215" w:rsidP="002D7EC8">
      <w:pPr>
        <w:spacing w:after="0"/>
        <w:jc w:val="both"/>
        <w:rPr>
          <w:rFonts w:ascii="Times New Roman" w:eastAsia="Times New Roman" w:hAnsi="Times New Roman" w:cs="Times New Roman"/>
          <w:sz w:val="24"/>
          <w:szCs w:val="24"/>
        </w:rPr>
      </w:pPr>
    </w:p>
    <w:p w:rsidR="001C1CBE" w:rsidRDefault="001C1CBE" w:rsidP="002D7EC8">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0" distB="0" distL="0" distR="0" wp14:anchorId="446F5444" wp14:editId="7E00973B">
            <wp:extent cx="5943600" cy="3298190"/>
            <wp:effectExtent l="19050" t="19050" r="19050" b="16510"/>
            <wp:docPr id="5" name="Picture 5" descr="top-countries-of-origin-of-foreign-students-by-regions-of-the-world-in-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countries-of-origin-of-foreign-students-by-regions-of-the-world-in-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98190"/>
                    </a:xfrm>
                    <a:prstGeom prst="rect">
                      <a:avLst/>
                    </a:prstGeom>
                    <a:noFill/>
                    <a:ln>
                      <a:solidFill>
                        <a:schemeClr val="tx1"/>
                      </a:solidFill>
                    </a:ln>
                  </pic:spPr>
                </pic:pic>
              </a:graphicData>
            </a:graphic>
          </wp:inline>
        </w:drawing>
      </w:r>
    </w:p>
    <w:p w:rsidR="002D7EC8" w:rsidRDefault="001C1CBE" w:rsidP="002D7EC8">
      <w:pPr>
        <w:spacing w:before="100" w:beforeAutospacing="1" w:after="100" w:afterAutospacing="1"/>
        <w:jc w:val="both"/>
        <w:rPr>
          <w:rFonts w:ascii="Times New Roman" w:eastAsia="Times New Roman" w:hAnsi="Times New Roman" w:cs="Times New Roman"/>
          <w:sz w:val="24"/>
          <w:szCs w:val="24"/>
        </w:rPr>
      </w:pPr>
      <w:r w:rsidRPr="001C1CBE">
        <w:rPr>
          <w:rFonts w:ascii="Times New Roman" w:eastAsia="Times New Roman" w:hAnsi="Times New Roman" w:cs="Times New Roman"/>
          <w:noProof/>
          <w:sz w:val="24"/>
          <w:szCs w:val="24"/>
          <w:lang w:val="en-AU" w:eastAsia="en-AU"/>
        </w:rPr>
        <w:lastRenderedPageBreak/>
        <w:drawing>
          <wp:anchor distT="0" distB="0" distL="114300" distR="114300" simplePos="0" relativeHeight="251660288" behindDoc="0" locked="0" layoutInCell="1" allowOverlap="1" wp14:anchorId="6BE5DA11" wp14:editId="6BEBA1AE">
            <wp:simplePos x="0" y="0"/>
            <wp:positionH relativeFrom="column">
              <wp:posOffset>-5715</wp:posOffset>
            </wp:positionH>
            <wp:positionV relativeFrom="paragraph">
              <wp:posOffset>1940560</wp:posOffset>
            </wp:positionV>
            <wp:extent cx="3255645" cy="2456815"/>
            <wp:effectExtent l="0" t="0" r="1905" b="635"/>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050" t="13146" r="9244" b="7974"/>
                    <a:stretch/>
                  </pic:blipFill>
                  <pic:spPr bwMode="auto">
                    <a:xfrm>
                      <a:off x="0" y="0"/>
                      <a:ext cx="3255645" cy="24568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D7EC8">
        <w:rPr>
          <w:rFonts w:ascii="Times New Roman" w:eastAsia="Times New Roman" w:hAnsi="Times New Roman" w:cs="Times New Roman"/>
          <w:sz w:val="24"/>
          <w:szCs w:val="24"/>
        </w:rPr>
        <w:t>Meanwhile, according to UNESCO (2012) t</w:t>
      </w:r>
      <w:r w:rsidR="002D7EC8" w:rsidRPr="00B80E82">
        <w:rPr>
          <w:rFonts w:ascii="Times New Roman" w:eastAsia="Times New Roman" w:hAnsi="Times New Roman" w:cs="Times New Roman"/>
          <w:sz w:val="24"/>
          <w:szCs w:val="24"/>
        </w:rPr>
        <w:t xml:space="preserve">he rise </w:t>
      </w:r>
      <w:r w:rsidR="002D7EC8">
        <w:rPr>
          <w:rFonts w:ascii="Times New Roman" w:eastAsia="Times New Roman" w:hAnsi="Times New Roman" w:cs="Times New Roman"/>
          <w:sz w:val="24"/>
          <w:szCs w:val="24"/>
        </w:rPr>
        <w:t>students mobility</w:t>
      </w:r>
      <w:r w:rsidR="002D7EC8" w:rsidRPr="00B80E82">
        <w:rPr>
          <w:rFonts w:ascii="Times New Roman" w:eastAsia="Times New Roman" w:hAnsi="Times New Roman" w:cs="Times New Roman"/>
          <w:sz w:val="24"/>
          <w:szCs w:val="24"/>
        </w:rPr>
        <w:t xml:space="preserve"> reflects growing enrolment </w:t>
      </w:r>
      <w:r w:rsidR="002D7EC8">
        <w:rPr>
          <w:rFonts w:ascii="Times New Roman" w:eastAsia="Times New Roman" w:hAnsi="Times New Roman" w:cs="Times New Roman"/>
          <w:sz w:val="24"/>
          <w:szCs w:val="24"/>
        </w:rPr>
        <w:t xml:space="preserve">of higher education </w:t>
      </w:r>
      <w:r w:rsidR="002D7EC8" w:rsidRPr="00B80E82">
        <w:rPr>
          <w:rFonts w:ascii="Times New Roman" w:eastAsia="Times New Roman" w:hAnsi="Times New Roman" w:cs="Times New Roman"/>
          <w:sz w:val="24"/>
          <w:szCs w:val="24"/>
        </w:rPr>
        <w:t xml:space="preserve">around the world. In 2012, </w:t>
      </w:r>
      <w:r w:rsidR="002D7EC8">
        <w:rPr>
          <w:rFonts w:ascii="Times New Roman" w:eastAsia="Times New Roman" w:hAnsi="Times New Roman" w:cs="Times New Roman"/>
          <w:sz w:val="24"/>
          <w:szCs w:val="24"/>
        </w:rPr>
        <w:t>the</w:t>
      </w:r>
      <w:r w:rsidR="002D7EC8" w:rsidRPr="00B80E82">
        <w:rPr>
          <w:rFonts w:ascii="Times New Roman" w:eastAsia="Times New Roman" w:hAnsi="Times New Roman" w:cs="Times New Roman"/>
          <w:sz w:val="24"/>
          <w:szCs w:val="24"/>
        </w:rPr>
        <w:t xml:space="preserve"> 4 million</w:t>
      </w:r>
      <w:r w:rsidR="002D7EC8">
        <w:rPr>
          <w:rFonts w:ascii="Times New Roman" w:eastAsia="Times New Roman" w:hAnsi="Times New Roman" w:cs="Times New Roman"/>
          <w:sz w:val="24"/>
          <w:szCs w:val="24"/>
        </w:rPr>
        <w:t xml:space="preserve"> students studying abroad represents</w:t>
      </w:r>
      <w:r w:rsidR="002D7EC8" w:rsidRPr="00B80E82">
        <w:rPr>
          <w:rFonts w:ascii="Times New Roman" w:eastAsia="Times New Roman" w:hAnsi="Times New Roman" w:cs="Times New Roman"/>
          <w:sz w:val="24"/>
          <w:szCs w:val="24"/>
        </w:rPr>
        <w:t xml:space="preserve"> 1.8% of all tertiary enrolments or 2 in 10 students globally.  </w:t>
      </w:r>
      <w:r w:rsidR="002D7EC8">
        <w:rPr>
          <w:rFonts w:ascii="Times New Roman" w:eastAsia="Times New Roman" w:hAnsi="Times New Roman" w:cs="Times New Roman"/>
          <w:sz w:val="24"/>
          <w:szCs w:val="24"/>
        </w:rPr>
        <w:t xml:space="preserve">There is </w:t>
      </w:r>
      <w:r w:rsidR="002D7EC8" w:rsidRPr="00B80E82">
        <w:rPr>
          <w:rFonts w:ascii="Times New Roman" w:eastAsia="Times New Roman" w:hAnsi="Times New Roman" w:cs="Times New Roman"/>
          <w:sz w:val="24"/>
          <w:szCs w:val="24"/>
        </w:rPr>
        <w:t xml:space="preserve">a steady rise in the number of students studying abroad </w:t>
      </w:r>
      <w:r w:rsidR="002D7EC8">
        <w:rPr>
          <w:rFonts w:ascii="Times New Roman" w:eastAsia="Times New Roman" w:hAnsi="Times New Roman" w:cs="Times New Roman"/>
          <w:sz w:val="24"/>
          <w:szCs w:val="24"/>
        </w:rPr>
        <w:t xml:space="preserve">coming from Central Asia. </w:t>
      </w:r>
      <w:r w:rsidR="002D7EC8" w:rsidRPr="00B80E82">
        <w:rPr>
          <w:rFonts w:ascii="Times New Roman" w:eastAsia="Times New Roman" w:hAnsi="Times New Roman" w:cs="Times New Roman"/>
          <w:sz w:val="24"/>
          <w:szCs w:val="24"/>
        </w:rPr>
        <w:t xml:space="preserve">This group grew from 67,300 in 2003 to 156,600 in 2012, with the outbound mobility ratio more than doubling from 3.5% to 7.5%. </w:t>
      </w:r>
      <w:r w:rsidR="002D7EC8">
        <w:rPr>
          <w:rFonts w:ascii="Times New Roman" w:eastAsia="Times New Roman" w:hAnsi="Times New Roman" w:cs="Times New Roman"/>
          <w:sz w:val="24"/>
          <w:szCs w:val="24"/>
        </w:rPr>
        <w:t xml:space="preserve">UNESCO claims that the </w:t>
      </w:r>
      <w:r w:rsidR="002D7EC8" w:rsidRPr="00B80E82">
        <w:rPr>
          <w:rFonts w:ascii="Times New Roman" w:eastAsia="Times New Roman" w:hAnsi="Times New Roman" w:cs="Times New Roman"/>
          <w:sz w:val="24"/>
          <w:szCs w:val="24"/>
        </w:rPr>
        <w:t xml:space="preserve">figures suggest that domestic tertiary enrolment </w:t>
      </w:r>
      <w:r w:rsidR="002D7EC8">
        <w:rPr>
          <w:rFonts w:ascii="Times New Roman" w:eastAsia="Times New Roman" w:hAnsi="Times New Roman" w:cs="Times New Roman"/>
          <w:sz w:val="24"/>
          <w:szCs w:val="24"/>
        </w:rPr>
        <w:t xml:space="preserve">that </w:t>
      </w:r>
      <w:r w:rsidR="002D7EC8" w:rsidRPr="00B80E82">
        <w:rPr>
          <w:rFonts w:ascii="Times New Roman" w:eastAsia="Times New Roman" w:hAnsi="Times New Roman" w:cs="Times New Roman"/>
          <w:sz w:val="24"/>
          <w:szCs w:val="24"/>
        </w:rPr>
        <w:t>has not kept pace with the growing demand for higher education.</w:t>
      </w:r>
      <w:r w:rsidR="002D7EC8">
        <w:rPr>
          <w:rFonts w:ascii="Times New Roman" w:eastAsia="Times New Roman" w:hAnsi="Times New Roman" w:cs="Times New Roman"/>
          <w:sz w:val="24"/>
          <w:szCs w:val="24"/>
        </w:rPr>
        <w:t xml:space="preserve"> </w:t>
      </w:r>
      <w:r w:rsidR="002D7EC8" w:rsidRPr="00B80E82">
        <w:rPr>
          <w:rFonts w:ascii="Times New Roman" w:eastAsia="Times New Roman" w:hAnsi="Times New Roman" w:cs="Times New Roman"/>
          <w:sz w:val="24"/>
          <w:szCs w:val="24"/>
        </w:rPr>
        <w:t xml:space="preserve">In contrast, students from sub-Saharan Africa, who are </w:t>
      </w:r>
      <w:r w:rsidR="002D7EC8">
        <w:rPr>
          <w:rFonts w:ascii="Times New Roman" w:eastAsia="Times New Roman" w:hAnsi="Times New Roman" w:cs="Times New Roman"/>
          <w:sz w:val="24"/>
          <w:szCs w:val="24"/>
        </w:rPr>
        <w:t xml:space="preserve">considered </w:t>
      </w:r>
      <w:r w:rsidR="002D7EC8" w:rsidRPr="00B80E82">
        <w:rPr>
          <w:rFonts w:ascii="Times New Roman" w:eastAsia="Times New Roman" w:hAnsi="Times New Roman" w:cs="Times New Roman"/>
          <w:sz w:val="24"/>
          <w:szCs w:val="24"/>
        </w:rPr>
        <w:t>the second most mobile</w:t>
      </w:r>
      <w:r w:rsidR="002D7EC8">
        <w:rPr>
          <w:rFonts w:ascii="Times New Roman" w:eastAsia="Times New Roman" w:hAnsi="Times New Roman" w:cs="Times New Roman"/>
          <w:sz w:val="24"/>
          <w:szCs w:val="24"/>
        </w:rPr>
        <w:t xml:space="preserve"> after Central Asia</w:t>
      </w:r>
      <w:r w:rsidR="002D7EC8" w:rsidRPr="00B80E82">
        <w:rPr>
          <w:rFonts w:ascii="Times New Roman" w:eastAsia="Times New Roman" w:hAnsi="Times New Roman" w:cs="Times New Roman"/>
          <w:sz w:val="24"/>
          <w:szCs w:val="24"/>
        </w:rPr>
        <w:t xml:space="preserve">, are staying closer to home. According to the latest data, 288,200 students </w:t>
      </w:r>
      <w:r w:rsidR="002D7EC8">
        <w:rPr>
          <w:rFonts w:ascii="Times New Roman" w:eastAsia="Times New Roman" w:hAnsi="Times New Roman" w:cs="Times New Roman"/>
          <w:sz w:val="24"/>
          <w:szCs w:val="24"/>
        </w:rPr>
        <w:t xml:space="preserve">from sub-Saharan Africa </w:t>
      </w:r>
      <w:r w:rsidR="002D7EC8" w:rsidRPr="00B80E82">
        <w:rPr>
          <w:rFonts w:ascii="Times New Roman" w:eastAsia="Times New Roman" w:hAnsi="Times New Roman" w:cs="Times New Roman"/>
          <w:sz w:val="24"/>
          <w:szCs w:val="24"/>
        </w:rPr>
        <w:t xml:space="preserve">studied abroad in 2012, up from 204,900 in 2003. </w:t>
      </w:r>
      <w:r w:rsidR="002D7EC8">
        <w:rPr>
          <w:rFonts w:ascii="Times New Roman" w:eastAsia="Times New Roman" w:hAnsi="Times New Roman" w:cs="Times New Roman"/>
          <w:sz w:val="24"/>
          <w:szCs w:val="24"/>
        </w:rPr>
        <w:t>Nevertheless,</w:t>
      </w:r>
      <w:r w:rsidR="002D7EC8" w:rsidRPr="00B80E82">
        <w:rPr>
          <w:rFonts w:ascii="Times New Roman" w:eastAsia="Times New Roman" w:hAnsi="Times New Roman" w:cs="Times New Roman"/>
          <w:sz w:val="24"/>
          <w:szCs w:val="24"/>
        </w:rPr>
        <w:t xml:space="preserve"> in this period the outbound mobility ratio in the region droppe</w:t>
      </w:r>
      <w:r w:rsidR="002D7EC8">
        <w:rPr>
          <w:rFonts w:ascii="Times New Roman" w:eastAsia="Times New Roman" w:hAnsi="Times New Roman" w:cs="Times New Roman"/>
          <w:sz w:val="24"/>
          <w:szCs w:val="24"/>
        </w:rPr>
        <w:t xml:space="preserve">d from 6% in to 4.5%. The shift, according to UNESCO, </w:t>
      </w:r>
      <w:r w:rsidR="002D7EC8" w:rsidRPr="00B80E82">
        <w:rPr>
          <w:rFonts w:ascii="Times New Roman" w:eastAsia="Times New Roman" w:hAnsi="Times New Roman" w:cs="Times New Roman"/>
          <w:sz w:val="24"/>
          <w:szCs w:val="24"/>
        </w:rPr>
        <w:t xml:space="preserve">suggests that domestic higher education systems </w:t>
      </w:r>
      <w:r w:rsidR="002D7EC8">
        <w:rPr>
          <w:rFonts w:ascii="Times New Roman" w:eastAsia="Times New Roman" w:hAnsi="Times New Roman" w:cs="Times New Roman"/>
          <w:sz w:val="24"/>
          <w:szCs w:val="24"/>
        </w:rPr>
        <w:t xml:space="preserve">in sub-Saharan Africa </w:t>
      </w:r>
      <w:r w:rsidR="002D7EC8" w:rsidRPr="00B80E82">
        <w:rPr>
          <w:rFonts w:ascii="Times New Roman" w:eastAsia="Times New Roman" w:hAnsi="Times New Roman" w:cs="Times New Roman"/>
          <w:sz w:val="24"/>
          <w:szCs w:val="24"/>
        </w:rPr>
        <w:t xml:space="preserve">are expanding steadily. </w:t>
      </w:r>
      <w:r w:rsidR="002D7EC8">
        <w:rPr>
          <w:rFonts w:ascii="Times New Roman" w:eastAsia="Times New Roman" w:hAnsi="Times New Roman" w:cs="Times New Roman"/>
          <w:sz w:val="24"/>
          <w:szCs w:val="24"/>
        </w:rPr>
        <w:t>There are t</w:t>
      </w:r>
      <w:r w:rsidR="002D7EC8" w:rsidRPr="00B80E82">
        <w:rPr>
          <w:rFonts w:ascii="Times New Roman" w:eastAsia="Times New Roman" w:hAnsi="Times New Roman" w:cs="Times New Roman"/>
          <w:sz w:val="24"/>
          <w:szCs w:val="24"/>
        </w:rPr>
        <w:t xml:space="preserve">hree regions have relatively low outbound mobility ratios: South and West Asia, where </w:t>
      </w:r>
      <w:r w:rsidR="002D7EC8">
        <w:rPr>
          <w:rFonts w:ascii="Times New Roman" w:eastAsia="Times New Roman" w:hAnsi="Times New Roman" w:cs="Times New Roman"/>
          <w:sz w:val="24"/>
          <w:szCs w:val="24"/>
        </w:rPr>
        <w:t xml:space="preserve">only </w:t>
      </w:r>
      <w:r w:rsidR="002D7EC8" w:rsidRPr="00B80E82">
        <w:rPr>
          <w:rFonts w:ascii="Times New Roman" w:eastAsia="Times New Roman" w:hAnsi="Times New Roman" w:cs="Times New Roman"/>
          <w:sz w:val="24"/>
          <w:szCs w:val="24"/>
        </w:rPr>
        <w:t>1.0% of t</w:t>
      </w:r>
      <w:r w:rsidR="002D7EC8">
        <w:rPr>
          <w:rFonts w:ascii="Times New Roman" w:eastAsia="Times New Roman" w:hAnsi="Times New Roman" w:cs="Times New Roman"/>
          <w:sz w:val="24"/>
          <w:szCs w:val="24"/>
        </w:rPr>
        <w:t>ertiary students studied abroad</w:t>
      </w:r>
      <w:r w:rsidR="002D7EC8" w:rsidRPr="00B80E82">
        <w:rPr>
          <w:rFonts w:ascii="Times New Roman" w:eastAsia="Times New Roman" w:hAnsi="Times New Roman" w:cs="Times New Roman"/>
          <w:sz w:val="24"/>
          <w:szCs w:val="24"/>
        </w:rPr>
        <w:t xml:space="preserve">, Latin America and the Caribbean (0.9%), and North America (1.4%). </w:t>
      </w:r>
    </w:p>
    <w:p w:rsidR="00444C2B" w:rsidRDefault="0048571E" w:rsidP="002D7E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conventional student mobility is enriched at this present moment by the virtual mobility triggered by the rapid development of online learning. </w:t>
      </w:r>
      <w:r w:rsidR="007126EF">
        <w:rPr>
          <w:rFonts w:ascii="Times New Roman" w:eastAsia="Times New Roman" w:hAnsi="Times New Roman" w:cs="Times New Roman"/>
          <w:sz w:val="24"/>
          <w:szCs w:val="24"/>
        </w:rPr>
        <w:t xml:space="preserve">The virtual mobility is </w:t>
      </w:r>
      <w:r w:rsidR="007126EF" w:rsidRPr="007126EF">
        <w:rPr>
          <w:rFonts w:ascii="Times New Roman" w:eastAsia="Times New Roman" w:hAnsi="Times New Roman" w:cs="Times New Roman"/>
          <w:sz w:val="24"/>
          <w:szCs w:val="24"/>
        </w:rPr>
        <w:t xml:space="preserve">the form of </w:t>
      </w:r>
      <w:r w:rsidR="007126EF">
        <w:rPr>
          <w:rFonts w:ascii="Times New Roman" w:eastAsia="Times New Roman" w:hAnsi="Times New Roman" w:cs="Times New Roman"/>
          <w:sz w:val="24"/>
          <w:szCs w:val="24"/>
        </w:rPr>
        <w:t xml:space="preserve">education </w:t>
      </w:r>
      <w:r w:rsidR="007126EF" w:rsidRPr="007126EF">
        <w:rPr>
          <w:rFonts w:ascii="Times New Roman" w:eastAsia="Times New Roman" w:hAnsi="Times New Roman" w:cs="Times New Roman"/>
          <w:sz w:val="24"/>
          <w:szCs w:val="24"/>
        </w:rPr>
        <w:t xml:space="preserve">to help students acquire international </w:t>
      </w:r>
      <w:r w:rsidR="007126EF">
        <w:rPr>
          <w:rFonts w:ascii="Times New Roman" w:eastAsia="Times New Roman" w:hAnsi="Times New Roman" w:cs="Times New Roman"/>
          <w:sz w:val="24"/>
          <w:szCs w:val="24"/>
        </w:rPr>
        <w:t>education</w:t>
      </w:r>
      <w:r w:rsidR="007126EF" w:rsidRPr="007126EF">
        <w:rPr>
          <w:rFonts w:ascii="Times New Roman" w:eastAsia="Times New Roman" w:hAnsi="Times New Roman" w:cs="Times New Roman"/>
          <w:sz w:val="24"/>
          <w:szCs w:val="24"/>
        </w:rPr>
        <w:t xml:space="preserve"> without having to leave the country</w:t>
      </w:r>
      <w:r w:rsidR="007126EF">
        <w:rPr>
          <w:rFonts w:ascii="Times New Roman" w:eastAsia="Times New Roman" w:hAnsi="Times New Roman" w:cs="Times New Roman"/>
          <w:sz w:val="24"/>
          <w:szCs w:val="24"/>
        </w:rPr>
        <w:t xml:space="preserve"> or even their hometown</w:t>
      </w:r>
      <w:r w:rsidR="007126EF" w:rsidRPr="00712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development of </w:t>
      </w:r>
      <w:r w:rsidRPr="0048571E">
        <w:rPr>
          <w:rFonts w:ascii="Times New Roman" w:eastAsia="Times New Roman" w:hAnsi="Times New Roman" w:cs="Times New Roman"/>
          <w:sz w:val="24"/>
          <w:szCs w:val="24"/>
        </w:rPr>
        <w:t>Open Educational Resources and Massive Open Online Courses</w:t>
      </w:r>
      <w:r>
        <w:rPr>
          <w:rFonts w:ascii="Times New Roman" w:eastAsia="Times New Roman" w:hAnsi="Times New Roman" w:cs="Times New Roman"/>
          <w:sz w:val="24"/>
          <w:szCs w:val="24"/>
        </w:rPr>
        <w:t xml:space="preserve"> initiated by Massachusetts Institute of Technology in the late 1990s and UNESCO in early 2000s has provided a wide array of flexible education for students anywhere at any time.  While the students may not be moving physically from their hometown, they are travelling virtually to pursue higher education, i.e., through online learning provision made available by various higher educations in countries around the world.  </w:t>
      </w:r>
      <w:r w:rsidR="00CF5C9E">
        <w:rPr>
          <w:rFonts w:ascii="Times New Roman" w:eastAsia="Times New Roman" w:hAnsi="Times New Roman" w:cs="Times New Roman"/>
          <w:sz w:val="24"/>
          <w:szCs w:val="24"/>
        </w:rPr>
        <w:t xml:space="preserve">There has been steady increase of students from around the world participating in online learning offered by a number of higher education consortium, such as </w:t>
      </w:r>
      <w:r w:rsidR="00CF5C9E" w:rsidRPr="00CF5C9E">
        <w:rPr>
          <w:rFonts w:ascii="Times New Roman" w:eastAsia="Times New Roman" w:hAnsi="Times New Roman" w:cs="Times New Roman"/>
          <w:sz w:val="24"/>
          <w:szCs w:val="24"/>
        </w:rPr>
        <w:t>Coursera, Udacity, MITx, 2tor, Academic Partnership, OpenUpEd, Schoo, Open2Study, Veduca, NPTEL, etc.</w:t>
      </w:r>
      <w:r w:rsidR="00CF5C9E">
        <w:rPr>
          <w:rFonts w:ascii="Times New Roman" w:eastAsia="Times New Roman" w:hAnsi="Times New Roman" w:cs="Times New Roman"/>
          <w:sz w:val="24"/>
          <w:szCs w:val="24"/>
        </w:rPr>
        <w:t xml:space="preserve">, although the initiatives is still at an early stage to be evaluated. </w:t>
      </w:r>
    </w:p>
    <w:p w:rsidR="0048571E" w:rsidRDefault="0048571E" w:rsidP="002D7EC8">
      <w:pPr>
        <w:spacing w:after="0"/>
        <w:jc w:val="both"/>
        <w:rPr>
          <w:rFonts w:ascii="Times New Roman" w:eastAsia="Times New Roman" w:hAnsi="Times New Roman" w:cs="Times New Roman"/>
          <w:sz w:val="24"/>
          <w:szCs w:val="24"/>
        </w:rPr>
      </w:pPr>
    </w:p>
    <w:p w:rsidR="007126EF" w:rsidRDefault="007126EF" w:rsidP="002D7EC8">
      <w:pPr>
        <w:spacing w:after="0"/>
        <w:jc w:val="both"/>
        <w:rPr>
          <w:rFonts w:ascii="Times New Roman" w:eastAsia="Times New Roman" w:hAnsi="Times New Roman" w:cs="Times New Roman"/>
          <w:sz w:val="24"/>
          <w:szCs w:val="24"/>
        </w:rPr>
      </w:pPr>
    </w:p>
    <w:p w:rsidR="007126EF" w:rsidRDefault="007126EF" w:rsidP="002D7EC8">
      <w:pPr>
        <w:spacing w:after="0"/>
        <w:jc w:val="both"/>
        <w:rPr>
          <w:rFonts w:ascii="Times New Roman" w:eastAsia="Times New Roman" w:hAnsi="Times New Roman" w:cs="Times New Roman"/>
          <w:sz w:val="24"/>
          <w:szCs w:val="24"/>
        </w:rPr>
      </w:pPr>
    </w:p>
    <w:p w:rsidR="007126EF" w:rsidRDefault="007126EF" w:rsidP="002D7EC8">
      <w:pPr>
        <w:spacing w:after="0"/>
        <w:jc w:val="both"/>
        <w:rPr>
          <w:rFonts w:ascii="Times New Roman" w:eastAsia="Times New Roman" w:hAnsi="Times New Roman" w:cs="Times New Roman"/>
          <w:sz w:val="24"/>
          <w:szCs w:val="24"/>
        </w:rPr>
      </w:pPr>
    </w:p>
    <w:p w:rsidR="00E316EC" w:rsidRDefault="00E316EC" w:rsidP="00E316EC">
      <w:pPr>
        <w:spacing w:after="0"/>
        <w:jc w:val="both"/>
        <w:rPr>
          <w:rFonts w:ascii="Times New Roman" w:eastAsia="Times New Roman" w:hAnsi="Times New Roman" w:cs="Times New Roman"/>
          <w:sz w:val="24"/>
          <w:szCs w:val="24"/>
        </w:rPr>
      </w:pPr>
    </w:p>
    <w:p w:rsidR="00E316EC" w:rsidRPr="00E316EC" w:rsidRDefault="00E316EC" w:rsidP="00E316EC">
      <w:pPr>
        <w:spacing w:after="0"/>
        <w:jc w:val="both"/>
        <w:rPr>
          <w:rFonts w:ascii="Times New Roman" w:eastAsia="Times New Roman" w:hAnsi="Times New Roman" w:cs="Times New Roman"/>
          <w:b/>
          <w:sz w:val="24"/>
          <w:szCs w:val="24"/>
        </w:rPr>
      </w:pPr>
      <w:r w:rsidRPr="00E316EC">
        <w:rPr>
          <w:rFonts w:ascii="Times New Roman" w:eastAsia="Times New Roman" w:hAnsi="Times New Roman" w:cs="Times New Roman"/>
          <w:b/>
          <w:sz w:val="24"/>
          <w:szCs w:val="24"/>
        </w:rPr>
        <w:lastRenderedPageBreak/>
        <w:t>APEC Education Space</w:t>
      </w:r>
    </w:p>
    <w:p w:rsidR="00E316EC" w:rsidRDefault="00E316EC" w:rsidP="00E316EC">
      <w:pPr>
        <w:spacing w:after="0"/>
        <w:jc w:val="both"/>
        <w:rPr>
          <w:rFonts w:ascii="Times New Roman" w:eastAsia="Times New Roman" w:hAnsi="Times New Roman" w:cs="Times New Roman"/>
          <w:sz w:val="24"/>
          <w:szCs w:val="24"/>
        </w:rPr>
      </w:pPr>
    </w:p>
    <w:p w:rsidR="00E316EC" w:rsidRDefault="00E316EC" w:rsidP="00E316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enable students moving from one geographical area to other areas, both physically as well as virtually, it is required for the students to have “</w:t>
      </w:r>
      <w:r w:rsidR="005A01EA">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xml:space="preserve"> space” as has been introduced in </w:t>
      </w:r>
      <w:r w:rsidRPr="00972004">
        <w:rPr>
          <w:rFonts w:ascii="Times New Roman" w:eastAsia="Times New Roman" w:hAnsi="Times New Roman" w:cs="Times New Roman"/>
          <w:sz w:val="24"/>
          <w:szCs w:val="24"/>
        </w:rPr>
        <w:t>European Higher Education Area triggered by the Bologna Process in 1999, and ASEAN area of higher education</w:t>
      </w:r>
      <w:r w:rsidR="007126EF">
        <w:rPr>
          <w:rFonts w:ascii="Times New Roman" w:eastAsia="Times New Roman" w:hAnsi="Times New Roman" w:cs="Times New Roman"/>
          <w:sz w:val="24"/>
          <w:szCs w:val="24"/>
        </w:rPr>
        <w:t xml:space="preserve"> that follows. </w:t>
      </w:r>
      <w:r>
        <w:rPr>
          <w:rFonts w:ascii="Times New Roman" w:eastAsia="Times New Roman" w:hAnsi="Times New Roman" w:cs="Times New Roman"/>
          <w:sz w:val="24"/>
          <w:szCs w:val="24"/>
        </w:rPr>
        <w:t xml:space="preserve">As such, there should also be an establishment of APEC economies as APEC education space to allow student mobility across the APEC economies.  </w:t>
      </w:r>
    </w:p>
    <w:p w:rsidR="00E316EC" w:rsidRDefault="00E316EC" w:rsidP="00E316EC">
      <w:pPr>
        <w:spacing w:after="0"/>
        <w:jc w:val="both"/>
        <w:rPr>
          <w:rFonts w:ascii="Times New Roman" w:eastAsia="Times New Roman" w:hAnsi="Times New Roman" w:cs="Times New Roman"/>
          <w:sz w:val="24"/>
          <w:szCs w:val="24"/>
        </w:rPr>
      </w:pPr>
    </w:p>
    <w:p w:rsidR="00E92726" w:rsidRPr="007F2866" w:rsidRDefault="00E316EC" w:rsidP="009720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APEC education space requires harmonization effort of education among APEC economies to take place. This </w:t>
      </w:r>
      <w:r w:rsidRPr="00972004">
        <w:rPr>
          <w:rFonts w:ascii="Times New Roman" w:eastAsia="Times New Roman" w:hAnsi="Times New Roman" w:cs="Times New Roman"/>
          <w:sz w:val="24"/>
          <w:szCs w:val="24"/>
        </w:rPr>
        <w:t xml:space="preserve">harmonization </w:t>
      </w:r>
      <w:r>
        <w:rPr>
          <w:rFonts w:ascii="Times New Roman" w:eastAsia="Times New Roman" w:hAnsi="Times New Roman" w:cs="Times New Roman"/>
          <w:sz w:val="24"/>
          <w:szCs w:val="24"/>
        </w:rPr>
        <w:t xml:space="preserve">effort reflects </w:t>
      </w:r>
      <w:r w:rsidRPr="00972004">
        <w:rPr>
          <w:rFonts w:ascii="Times New Roman" w:eastAsia="Times New Roman" w:hAnsi="Times New Roman" w:cs="Times New Roman"/>
          <w:sz w:val="24"/>
          <w:szCs w:val="24"/>
        </w:rPr>
        <w:t>a process to recognize the significance of education cooperation and the</w:t>
      </w:r>
      <w:r>
        <w:rPr>
          <w:rFonts w:ascii="Times New Roman" w:eastAsia="Times New Roman" w:hAnsi="Times New Roman" w:cs="Times New Roman"/>
          <w:sz w:val="24"/>
          <w:szCs w:val="24"/>
        </w:rPr>
        <w:t xml:space="preserve"> importance of establishing an area of knowledge</w:t>
      </w:r>
      <w:r w:rsidRPr="00972004">
        <w:rPr>
          <w:rFonts w:ascii="Times New Roman" w:eastAsia="Times New Roman" w:hAnsi="Times New Roman" w:cs="Times New Roman"/>
          <w:sz w:val="24"/>
          <w:szCs w:val="24"/>
        </w:rPr>
        <w:t xml:space="preserve"> in which higher education</w:t>
      </w:r>
      <w:r>
        <w:rPr>
          <w:rFonts w:ascii="Times New Roman" w:eastAsia="Times New Roman" w:hAnsi="Times New Roman" w:cs="Times New Roman"/>
          <w:sz w:val="24"/>
          <w:szCs w:val="24"/>
        </w:rPr>
        <w:t xml:space="preserve"> operation</w:t>
      </w:r>
      <w:r w:rsidRPr="00972004">
        <w:rPr>
          <w:rFonts w:ascii="Times New Roman" w:eastAsia="Times New Roman" w:hAnsi="Times New Roman" w:cs="Times New Roman"/>
          <w:sz w:val="24"/>
          <w:szCs w:val="24"/>
        </w:rPr>
        <w:t xml:space="preserve">, mobility, and employment opportunities can be easily facilitated and increased among the APEC economies. Through such process, APEC economies acknowledges diversity of higher education systems and cultures within its economies, while simultaneously seeking to create a common educational space.  </w:t>
      </w:r>
      <w:r>
        <w:rPr>
          <w:rFonts w:ascii="Times New Roman" w:eastAsia="Times New Roman" w:hAnsi="Times New Roman" w:cs="Times New Roman"/>
          <w:sz w:val="24"/>
          <w:szCs w:val="24"/>
        </w:rPr>
        <w:t xml:space="preserve">The process also fosters </w:t>
      </w:r>
      <w:r w:rsidRPr="007F2866">
        <w:rPr>
          <w:rFonts w:ascii="Times New Roman" w:eastAsia="Times New Roman" w:hAnsi="Times New Roman" w:cs="Times New Roman"/>
          <w:sz w:val="24"/>
          <w:szCs w:val="24"/>
        </w:rPr>
        <w:t xml:space="preserve">a higher level of understanding, a sense of shared purpose and common destiny in a highly globalized world. This </w:t>
      </w:r>
      <w:r>
        <w:rPr>
          <w:rFonts w:ascii="Times New Roman" w:eastAsia="Times New Roman" w:hAnsi="Times New Roman" w:cs="Times New Roman"/>
          <w:sz w:val="24"/>
          <w:szCs w:val="24"/>
        </w:rPr>
        <w:t>harmonization</w:t>
      </w:r>
      <w:r w:rsidRPr="007F2866">
        <w:rPr>
          <w:rFonts w:ascii="Times New Roman" w:eastAsia="Times New Roman" w:hAnsi="Times New Roman" w:cs="Times New Roman"/>
          <w:sz w:val="24"/>
          <w:szCs w:val="24"/>
        </w:rPr>
        <w:t xml:space="preserve"> could </w:t>
      </w:r>
      <w:r>
        <w:rPr>
          <w:rFonts w:ascii="Times New Roman" w:eastAsia="Times New Roman" w:hAnsi="Times New Roman" w:cs="Times New Roman"/>
          <w:sz w:val="24"/>
          <w:szCs w:val="24"/>
        </w:rPr>
        <w:t>take place</w:t>
      </w:r>
      <w:r w:rsidRPr="007F2866">
        <w:rPr>
          <w:rFonts w:ascii="Times New Roman" w:eastAsia="Times New Roman" w:hAnsi="Times New Roman" w:cs="Times New Roman"/>
          <w:sz w:val="24"/>
          <w:szCs w:val="24"/>
        </w:rPr>
        <w:t xml:space="preserve"> on the basis of a common, but not identical, practices and guidelines for </w:t>
      </w:r>
      <w:r>
        <w:rPr>
          <w:rFonts w:ascii="Times New Roman" w:eastAsia="Times New Roman" w:hAnsi="Times New Roman" w:cs="Times New Roman"/>
          <w:sz w:val="24"/>
          <w:szCs w:val="24"/>
        </w:rPr>
        <w:t>collaboration</w:t>
      </w:r>
      <w:r w:rsidRPr="007F2866">
        <w:rPr>
          <w:rFonts w:ascii="Times New Roman" w:eastAsia="Times New Roman" w:hAnsi="Times New Roman" w:cs="Times New Roman"/>
          <w:sz w:val="24"/>
          <w:szCs w:val="24"/>
        </w:rPr>
        <w:t xml:space="preserve"> in education.</w:t>
      </w:r>
    </w:p>
    <w:p w:rsidR="00C6340C" w:rsidRDefault="002F538B" w:rsidP="00163BF5">
      <w:pPr>
        <w:spacing w:before="100" w:beforeAutospacing="1" w:after="100" w:afterAutospacing="1"/>
        <w:jc w:val="both"/>
        <w:rPr>
          <w:rFonts w:ascii="Times New Roman" w:eastAsia="Times New Roman" w:hAnsi="Times New Roman" w:cs="Times New Roman"/>
          <w:sz w:val="24"/>
          <w:szCs w:val="24"/>
        </w:rPr>
      </w:pPr>
      <w:r w:rsidRPr="00163BF5">
        <w:rPr>
          <w:rFonts w:ascii="Times New Roman" w:eastAsia="Times New Roman" w:hAnsi="Times New Roman" w:cs="Times New Roman"/>
          <w:sz w:val="24"/>
          <w:szCs w:val="24"/>
        </w:rPr>
        <w:t>A</w:t>
      </w:r>
      <w:r w:rsidR="00E316EC" w:rsidRPr="00163BF5">
        <w:rPr>
          <w:rFonts w:ascii="Times New Roman" w:eastAsia="Times New Roman" w:hAnsi="Times New Roman" w:cs="Times New Roman"/>
          <w:sz w:val="24"/>
          <w:szCs w:val="24"/>
        </w:rPr>
        <w:t xml:space="preserve">PEC education space </w:t>
      </w:r>
      <w:r w:rsidR="00BE6DBC">
        <w:rPr>
          <w:rFonts w:ascii="Times New Roman" w:eastAsia="Times New Roman" w:hAnsi="Times New Roman" w:cs="Times New Roman"/>
          <w:sz w:val="24"/>
          <w:szCs w:val="24"/>
        </w:rPr>
        <w:t>is</w:t>
      </w:r>
      <w:r w:rsidRPr="00163BF5">
        <w:rPr>
          <w:rFonts w:ascii="Times New Roman" w:eastAsia="Times New Roman" w:hAnsi="Times New Roman" w:cs="Times New Roman"/>
          <w:sz w:val="24"/>
          <w:szCs w:val="24"/>
        </w:rPr>
        <w:t xml:space="preserve"> not intend</w:t>
      </w:r>
      <w:r w:rsidR="00BE6DBC">
        <w:rPr>
          <w:rFonts w:ascii="Times New Roman" w:eastAsia="Times New Roman" w:hAnsi="Times New Roman" w:cs="Times New Roman"/>
          <w:sz w:val="24"/>
          <w:szCs w:val="24"/>
        </w:rPr>
        <w:t>ed</w:t>
      </w:r>
      <w:r w:rsidRPr="00163BF5">
        <w:rPr>
          <w:rFonts w:ascii="Times New Roman" w:eastAsia="Times New Roman" w:hAnsi="Times New Roman" w:cs="Times New Roman"/>
          <w:sz w:val="24"/>
          <w:szCs w:val="24"/>
        </w:rPr>
        <w:t xml:space="preserve"> to create a uniform or </w:t>
      </w:r>
      <w:r w:rsidR="00163BF5" w:rsidRPr="00163BF5">
        <w:rPr>
          <w:rFonts w:ascii="Times New Roman" w:eastAsia="Times New Roman" w:hAnsi="Times New Roman" w:cs="Times New Roman"/>
          <w:sz w:val="24"/>
          <w:szCs w:val="24"/>
        </w:rPr>
        <w:t>standardized</w:t>
      </w:r>
      <w:r w:rsidRPr="00163BF5">
        <w:rPr>
          <w:rFonts w:ascii="Times New Roman" w:eastAsia="Times New Roman" w:hAnsi="Times New Roman" w:cs="Times New Roman"/>
          <w:sz w:val="24"/>
          <w:szCs w:val="24"/>
        </w:rPr>
        <w:t xml:space="preserve"> system of higher education</w:t>
      </w:r>
      <w:r w:rsidR="00E316EC" w:rsidRPr="00163BF5">
        <w:rPr>
          <w:rFonts w:ascii="Times New Roman" w:eastAsia="Times New Roman" w:hAnsi="Times New Roman" w:cs="Times New Roman"/>
          <w:sz w:val="24"/>
          <w:szCs w:val="24"/>
        </w:rPr>
        <w:t xml:space="preserve"> across APEC economies</w:t>
      </w:r>
      <w:r w:rsidRPr="00163BF5">
        <w:rPr>
          <w:rFonts w:ascii="Times New Roman" w:eastAsia="Times New Roman" w:hAnsi="Times New Roman" w:cs="Times New Roman"/>
          <w:sz w:val="24"/>
          <w:szCs w:val="24"/>
        </w:rPr>
        <w:t xml:space="preserve">. </w:t>
      </w:r>
      <w:r w:rsidR="00E316EC" w:rsidRPr="00163BF5">
        <w:rPr>
          <w:rFonts w:ascii="Times New Roman" w:eastAsia="Times New Roman" w:hAnsi="Times New Roman" w:cs="Times New Roman"/>
          <w:sz w:val="24"/>
          <w:szCs w:val="24"/>
        </w:rPr>
        <w:t>It</w:t>
      </w:r>
      <w:r w:rsidRPr="00163BF5">
        <w:rPr>
          <w:rFonts w:ascii="Times New Roman" w:eastAsia="Times New Roman" w:hAnsi="Times New Roman" w:cs="Times New Roman"/>
          <w:sz w:val="24"/>
          <w:szCs w:val="24"/>
        </w:rPr>
        <w:t xml:space="preserve"> is </w:t>
      </w:r>
      <w:r w:rsidR="00E316EC" w:rsidRPr="00163BF5">
        <w:rPr>
          <w:rFonts w:ascii="Times New Roman" w:eastAsia="Times New Roman" w:hAnsi="Times New Roman" w:cs="Times New Roman"/>
          <w:sz w:val="24"/>
          <w:szCs w:val="24"/>
        </w:rPr>
        <w:t xml:space="preserve">primarily </w:t>
      </w:r>
      <w:r w:rsidRPr="00163BF5">
        <w:rPr>
          <w:rFonts w:ascii="Times New Roman" w:eastAsia="Times New Roman" w:hAnsi="Times New Roman" w:cs="Times New Roman"/>
          <w:sz w:val="24"/>
          <w:szCs w:val="24"/>
        </w:rPr>
        <w:t xml:space="preserve">to create </w:t>
      </w:r>
      <w:r w:rsidR="00C6340C">
        <w:rPr>
          <w:rFonts w:ascii="Times New Roman" w:eastAsia="Times New Roman" w:hAnsi="Times New Roman" w:cs="Times New Roman"/>
          <w:sz w:val="24"/>
          <w:szCs w:val="24"/>
        </w:rPr>
        <w:t>common understanding</w:t>
      </w:r>
      <w:r w:rsidRPr="00163BF5">
        <w:rPr>
          <w:rFonts w:ascii="Times New Roman" w:eastAsia="Times New Roman" w:hAnsi="Times New Roman" w:cs="Times New Roman"/>
          <w:sz w:val="24"/>
          <w:szCs w:val="24"/>
        </w:rPr>
        <w:t xml:space="preserve"> in areas such as degree comparability through qualifications framework, quality assurance, lifelong learning, or credit transfer system and so on (Armstrong, 2009; Clark, 2007).</w:t>
      </w:r>
      <w:r w:rsidR="00163BF5">
        <w:rPr>
          <w:rFonts w:ascii="Times New Roman" w:eastAsia="Times New Roman" w:hAnsi="Times New Roman" w:cs="Times New Roman"/>
          <w:sz w:val="24"/>
          <w:szCs w:val="24"/>
        </w:rPr>
        <w:t xml:space="preserve"> </w:t>
      </w:r>
      <w:r w:rsidR="00C6340C">
        <w:rPr>
          <w:rFonts w:ascii="Times New Roman" w:eastAsia="Times New Roman" w:hAnsi="Times New Roman" w:cs="Times New Roman"/>
          <w:sz w:val="24"/>
          <w:szCs w:val="24"/>
        </w:rPr>
        <w:t>As such, it</w:t>
      </w:r>
      <w:r w:rsidR="00163BF5">
        <w:rPr>
          <w:rFonts w:ascii="Times New Roman" w:eastAsia="Times New Roman" w:hAnsi="Times New Roman" w:cs="Times New Roman"/>
          <w:sz w:val="24"/>
          <w:szCs w:val="24"/>
        </w:rPr>
        <w:t xml:space="preserve"> </w:t>
      </w:r>
      <w:r w:rsidRPr="00163BF5">
        <w:rPr>
          <w:rFonts w:ascii="Times New Roman" w:eastAsia="Times New Roman" w:hAnsi="Times New Roman" w:cs="Times New Roman"/>
          <w:sz w:val="24"/>
          <w:szCs w:val="24"/>
        </w:rPr>
        <w:t xml:space="preserve">will facilitate and smoothen </w:t>
      </w:r>
      <w:r w:rsidR="00163BF5">
        <w:rPr>
          <w:rFonts w:ascii="Times New Roman" w:eastAsia="Times New Roman" w:hAnsi="Times New Roman" w:cs="Times New Roman"/>
          <w:sz w:val="24"/>
          <w:szCs w:val="24"/>
        </w:rPr>
        <w:t>student mobility and lifelong learning</w:t>
      </w:r>
      <w:r w:rsidR="00C6340C">
        <w:rPr>
          <w:rFonts w:ascii="Times New Roman" w:eastAsia="Times New Roman" w:hAnsi="Times New Roman" w:cs="Times New Roman"/>
          <w:sz w:val="24"/>
          <w:szCs w:val="24"/>
        </w:rPr>
        <w:t>,</w:t>
      </w:r>
      <w:r w:rsidR="00163BF5">
        <w:rPr>
          <w:rFonts w:ascii="Times New Roman" w:eastAsia="Times New Roman" w:hAnsi="Times New Roman" w:cs="Times New Roman"/>
          <w:sz w:val="24"/>
          <w:szCs w:val="24"/>
        </w:rPr>
        <w:t xml:space="preserve"> </w:t>
      </w:r>
      <w:r w:rsidRPr="00163BF5">
        <w:rPr>
          <w:rFonts w:ascii="Times New Roman" w:eastAsia="Times New Roman" w:hAnsi="Times New Roman" w:cs="Times New Roman"/>
          <w:sz w:val="24"/>
          <w:szCs w:val="24"/>
        </w:rPr>
        <w:t xml:space="preserve">which </w:t>
      </w:r>
      <w:r w:rsidR="00C6340C">
        <w:rPr>
          <w:rFonts w:ascii="Times New Roman" w:eastAsia="Times New Roman" w:hAnsi="Times New Roman" w:cs="Times New Roman"/>
          <w:sz w:val="24"/>
          <w:szCs w:val="24"/>
        </w:rPr>
        <w:t>in the long run will</w:t>
      </w:r>
      <w:r w:rsidRPr="00163BF5">
        <w:rPr>
          <w:rFonts w:ascii="Times New Roman" w:eastAsia="Times New Roman" w:hAnsi="Times New Roman" w:cs="Times New Roman"/>
          <w:sz w:val="24"/>
          <w:szCs w:val="24"/>
        </w:rPr>
        <w:t xml:space="preserve"> strengthen </w:t>
      </w:r>
      <w:r w:rsidR="00163BF5">
        <w:rPr>
          <w:rFonts w:ascii="Times New Roman" w:eastAsia="Times New Roman" w:hAnsi="Times New Roman" w:cs="Times New Roman"/>
          <w:sz w:val="24"/>
          <w:szCs w:val="24"/>
        </w:rPr>
        <w:t xml:space="preserve">regional </w:t>
      </w:r>
      <w:r w:rsidR="00C6340C">
        <w:rPr>
          <w:rFonts w:ascii="Times New Roman" w:eastAsia="Times New Roman" w:hAnsi="Times New Roman" w:cs="Times New Roman"/>
          <w:sz w:val="24"/>
          <w:szCs w:val="24"/>
        </w:rPr>
        <w:t>economy</w:t>
      </w:r>
      <w:r w:rsidRPr="00163BF5">
        <w:rPr>
          <w:rFonts w:ascii="Times New Roman" w:eastAsia="Times New Roman" w:hAnsi="Times New Roman" w:cs="Times New Roman"/>
          <w:sz w:val="24"/>
          <w:szCs w:val="24"/>
        </w:rPr>
        <w:t xml:space="preserve">. </w:t>
      </w:r>
      <w:r w:rsidR="00163BF5">
        <w:rPr>
          <w:rFonts w:ascii="Times New Roman" w:eastAsia="Times New Roman" w:hAnsi="Times New Roman" w:cs="Times New Roman"/>
          <w:sz w:val="24"/>
          <w:szCs w:val="24"/>
        </w:rPr>
        <w:t>In this space,</w:t>
      </w:r>
      <w:r w:rsidRPr="00163BF5">
        <w:rPr>
          <w:rFonts w:ascii="Times New Roman" w:eastAsia="Times New Roman" w:hAnsi="Times New Roman" w:cs="Times New Roman"/>
          <w:sz w:val="24"/>
          <w:szCs w:val="24"/>
        </w:rPr>
        <w:t xml:space="preserve"> students, faculty members and </w:t>
      </w:r>
      <w:r w:rsidR="00163BF5">
        <w:rPr>
          <w:rFonts w:ascii="Times New Roman" w:eastAsia="Times New Roman" w:hAnsi="Times New Roman" w:cs="Times New Roman"/>
          <w:sz w:val="24"/>
          <w:szCs w:val="24"/>
        </w:rPr>
        <w:t>higher education institutions</w:t>
      </w:r>
      <w:r w:rsidRPr="00163BF5">
        <w:rPr>
          <w:rFonts w:ascii="Times New Roman" w:eastAsia="Times New Roman" w:hAnsi="Times New Roman" w:cs="Times New Roman"/>
          <w:sz w:val="24"/>
          <w:szCs w:val="24"/>
        </w:rPr>
        <w:t xml:space="preserve"> are the key players promoting similar standards of higher education activities</w:t>
      </w:r>
      <w:r w:rsidR="00C6340C">
        <w:rPr>
          <w:rFonts w:ascii="Times New Roman" w:eastAsia="Times New Roman" w:hAnsi="Times New Roman" w:cs="Times New Roman"/>
          <w:sz w:val="24"/>
          <w:szCs w:val="24"/>
        </w:rPr>
        <w:t xml:space="preserve"> to allow </w:t>
      </w:r>
      <w:r w:rsidR="00C6340C" w:rsidRPr="00C6340C">
        <w:rPr>
          <w:rFonts w:ascii="Times New Roman" w:eastAsia="Times New Roman" w:hAnsi="Times New Roman" w:cs="Times New Roman"/>
          <w:sz w:val="24"/>
          <w:szCs w:val="24"/>
        </w:rPr>
        <w:t>for continuous interactions and mobility for students, faculty members and talents.</w:t>
      </w:r>
      <w:r w:rsidRPr="00163BF5">
        <w:rPr>
          <w:rFonts w:ascii="Times New Roman" w:eastAsia="Times New Roman" w:hAnsi="Times New Roman" w:cs="Times New Roman"/>
          <w:sz w:val="24"/>
          <w:szCs w:val="24"/>
        </w:rPr>
        <w:t xml:space="preserve"> </w:t>
      </w:r>
    </w:p>
    <w:p w:rsidR="00BE6DBC" w:rsidRPr="00BE6DBC" w:rsidRDefault="00BE6DBC" w:rsidP="00BE6DBC">
      <w:pPr>
        <w:spacing w:before="100" w:beforeAutospacing="1" w:after="100" w:afterAutospacing="1"/>
        <w:jc w:val="both"/>
        <w:rPr>
          <w:rFonts w:ascii="Times New Roman" w:eastAsia="Times New Roman" w:hAnsi="Times New Roman" w:cs="Times New Roman"/>
          <w:i/>
          <w:sz w:val="24"/>
          <w:szCs w:val="24"/>
        </w:rPr>
      </w:pPr>
      <w:r w:rsidRPr="00BE6DBC">
        <w:rPr>
          <w:rFonts w:ascii="Times New Roman" w:eastAsia="Times New Roman" w:hAnsi="Times New Roman" w:cs="Times New Roman"/>
          <w:sz w:val="24"/>
          <w:szCs w:val="24"/>
        </w:rPr>
        <w:t>The establishment of APEC Education Space has political, economic, social and cultural dimensions</w:t>
      </w:r>
      <w:r>
        <w:rPr>
          <w:rFonts w:ascii="Times New Roman" w:eastAsia="Times New Roman" w:hAnsi="Times New Roman" w:cs="Times New Roman"/>
          <w:sz w:val="24"/>
          <w:szCs w:val="24"/>
        </w:rPr>
        <w:t xml:space="preserve"> </w:t>
      </w:r>
      <w:r w:rsidRPr="00BE6DBC">
        <w:rPr>
          <w:rFonts w:ascii="Times New Roman" w:eastAsia="Times New Roman" w:hAnsi="Times New Roman" w:cs="Times New Roman"/>
          <w:sz w:val="24"/>
          <w:szCs w:val="24"/>
        </w:rPr>
        <w:t xml:space="preserve">to APEC economies. As a political lever, </w:t>
      </w:r>
      <w:r>
        <w:rPr>
          <w:rFonts w:ascii="Times New Roman" w:eastAsia="Times New Roman" w:hAnsi="Times New Roman" w:cs="Times New Roman"/>
          <w:sz w:val="24"/>
          <w:szCs w:val="24"/>
        </w:rPr>
        <w:t>it</w:t>
      </w:r>
      <w:r w:rsidRPr="00BE6DBC">
        <w:rPr>
          <w:rFonts w:ascii="Times New Roman" w:eastAsia="Times New Roman" w:hAnsi="Times New Roman" w:cs="Times New Roman"/>
          <w:sz w:val="24"/>
          <w:szCs w:val="24"/>
        </w:rPr>
        <w:t xml:space="preserve"> provides opportunities for regions and individual </w:t>
      </w:r>
      <w:r>
        <w:rPr>
          <w:rFonts w:ascii="Times New Roman" w:eastAsia="Times New Roman" w:hAnsi="Times New Roman" w:cs="Times New Roman"/>
          <w:sz w:val="24"/>
          <w:szCs w:val="24"/>
        </w:rPr>
        <w:t>economies</w:t>
      </w:r>
      <w:r w:rsidRPr="00BE6DBC">
        <w:rPr>
          <w:rFonts w:ascii="Times New Roman" w:eastAsia="Times New Roman" w:hAnsi="Times New Roman" w:cs="Times New Roman"/>
          <w:sz w:val="24"/>
          <w:szCs w:val="24"/>
        </w:rPr>
        <w:t xml:space="preserve"> to contribute to international quality assurance policy discussions. As an economic lever, regional integration provides smaller higher education systems entrance to possibilities of competition and cooperation on an international or regional scale. As a social or cultural lever, regional activities build solidarity among </w:t>
      </w:r>
      <w:r>
        <w:rPr>
          <w:rFonts w:ascii="Times New Roman" w:eastAsia="Times New Roman" w:hAnsi="Times New Roman" w:cs="Times New Roman"/>
          <w:sz w:val="24"/>
          <w:szCs w:val="24"/>
        </w:rPr>
        <w:t xml:space="preserve">economies with diverse cultural and historical roots. </w:t>
      </w:r>
      <w:r w:rsidR="00CB3A24">
        <w:rPr>
          <w:rFonts w:ascii="Times New Roman" w:eastAsia="Times New Roman" w:hAnsi="Times New Roman" w:cs="Times New Roman"/>
          <w:sz w:val="24"/>
          <w:szCs w:val="24"/>
        </w:rPr>
        <w:t xml:space="preserve"> </w:t>
      </w:r>
    </w:p>
    <w:p w:rsidR="00C6340C" w:rsidRDefault="00C6340C" w:rsidP="00163BF5">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success of establishment of APEC education space depends on various factors, such as the participation and </w:t>
      </w:r>
      <w:r w:rsidRPr="00C6340C">
        <w:rPr>
          <w:rFonts w:ascii="Times New Roman" w:eastAsia="Times New Roman" w:hAnsi="Times New Roman" w:cs="Times New Roman"/>
          <w:sz w:val="24"/>
          <w:szCs w:val="24"/>
        </w:rPr>
        <w:t>consensus building at the level of national agencies, the public and also other stakeholders</w:t>
      </w:r>
      <w:r>
        <w:rPr>
          <w:rFonts w:ascii="Times New Roman" w:eastAsia="Times New Roman" w:hAnsi="Times New Roman" w:cs="Times New Roman"/>
          <w:sz w:val="24"/>
          <w:szCs w:val="24"/>
        </w:rPr>
        <w:t>, as well as</w:t>
      </w:r>
      <w:r w:rsidRPr="00C6340C">
        <w:rPr>
          <w:rFonts w:ascii="Times New Roman" w:eastAsia="Times New Roman" w:hAnsi="Times New Roman" w:cs="Times New Roman"/>
          <w:sz w:val="24"/>
          <w:szCs w:val="24"/>
        </w:rPr>
        <w:t xml:space="preserve"> establishment of a </w:t>
      </w:r>
      <w:r>
        <w:rPr>
          <w:rFonts w:ascii="Times New Roman" w:eastAsia="Times New Roman" w:hAnsi="Times New Roman" w:cs="Times New Roman"/>
          <w:sz w:val="24"/>
          <w:szCs w:val="24"/>
        </w:rPr>
        <w:t>commonly</w:t>
      </w:r>
      <w:r w:rsidRPr="00C6340C">
        <w:rPr>
          <w:rFonts w:ascii="Times New Roman" w:eastAsia="Times New Roman" w:hAnsi="Times New Roman" w:cs="Times New Roman"/>
          <w:sz w:val="24"/>
          <w:szCs w:val="24"/>
        </w:rPr>
        <w:t xml:space="preserve"> accepted roadmap that will consist of a vision of future goal, areas to develop common frameworks (such as credit transfer system, quality assurance guidelines, regional qualifications framework and so on), methods and the key </w:t>
      </w:r>
      <w:r w:rsidRPr="00C6340C">
        <w:rPr>
          <w:rFonts w:ascii="Times New Roman" w:eastAsia="Times New Roman" w:hAnsi="Times New Roman" w:cs="Times New Roman"/>
          <w:sz w:val="24"/>
          <w:szCs w:val="24"/>
        </w:rPr>
        <w:lastRenderedPageBreak/>
        <w:t>players who will be responsible for framework development and information dissemination to the public.</w:t>
      </w:r>
      <w:r w:rsidR="004162E6" w:rsidRPr="004162E6">
        <w:rPr>
          <w:rFonts w:ascii="Times New Roman" w:eastAsia="Times New Roman" w:hAnsi="Times New Roman" w:cs="Times New Roman"/>
          <w:sz w:val="24"/>
          <w:szCs w:val="24"/>
        </w:rPr>
        <w:t xml:space="preserve"> </w:t>
      </w:r>
      <w:r w:rsidR="004162E6">
        <w:rPr>
          <w:rFonts w:ascii="Times New Roman" w:eastAsia="Times New Roman" w:hAnsi="Times New Roman" w:cs="Times New Roman"/>
          <w:sz w:val="24"/>
          <w:szCs w:val="24"/>
        </w:rPr>
        <w:t>Harmonization of</w:t>
      </w:r>
      <w:r w:rsidR="004162E6" w:rsidRPr="004162E6">
        <w:rPr>
          <w:rFonts w:ascii="Times New Roman" w:eastAsia="Times New Roman" w:hAnsi="Times New Roman" w:cs="Times New Roman"/>
          <w:sz w:val="24"/>
          <w:szCs w:val="24"/>
        </w:rPr>
        <w:t xml:space="preserve"> the highly diverse systems of higher education in the region is seen as an important step towards the regional integration objective. The most common measure is the step towards a greater degree of integration in higher education policies and practices through concerted regional efforts.</w:t>
      </w:r>
    </w:p>
    <w:p w:rsidR="002F538B" w:rsidRDefault="002F538B" w:rsidP="002F538B">
      <w:pPr>
        <w:spacing w:after="0"/>
        <w:jc w:val="both"/>
        <w:rPr>
          <w:rFonts w:ascii="Times New Roman" w:eastAsia="Times New Roman" w:hAnsi="Times New Roman" w:cs="Times New Roman"/>
          <w:sz w:val="24"/>
          <w:szCs w:val="24"/>
        </w:rPr>
      </w:pPr>
      <w:r w:rsidRPr="005A01EA">
        <w:rPr>
          <w:rFonts w:ascii="Times New Roman" w:eastAsia="Times New Roman" w:hAnsi="Times New Roman" w:cs="Times New Roman"/>
          <w:sz w:val="24"/>
          <w:szCs w:val="24"/>
        </w:rPr>
        <w:t xml:space="preserve">In recent years </w:t>
      </w:r>
      <w:r w:rsidR="005A01EA" w:rsidRPr="005A01EA">
        <w:rPr>
          <w:rFonts w:ascii="Times New Roman" w:eastAsia="Times New Roman" w:hAnsi="Times New Roman" w:cs="Times New Roman"/>
          <w:sz w:val="24"/>
          <w:szCs w:val="24"/>
        </w:rPr>
        <w:t>APEC economies</w:t>
      </w:r>
      <w:r w:rsidRPr="005A01EA">
        <w:rPr>
          <w:rFonts w:ascii="Times New Roman" w:eastAsia="Times New Roman" w:hAnsi="Times New Roman" w:cs="Times New Roman"/>
          <w:sz w:val="24"/>
          <w:szCs w:val="24"/>
        </w:rPr>
        <w:t xml:space="preserve"> have shown commitment towards deepening connections and interactions by looking at the rich regional diversity as important basis for regional cooperation and collaboration rather than as stumbling block.</w:t>
      </w:r>
      <w:r w:rsidR="005A01EA">
        <w:rPr>
          <w:rFonts w:ascii="Times New Roman" w:eastAsia="Times New Roman" w:hAnsi="Times New Roman" w:cs="Times New Roman"/>
          <w:sz w:val="24"/>
          <w:szCs w:val="24"/>
        </w:rPr>
        <w:t xml:space="preserve"> Taken into consideration the on-going movement and achievements in educational reform within each economy, APEC will find no difficulties in establishing this APEC education space to facilitate the </w:t>
      </w:r>
      <w:r w:rsidR="00AC21A9">
        <w:rPr>
          <w:rFonts w:ascii="Times New Roman" w:eastAsia="Times New Roman" w:hAnsi="Times New Roman" w:cs="Times New Roman"/>
          <w:sz w:val="24"/>
          <w:szCs w:val="24"/>
        </w:rPr>
        <w:t xml:space="preserve">greater </w:t>
      </w:r>
      <w:r w:rsidR="005A01EA">
        <w:rPr>
          <w:rFonts w:ascii="Times New Roman" w:eastAsia="Times New Roman" w:hAnsi="Times New Roman" w:cs="Times New Roman"/>
          <w:sz w:val="24"/>
          <w:szCs w:val="24"/>
        </w:rPr>
        <w:t>studen</w:t>
      </w:r>
      <w:r w:rsidR="00AC21A9">
        <w:rPr>
          <w:rFonts w:ascii="Times New Roman" w:eastAsia="Times New Roman" w:hAnsi="Times New Roman" w:cs="Times New Roman"/>
          <w:sz w:val="24"/>
          <w:szCs w:val="24"/>
        </w:rPr>
        <w:t>t mobility among APEC economies</w:t>
      </w:r>
      <w:r w:rsidR="00AC21A9" w:rsidRPr="00AC21A9">
        <w:rPr>
          <w:rFonts w:ascii="Times New Roman" w:eastAsia="Times New Roman" w:hAnsi="Times New Roman" w:cs="Times New Roman"/>
          <w:sz w:val="24"/>
          <w:szCs w:val="24"/>
        </w:rPr>
        <w:t xml:space="preserve">, widening access and choices, academic and research collaborations, </w:t>
      </w:r>
      <w:r w:rsidR="00AC21A9">
        <w:rPr>
          <w:rFonts w:ascii="Times New Roman" w:eastAsia="Times New Roman" w:hAnsi="Times New Roman" w:cs="Times New Roman"/>
          <w:sz w:val="24"/>
          <w:szCs w:val="24"/>
        </w:rPr>
        <w:t xml:space="preserve">and </w:t>
      </w:r>
      <w:r w:rsidR="00AC21A9" w:rsidRPr="00AC21A9">
        <w:rPr>
          <w:rFonts w:ascii="Times New Roman" w:eastAsia="Times New Roman" w:hAnsi="Times New Roman" w:cs="Times New Roman"/>
          <w:sz w:val="24"/>
          <w:szCs w:val="24"/>
        </w:rPr>
        <w:t>enhanced collaborat</w:t>
      </w:r>
      <w:r w:rsidR="00AC21A9">
        <w:rPr>
          <w:rFonts w:ascii="Times New Roman" w:eastAsia="Times New Roman" w:hAnsi="Times New Roman" w:cs="Times New Roman"/>
          <w:sz w:val="24"/>
          <w:szCs w:val="24"/>
        </w:rPr>
        <w:t>ion on human capital investment</w:t>
      </w:r>
      <w:r w:rsidR="00AC21A9" w:rsidRPr="00AC21A9">
        <w:rPr>
          <w:rFonts w:ascii="Times New Roman" w:eastAsia="Times New Roman" w:hAnsi="Times New Roman" w:cs="Times New Roman"/>
          <w:sz w:val="24"/>
          <w:szCs w:val="24"/>
        </w:rPr>
        <w:t xml:space="preserve">. </w:t>
      </w:r>
    </w:p>
    <w:p w:rsidR="00BE6DBC" w:rsidRDefault="00BE6DBC" w:rsidP="002F538B">
      <w:pPr>
        <w:spacing w:after="0"/>
        <w:jc w:val="both"/>
        <w:rPr>
          <w:rFonts w:ascii="Times New Roman" w:eastAsia="Times New Roman" w:hAnsi="Times New Roman" w:cs="Times New Roman"/>
          <w:sz w:val="24"/>
          <w:szCs w:val="24"/>
        </w:rPr>
      </w:pPr>
    </w:p>
    <w:p w:rsidR="00CB3A24" w:rsidRDefault="00CB3A24" w:rsidP="00CB3A24">
      <w:pPr>
        <w:spacing w:after="0"/>
        <w:jc w:val="both"/>
        <w:rPr>
          <w:rFonts w:ascii="Times New Roman" w:eastAsia="Times New Roman" w:hAnsi="Times New Roman" w:cs="Times New Roman"/>
          <w:b/>
          <w:sz w:val="24"/>
          <w:szCs w:val="24"/>
        </w:rPr>
      </w:pPr>
    </w:p>
    <w:p w:rsidR="00AC21A9" w:rsidRPr="00AC21A9" w:rsidRDefault="00BE6DBC" w:rsidP="00CB3A2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Indonesia Initiatives</w:t>
      </w:r>
    </w:p>
    <w:p w:rsidR="00CB3A24" w:rsidRDefault="00CB3A24" w:rsidP="00CB3A24">
      <w:pPr>
        <w:autoSpaceDE w:val="0"/>
        <w:autoSpaceDN w:val="0"/>
        <w:adjustRightInd w:val="0"/>
        <w:spacing w:after="0"/>
        <w:jc w:val="both"/>
        <w:rPr>
          <w:rFonts w:ascii="Times New Roman" w:hAnsi="Times New Roman" w:cs="Times New Roman"/>
          <w:sz w:val="24"/>
          <w:szCs w:val="24"/>
        </w:rPr>
      </w:pPr>
    </w:p>
    <w:p w:rsidR="00AA0B74" w:rsidRPr="00762215" w:rsidRDefault="00AA0B74" w:rsidP="00CB3A24">
      <w:pPr>
        <w:autoSpaceDE w:val="0"/>
        <w:autoSpaceDN w:val="0"/>
        <w:adjustRightInd w:val="0"/>
        <w:spacing w:after="0"/>
        <w:jc w:val="both"/>
        <w:rPr>
          <w:rFonts w:ascii="Times New Roman" w:hAnsi="Times New Roman" w:cs="Times New Roman"/>
          <w:b/>
          <w:i/>
          <w:sz w:val="24"/>
          <w:szCs w:val="24"/>
        </w:rPr>
      </w:pPr>
      <w:r w:rsidRPr="00762215">
        <w:rPr>
          <w:rFonts w:ascii="Times New Roman" w:hAnsi="Times New Roman" w:cs="Times New Roman"/>
          <w:b/>
          <w:i/>
          <w:sz w:val="24"/>
          <w:szCs w:val="24"/>
        </w:rPr>
        <w:t>a. Indonesian Qualification Framework</w:t>
      </w:r>
    </w:p>
    <w:p w:rsidR="00473C8C" w:rsidRDefault="00CB3A24" w:rsidP="00CB3A2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Student mobility program has been endorsed by the Government of Indonesia as one strategic component in the </w:t>
      </w:r>
      <w:r w:rsidRPr="007F2866">
        <w:rPr>
          <w:rFonts w:ascii="Times New Roman" w:hAnsi="Times New Roman" w:cs="Times New Roman"/>
          <w:sz w:val="24"/>
          <w:szCs w:val="24"/>
        </w:rPr>
        <w:t>the national education strategy</w:t>
      </w:r>
      <w:r>
        <w:rPr>
          <w:rFonts w:ascii="Times New Roman" w:hAnsi="Times New Roman" w:cs="Times New Roman"/>
          <w:sz w:val="24"/>
          <w:szCs w:val="24"/>
        </w:rPr>
        <w:t>.  The four dimensions of students mobility are practiced with different degre</w:t>
      </w:r>
      <w:r w:rsidR="00473C8C">
        <w:rPr>
          <w:rFonts w:ascii="Times New Roman" w:hAnsi="Times New Roman" w:cs="Times New Roman"/>
          <w:sz w:val="24"/>
          <w:szCs w:val="24"/>
        </w:rPr>
        <w:t xml:space="preserve">e, </w:t>
      </w:r>
      <w:r w:rsidRPr="007F2866">
        <w:rPr>
          <w:rFonts w:ascii="Times New Roman" w:hAnsi="Times New Roman" w:cs="Times New Roman"/>
          <w:sz w:val="24"/>
          <w:szCs w:val="24"/>
        </w:rPr>
        <w:t>within the national higher education institution or with cross-national education institutio</w:t>
      </w:r>
      <w:r w:rsidR="00473C8C">
        <w:rPr>
          <w:rFonts w:ascii="Times New Roman" w:hAnsi="Times New Roman" w:cs="Times New Roman"/>
          <w:sz w:val="24"/>
          <w:szCs w:val="24"/>
        </w:rPr>
        <w:t xml:space="preserve">ns through academic collaboration. This practice has been in line with  </w:t>
      </w:r>
      <w:r w:rsidRPr="007F2866">
        <w:rPr>
          <w:rFonts w:ascii="Times New Roman" w:hAnsi="Times New Roman" w:cs="Times New Roman"/>
          <w:sz w:val="24"/>
          <w:szCs w:val="24"/>
        </w:rPr>
        <w:t xml:space="preserve">Indonesian Law No.12 year 2012 </w:t>
      </w:r>
      <w:r w:rsidR="00473C8C">
        <w:rPr>
          <w:rFonts w:ascii="Times New Roman" w:hAnsi="Times New Roman" w:cs="Times New Roman"/>
          <w:sz w:val="24"/>
          <w:szCs w:val="24"/>
        </w:rPr>
        <w:t xml:space="preserve">article 38, </w:t>
      </w:r>
      <w:r w:rsidRPr="007F2866">
        <w:rPr>
          <w:rFonts w:ascii="Times New Roman" w:hAnsi="Times New Roman" w:cs="Times New Roman"/>
          <w:sz w:val="24"/>
          <w:szCs w:val="24"/>
        </w:rPr>
        <w:t>that st</w:t>
      </w:r>
      <w:r w:rsidR="00473C8C">
        <w:rPr>
          <w:rFonts w:ascii="Times New Roman" w:hAnsi="Times New Roman" w:cs="Times New Roman"/>
          <w:sz w:val="24"/>
          <w:szCs w:val="24"/>
        </w:rPr>
        <w:t xml:space="preserve">udent mobility can be performed </w:t>
      </w:r>
      <w:r w:rsidRPr="007F2866">
        <w:rPr>
          <w:rFonts w:ascii="Times New Roman" w:hAnsi="Times New Roman" w:cs="Times New Roman"/>
          <w:sz w:val="24"/>
          <w:szCs w:val="24"/>
        </w:rPr>
        <w:t>through: (1) Study programs at the same education programs, (2) T</w:t>
      </w:r>
      <w:r w:rsidR="00473C8C">
        <w:rPr>
          <w:rFonts w:ascii="Times New Roman" w:hAnsi="Times New Roman" w:cs="Times New Roman"/>
          <w:sz w:val="24"/>
          <w:szCs w:val="24"/>
        </w:rPr>
        <w:t xml:space="preserve">ype of higher education and/or, </w:t>
      </w:r>
      <w:r w:rsidRPr="007F2866">
        <w:rPr>
          <w:rFonts w:ascii="Times New Roman" w:hAnsi="Times New Roman" w:cs="Times New Roman"/>
          <w:sz w:val="24"/>
          <w:szCs w:val="24"/>
        </w:rPr>
        <w:t>(3) Higher education institutions. The decree of Ministry of Educatio</w:t>
      </w:r>
      <w:r w:rsidR="00473C8C">
        <w:rPr>
          <w:rFonts w:ascii="Times New Roman" w:hAnsi="Times New Roman" w:cs="Times New Roman"/>
          <w:sz w:val="24"/>
          <w:szCs w:val="24"/>
        </w:rPr>
        <w:t xml:space="preserve">n and Culture No. 14 Year 2014, </w:t>
      </w:r>
      <w:r w:rsidRPr="007F2866">
        <w:rPr>
          <w:rFonts w:ascii="Times New Roman" w:hAnsi="Times New Roman" w:cs="Times New Roman"/>
          <w:sz w:val="24"/>
          <w:szCs w:val="24"/>
        </w:rPr>
        <w:t>Article 7 endorses that higher education institutions can establish cooperation with cross</w:t>
      </w:r>
      <w:r w:rsidR="00473C8C">
        <w:rPr>
          <w:rFonts w:ascii="Times New Roman" w:hAnsi="Times New Roman" w:cs="Times New Roman"/>
          <w:sz w:val="24"/>
          <w:szCs w:val="24"/>
        </w:rPr>
        <w:t xml:space="preserve"> national </w:t>
      </w:r>
      <w:r w:rsidRPr="007F2866">
        <w:rPr>
          <w:rFonts w:ascii="Times New Roman" w:hAnsi="Times New Roman" w:cs="Times New Roman"/>
          <w:sz w:val="24"/>
          <w:szCs w:val="24"/>
        </w:rPr>
        <w:t>higher education institutions in the field of teaching, resear</w:t>
      </w:r>
      <w:r w:rsidR="00473C8C">
        <w:rPr>
          <w:rFonts w:ascii="Times New Roman" w:hAnsi="Times New Roman" w:cs="Times New Roman"/>
          <w:sz w:val="24"/>
          <w:szCs w:val="24"/>
        </w:rPr>
        <w:t>ches, and community services</w:t>
      </w:r>
      <w:r w:rsidRPr="007F2866">
        <w:rPr>
          <w:rFonts w:ascii="Times New Roman" w:hAnsi="Times New Roman" w:cs="Times New Roman"/>
          <w:sz w:val="24"/>
          <w:szCs w:val="24"/>
        </w:rPr>
        <w:t>. The above regulations have shown that the GoI</w:t>
      </w:r>
      <w:r w:rsidR="00473C8C">
        <w:rPr>
          <w:rFonts w:ascii="Times New Roman" w:hAnsi="Times New Roman" w:cs="Times New Roman"/>
          <w:sz w:val="24"/>
          <w:szCs w:val="24"/>
        </w:rPr>
        <w:t xml:space="preserve">’s appreciation of the increasing number of </w:t>
      </w:r>
      <w:r w:rsidRPr="007F2866">
        <w:rPr>
          <w:rFonts w:ascii="Times New Roman" w:hAnsi="Times New Roman" w:cs="Times New Roman"/>
          <w:sz w:val="24"/>
          <w:szCs w:val="24"/>
        </w:rPr>
        <w:t xml:space="preserve"> university graduates </w:t>
      </w:r>
      <w:r w:rsidR="00473C8C">
        <w:rPr>
          <w:rFonts w:ascii="Times New Roman" w:hAnsi="Times New Roman" w:cs="Times New Roman"/>
          <w:sz w:val="24"/>
          <w:szCs w:val="24"/>
        </w:rPr>
        <w:t>as a</w:t>
      </w:r>
      <w:r w:rsidRPr="007F2866">
        <w:rPr>
          <w:rFonts w:ascii="Times New Roman" w:hAnsi="Times New Roman" w:cs="Times New Roman"/>
          <w:sz w:val="24"/>
          <w:szCs w:val="24"/>
        </w:rPr>
        <w:t xml:space="preserve"> valuable asset for the national develop</w:t>
      </w:r>
      <w:r w:rsidR="00473C8C">
        <w:rPr>
          <w:rFonts w:ascii="Times New Roman" w:hAnsi="Times New Roman" w:cs="Times New Roman"/>
          <w:sz w:val="24"/>
          <w:szCs w:val="24"/>
        </w:rPr>
        <w:t xml:space="preserve">ment. Sailah, et.al., (2004) indicates that it is therefore necessary </w:t>
      </w:r>
      <w:r w:rsidRPr="007F2866">
        <w:rPr>
          <w:rFonts w:ascii="Times New Roman" w:hAnsi="Times New Roman" w:cs="Times New Roman"/>
          <w:sz w:val="24"/>
          <w:szCs w:val="24"/>
        </w:rPr>
        <w:t>to uphold the mobility program for university students, particularl</w:t>
      </w:r>
      <w:r w:rsidR="00473C8C">
        <w:rPr>
          <w:rFonts w:ascii="Times New Roman" w:hAnsi="Times New Roman" w:cs="Times New Roman"/>
          <w:sz w:val="24"/>
          <w:szCs w:val="24"/>
        </w:rPr>
        <w:t xml:space="preserve">y for undergraduate students in </w:t>
      </w:r>
      <w:r w:rsidRPr="007F2866">
        <w:rPr>
          <w:rFonts w:ascii="Times New Roman" w:hAnsi="Times New Roman" w:cs="Times New Roman"/>
          <w:sz w:val="24"/>
          <w:szCs w:val="24"/>
        </w:rPr>
        <w:t>regional or international areas. The mobility program will</w:t>
      </w:r>
      <w:r w:rsidR="00473C8C">
        <w:rPr>
          <w:rFonts w:ascii="Times New Roman" w:hAnsi="Times New Roman" w:cs="Times New Roman"/>
          <w:sz w:val="24"/>
          <w:szCs w:val="24"/>
        </w:rPr>
        <w:t xml:space="preserve"> be beneficial in increasing the </w:t>
      </w:r>
      <w:r w:rsidRPr="007F2866">
        <w:rPr>
          <w:rFonts w:ascii="Times New Roman" w:hAnsi="Times New Roman" w:cs="Times New Roman"/>
          <w:sz w:val="24"/>
          <w:szCs w:val="24"/>
        </w:rPr>
        <w:t>competence produced by the students upon completion of thei</w:t>
      </w:r>
      <w:r w:rsidR="00473C8C">
        <w:rPr>
          <w:rFonts w:ascii="Times New Roman" w:hAnsi="Times New Roman" w:cs="Times New Roman"/>
          <w:sz w:val="24"/>
          <w:szCs w:val="24"/>
        </w:rPr>
        <w:t xml:space="preserve">r bachelor program. </w:t>
      </w:r>
    </w:p>
    <w:p w:rsidR="00473C8C" w:rsidRDefault="00473C8C" w:rsidP="00CB3A24">
      <w:pPr>
        <w:autoSpaceDE w:val="0"/>
        <w:autoSpaceDN w:val="0"/>
        <w:adjustRightInd w:val="0"/>
        <w:spacing w:after="0"/>
        <w:jc w:val="both"/>
        <w:rPr>
          <w:rFonts w:ascii="Times New Roman" w:hAnsi="Times New Roman" w:cs="Times New Roman"/>
          <w:sz w:val="24"/>
          <w:szCs w:val="24"/>
        </w:rPr>
      </w:pPr>
    </w:p>
    <w:p w:rsidR="00B32D60" w:rsidRDefault="00473C8C" w:rsidP="007126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To facilitate such effort, </w:t>
      </w:r>
      <w:r w:rsidR="001C2D73">
        <w:rPr>
          <w:rFonts w:ascii="Times New Roman" w:hAnsi="Times New Roman" w:cs="Times New Roman"/>
          <w:sz w:val="24"/>
          <w:szCs w:val="24"/>
        </w:rPr>
        <w:t xml:space="preserve">the </w:t>
      </w:r>
      <w:r w:rsidR="001C2D73" w:rsidRPr="007F2866">
        <w:rPr>
          <w:rFonts w:ascii="Times New Roman" w:hAnsi="Times New Roman" w:cs="Times New Roman"/>
          <w:sz w:val="24"/>
          <w:szCs w:val="24"/>
        </w:rPr>
        <w:t>Indonesia</w:t>
      </w:r>
      <w:r w:rsidR="001C2D73">
        <w:rPr>
          <w:rFonts w:ascii="Times New Roman" w:hAnsi="Times New Roman" w:cs="Times New Roman"/>
          <w:sz w:val="24"/>
          <w:szCs w:val="24"/>
        </w:rPr>
        <w:t xml:space="preserve">n Qualification Framework (IQF) has been launched </w:t>
      </w:r>
      <w:r>
        <w:rPr>
          <w:rFonts w:ascii="Times New Roman" w:hAnsi="Times New Roman" w:cs="Times New Roman"/>
          <w:sz w:val="24"/>
          <w:szCs w:val="24"/>
        </w:rPr>
        <w:t xml:space="preserve">in 2011 </w:t>
      </w:r>
      <w:r w:rsidR="001C2D73">
        <w:rPr>
          <w:rFonts w:ascii="Times New Roman" w:hAnsi="Times New Roman" w:cs="Times New Roman"/>
          <w:sz w:val="24"/>
          <w:szCs w:val="24"/>
        </w:rPr>
        <w:t>by the</w:t>
      </w:r>
      <w:r>
        <w:rPr>
          <w:rFonts w:ascii="Times New Roman" w:hAnsi="Times New Roman" w:cs="Times New Roman"/>
          <w:sz w:val="24"/>
          <w:szCs w:val="24"/>
        </w:rPr>
        <w:t xml:space="preserve"> </w:t>
      </w:r>
      <w:r w:rsidR="00CB3A24" w:rsidRPr="007F2866">
        <w:rPr>
          <w:rFonts w:ascii="Times New Roman" w:hAnsi="Times New Roman" w:cs="Times New Roman"/>
          <w:sz w:val="24"/>
          <w:szCs w:val="24"/>
        </w:rPr>
        <w:t>Ministry of National Education and the Ministry</w:t>
      </w:r>
      <w:r w:rsidR="001C2D73">
        <w:rPr>
          <w:rFonts w:ascii="Times New Roman" w:hAnsi="Times New Roman" w:cs="Times New Roman"/>
          <w:sz w:val="24"/>
          <w:szCs w:val="24"/>
        </w:rPr>
        <w:t xml:space="preserve"> of Manpower and Transmigration. It reflects t</w:t>
      </w:r>
      <w:r w:rsidR="00CB3A24" w:rsidRPr="007F2866">
        <w:rPr>
          <w:rFonts w:ascii="Times New Roman" w:hAnsi="Times New Roman" w:cs="Times New Roman"/>
          <w:sz w:val="24"/>
          <w:szCs w:val="24"/>
        </w:rPr>
        <w:t xml:space="preserve">he learning outcomes gained by the undergraduate students during the study are </w:t>
      </w:r>
      <w:r w:rsidR="001C2D73">
        <w:rPr>
          <w:rFonts w:ascii="Times New Roman" w:hAnsi="Times New Roman" w:cs="Times New Roman"/>
          <w:sz w:val="24"/>
          <w:szCs w:val="24"/>
        </w:rPr>
        <w:t xml:space="preserve">for each level of education. </w:t>
      </w:r>
      <w:r w:rsidR="00CB3A24" w:rsidRPr="007F2866">
        <w:rPr>
          <w:rFonts w:ascii="Times New Roman" w:hAnsi="Times New Roman" w:cs="Times New Roman"/>
          <w:sz w:val="24"/>
          <w:szCs w:val="24"/>
        </w:rPr>
        <w:t>It is also called as the reflection of the Indonesian huma</w:t>
      </w:r>
      <w:r w:rsidR="001C2D73">
        <w:rPr>
          <w:rFonts w:ascii="Times New Roman" w:hAnsi="Times New Roman" w:cs="Times New Roman"/>
          <w:sz w:val="24"/>
          <w:szCs w:val="24"/>
        </w:rPr>
        <w:t xml:space="preserve">n resource qualities. Sailah, et.al. </w:t>
      </w:r>
      <w:r w:rsidR="00B32D60">
        <w:rPr>
          <w:rFonts w:ascii="Times New Roman" w:hAnsi="Times New Roman" w:cs="Times New Roman"/>
          <w:sz w:val="24"/>
          <w:szCs w:val="24"/>
        </w:rPr>
        <w:t xml:space="preserve">(2014) </w:t>
      </w:r>
      <w:r w:rsidR="001C2D73">
        <w:rPr>
          <w:rFonts w:ascii="Times New Roman" w:hAnsi="Times New Roman" w:cs="Times New Roman"/>
          <w:sz w:val="24"/>
          <w:szCs w:val="24"/>
        </w:rPr>
        <w:t xml:space="preserve">claim that IQF is an </w:t>
      </w:r>
      <w:r w:rsidR="00CB3A24" w:rsidRPr="007F2866">
        <w:rPr>
          <w:rFonts w:ascii="Times New Roman" w:hAnsi="Times New Roman" w:cs="Times New Roman"/>
          <w:sz w:val="24"/>
          <w:szCs w:val="24"/>
        </w:rPr>
        <w:t>independent tool to measure the learning outcomes gained</w:t>
      </w:r>
      <w:r w:rsidR="001C2D73">
        <w:rPr>
          <w:rFonts w:ascii="Times New Roman" w:hAnsi="Times New Roman" w:cs="Times New Roman"/>
          <w:sz w:val="24"/>
          <w:szCs w:val="24"/>
        </w:rPr>
        <w:t xml:space="preserve"> through the formal, non-formal </w:t>
      </w:r>
      <w:r w:rsidR="00CB3A24" w:rsidRPr="007F2866">
        <w:rPr>
          <w:rFonts w:ascii="Times New Roman" w:hAnsi="Times New Roman" w:cs="Times New Roman"/>
          <w:sz w:val="24"/>
          <w:szCs w:val="24"/>
        </w:rPr>
        <w:t>education, and job experience (internships). IQF is seen in the internati</w:t>
      </w:r>
      <w:r w:rsidR="001C2D73">
        <w:rPr>
          <w:rFonts w:ascii="Times New Roman" w:hAnsi="Times New Roman" w:cs="Times New Roman"/>
          <w:sz w:val="24"/>
          <w:szCs w:val="24"/>
        </w:rPr>
        <w:t xml:space="preserve">onal stage to serve as a device </w:t>
      </w:r>
      <w:r w:rsidR="00CB3A24" w:rsidRPr="007F2866">
        <w:rPr>
          <w:rFonts w:ascii="Times New Roman" w:hAnsi="Times New Roman" w:cs="Times New Roman"/>
          <w:sz w:val="24"/>
          <w:szCs w:val="24"/>
        </w:rPr>
        <w:t xml:space="preserve">that can recognize and translate </w:t>
      </w:r>
      <w:r w:rsidR="00CB3A24" w:rsidRPr="007F2866">
        <w:rPr>
          <w:rFonts w:ascii="Times New Roman" w:hAnsi="Times New Roman" w:cs="Times New Roman"/>
          <w:sz w:val="24"/>
          <w:szCs w:val="24"/>
        </w:rPr>
        <w:lastRenderedPageBreak/>
        <w:t>international workforce or student qualification</w:t>
      </w:r>
      <w:r w:rsidR="001C2D73">
        <w:rPr>
          <w:rFonts w:ascii="Times New Roman" w:hAnsi="Times New Roman" w:cs="Times New Roman"/>
          <w:sz w:val="24"/>
          <w:szCs w:val="24"/>
        </w:rPr>
        <w:t xml:space="preserve">s to the Indonesian </w:t>
      </w:r>
      <w:r w:rsidR="00CB3A24" w:rsidRPr="007F2866">
        <w:rPr>
          <w:rFonts w:ascii="Times New Roman" w:hAnsi="Times New Roman" w:cs="Times New Roman"/>
          <w:sz w:val="24"/>
          <w:szCs w:val="24"/>
        </w:rPr>
        <w:t xml:space="preserve">qualification system. The IQF is grouped into 9 levels from the level </w:t>
      </w:r>
      <w:r w:rsidR="00B32D60">
        <w:rPr>
          <w:rFonts w:ascii="Times New Roman" w:hAnsi="Times New Roman" w:cs="Times New Roman"/>
          <w:sz w:val="24"/>
          <w:szCs w:val="24"/>
        </w:rPr>
        <w:t xml:space="preserve">1 to 9 (Figure 1). The bachelor </w:t>
      </w:r>
      <w:r w:rsidR="00CB3A24" w:rsidRPr="007F2866">
        <w:rPr>
          <w:rFonts w:ascii="Times New Roman" w:hAnsi="Times New Roman" w:cs="Times New Roman"/>
          <w:sz w:val="24"/>
          <w:szCs w:val="24"/>
        </w:rPr>
        <w:t>graduates are on the level 6 reflecting the ability for bachelor gradu</w:t>
      </w:r>
      <w:r w:rsidR="00B32D60">
        <w:rPr>
          <w:rFonts w:ascii="Times New Roman" w:hAnsi="Times New Roman" w:cs="Times New Roman"/>
          <w:sz w:val="24"/>
          <w:szCs w:val="24"/>
        </w:rPr>
        <w:t xml:space="preserve">ates to take strategic decision </w:t>
      </w:r>
      <w:r w:rsidR="00CB3A24" w:rsidRPr="007F2866">
        <w:rPr>
          <w:rFonts w:ascii="Times New Roman" w:hAnsi="Times New Roman" w:cs="Times New Roman"/>
          <w:sz w:val="24"/>
          <w:szCs w:val="24"/>
        </w:rPr>
        <w:t xml:space="preserve">based on the information and data analysis and provide directions </w:t>
      </w:r>
      <w:r w:rsidR="00B32D60">
        <w:rPr>
          <w:rFonts w:ascii="Times New Roman" w:hAnsi="Times New Roman" w:cs="Times New Roman"/>
          <w:sz w:val="24"/>
          <w:szCs w:val="24"/>
        </w:rPr>
        <w:t xml:space="preserve">in choosing several alternative </w:t>
      </w:r>
      <w:r w:rsidR="007126EF">
        <w:rPr>
          <w:rFonts w:ascii="Times New Roman" w:hAnsi="Times New Roman" w:cs="Times New Roman"/>
          <w:sz w:val="24"/>
          <w:szCs w:val="24"/>
        </w:rPr>
        <w:t>solutions.</w:t>
      </w:r>
    </w:p>
    <w:p w:rsidR="007126EF" w:rsidRDefault="007126EF" w:rsidP="007126EF">
      <w:pPr>
        <w:autoSpaceDE w:val="0"/>
        <w:autoSpaceDN w:val="0"/>
        <w:adjustRightInd w:val="0"/>
        <w:spacing w:after="0"/>
        <w:jc w:val="both"/>
        <w:rPr>
          <w:rFonts w:ascii="Times New Roman" w:hAnsi="Times New Roman" w:cs="Times New Roman"/>
          <w:sz w:val="24"/>
          <w:szCs w:val="24"/>
        </w:rPr>
      </w:pPr>
    </w:p>
    <w:p w:rsidR="00CB3A24" w:rsidRPr="007F2866" w:rsidRDefault="00B32D60" w:rsidP="00CB3A24">
      <w:pPr>
        <w:jc w:val="both"/>
        <w:rPr>
          <w:rFonts w:ascii="Times New Roman" w:hAnsi="Times New Roman" w:cs="Times New Roman"/>
          <w:sz w:val="24"/>
          <w:szCs w:val="24"/>
        </w:rPr>
      </w:pPr>
      <w:r w:rsidRPr="007F2866">
        <w:rPr>
          <w:rFonts w:ascii="Times New Roman" w:hAnsi="Times New Roman" w:cs="Times New Roman"/>
          <w:noProof/>
          <w:sz w:val="24"/>
          <w:szCs w:val="24"/>
          <w:lang w:val="en-AU" w:eastAsia="en-AU"/>
        </w:rPr>
        <w:drawing>
          <wp:inline distT="0" distB="0" distL="0" distR="0" wp14:anchorId="64F1A3EB" wp14:editId="252A5087">
            <wp:extent cx="5943600" cy="3277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77870"/>
                    </a:xfrm>
                    <a:prstGeom prst="rect">
                      <a:avLst/>
                    </a:prstGeom>
                    <a:noFill/>
                    <a:ln>
                      <a:noFill/>
                    </a:ln>
                  </pic:spPr>
                </pic:pic>
              </a:graphicData>
            </a:graphic>
          </wp:inline>
        </w:drawing>
      </w:r>
    </w:p>
    <w:p w:rsidR="007879C3" w:rsidRPr="00AA0B74" w:rsidRDefault="00CB3A24" w:rsidP="00AA0B74">
      <w:pPr>
        <w:autoSpaceDE w:val="0"/>
        <w:autoSpaceDN w:val="0"/>
        <w:adjustRightInd w:val="0"/>
        <w:spacing w:after="0"/>
        <w:jc w:val="both"/>
        <w:rPr>
          <w:rFonts w:ascii="Times New Roman" w:hAnsi="Times New Roman" w:cs="Times New Roman"/>
          <w:sz w:val="24"/>
          <w:szCs w:val="24"/>
        </w:rPr>
      </w:pPr>
      <w:r w:rsidRPr="007F2866">
        <w:rPr>
          <w:rFonts w:ascii="Times New Roman" w:hAnsi="Times New Roman" w:cs="Times New Roman"/>
          <w:sz w:val="24"/>
          <w:szCs w:val="24"/>
        </w:rPr>
        <w:t xml:space="preserve">IQF </w:t>
      </w:r>
      <w:r w:rsidR="007879C3">
        <w:rPr>
          <w:rFonts w:ascii="Times New Roman" w:hAnsi="Times New Roman" w:cs="Times New Roman"/>
          <w:sz w:val="24"/>
          <w:szCs w:val="24"/>
        </w:rPr>
        <w:t xml:space="preserve">is designed to provide </w:t>
      </w:r>
      <w:r w:rsidRPr="007F2866">
        <w:rPr>
          <w:rFonts w:ascii="Times New Roman" w:hAnsi="Times New Roman" w:cs="Times New Roman"/>
          <w:sz w:val="24"/>
          <w:szCs w:val="24"/>
        </w:rPr>
        <w:t>reference for study programs offered by the higher ed</w:t>
      </w:r>
      <w:r w:rsidR="00B32D60">
        <w:rPr>
          <w:rFonts w:ascii="Times New Roman" w:hAnsi="Times New Roman" w:cs="Times New Roman"/>
          <w:sz w:val="24"/>
          <w:szCs w:val="24"/>
        </w:rPr>
        <w:t xml:space="preserve">ucation institutions. It is the </w:t>
      </w:r>
      <w:r w:rsidRPr="007F2866">
        <w:rPr>
          <w:rFonts w:ascii="Times New Roman" w:hAnsi="Times New Roman" w:cs="Times New Roman"/>
          <w:sz w:val="24"/>
          <w:szCs w:val="24"/>
        </w:rPr>
        <w:t>framework which requires study programs to provide learning out</w:t>
      </w:r>
      <w:r w:rsidR="00B32D60">
        <w:rPr>
          <w:rFonts w:ascii="Times New Roman" w:hAnsi="Times New Roman" w:cs="Times New Roman"/>
          <w:sz w:val="24"/>
          <w:szCs w:val="24"/>
        </w:rPr>
        <w:t xml:space="preserve">comes through their curriculum. </w:t>
      </w:r>
      <w:r w:rsidRPr="007F2866">
        <w:rPr>
          <w:rFonts w:ascii="Times New Roman" w:hAnsi="Times New Roman" w:cs="Times New Roman"/>
          <w:sz w:val="24"/>
          <w:szCs w:val="24"/>
        </w:rPr>
        <w:t>Conventionally, learning outcomes are achieved through curri</w:t>
      </w:r>
      <w:r w:rsidR="00B32D60">
        <w:rPr>
          <w:rFonts w:ascii="Times New Roman" w:hAnsi="Times New Roman" w:cs="Times New Roman"/>
          <w:sz w:val="24"/>
          <w:szCs w:val="24"/>
        </w:rPr>
        <w:t xml:space="preserve">culum established by </w:t>
      </w:r>
      <w:r w:rsidR="00AA0B74">
        <w:rPr>
          <w:rFonts w:ascii="Times New Roman" w:hAnsi="Times New Roman" w:cs="Times New Roman"/>
          <w:sz w:val="24"/>
          <w:szCs w:val="24"/>
        </w:rPr>
        <w:t xml:space="preserve">the study programs consisting of </w:t>
      </w:r>
      <w:r w:rsidRPr="007F2866">
        <w:rPr>
          <w:rFonts w:ascii="Times New Roman" w:hAnsi="Times New Roman" w:cs="Times New Roman"/>
          <w:sz w:val="24"/>
          <w:szCs w:val="24"/>
        </w:rPr>
        <w:t xml:space="preserve">courses </w:t>
      </w:r>
      <w:r w:rsidR="00B32D60">
        <w:rPr>
          <w:rFonts w:ascii="Times New Roman" w:hAnsi="Times New Roman" w:cs="Times New Roman"/>
          <w:sz w:val="24"/>
          <w:szCs w:val="24"/>
        </w:rPr>
        <w:t xml:space="preserve">offered by and within a single </w:t>
      </w:r>
      <w:r w:rsidRPr="007F2866">
        <w:rPr>
          <w:rFonts w:ascii="Times New Roman" w:hAnsi="Times New Roman" w:cs="Times New Roman"/>
          <w:sz w:val="24"/>
          <w:szCs w:val="24"/>
        </w:rPr>
        <w:t xml:space="preserve">university. As the globalization moves </w:t>
      </w:r>
      <w:r w:rsidR="007879C3">
        <w:rPr>
          <w:rFonts w:ascii="Times New Roman" w:hAnsi="Times New Roman" w:cs="Times New Roman"/>
          <w:sz w:val="24"/>
          <w:szCs w:val="24"/>
        </w:rPr>
        <w:t>countries to become borderless, collaboration among and mobility of education providers, i.e., universities</w:t>
      </w:r>
      <w:r w:rsidR="00AA0B74">
        <w:rPr>
          <w:rFonts w:ascii="Times New Roman" w:hAnsi="Times New Roman" w:cs="Times New Roman"/>
          <w:sz w:val="24"/>
          <w:szCs w:val="24"/>
        </w:rPr>
        <w:t>,</w:t>
      </w:r>
      <w:r w:rsidR="007879C3">
        <w:rPr>
          <w:rFonts w:ascii="Times New Roman" w:hAnsi="Times New Roman" w:cs="Times New Roman"/>
          <w:sz w:val="24"/>
          <w:szCs w:val="24"/>
        </w:rPr>
        <w:t xml:space="preserve"> are increasing.  </w:t>
      </w:r>
      <w:r w:rsidR="00AA0B74" w:rsidRPr="00AA0B74">
        <w:rPr>
          <w:rFonts w:ascii="Times New Roman" w:eastAsia="Times New Roman" w:hAnsi="Times New Roman" w:cs="Times New Roman"/>
          <w:sz w:val="24"/>
          <w:szCs w:val="24"/>
        </w:rPr>
        <w:t xml:space="preserve">This establishment of IQF </w:t>
      </w:r>
      <w:r w:rsidR="007879C3" w:rsidRPr="00AA0B74">
        <w:rPr>
          <w:rFonts w:ascii="Times New Roman" w:eastAsia="Times New Roman" w:hAnsi="Times New Roman" w:cs="Times New Roman"/>
          <w:sz w:val="24"/>
          <w:szCs w:val="24"/>
        </w:rPr>
        <w:t>pave</w:t>
      </w:r>
      <w:r w:rsidR="00AA0B74" w:rsidRPr="00AA0B74">
        <w:rPr>
          <w:rFonts w:ascii="Times New Roman" w:eastAsia="Times New Roman" w:hAnsi="Times New Roman" w:cs="Times New Roman"/>
          <w:sz w:val="24"/>
          <w:szCs w:val="24"/>
        </w:rPr>
        <w:t>s</w:t>
      </w:r>
      <w:r w:rsidR="007879C3" w:rsidRPr="00AA0B74">
        <w:rPr>
          <w:rFonts w:ascii="Times New Roman" w:eastAsia="Times New Roman" w:hAnsi="Times New Roman" w:cs="Times New Roman"/>
          <w:sz w:val="24"/>
          <w:szCs w:val="24"/>
        </w:rPr>
        <w:t xml:space="preserve"> the way for further collaboration and integration </w:t>
      </w:r>
      <w:r w:rsidR="00AA0B74" w:rsidRPr="00AA0B74">
        <w:rPr>
          <w:rFonts w:ascii="Times New Roman" w:eastAsia="Times New Roman" w:hAnsi="Times New Roman" w:cs="Times New Roman"/>
          <w:sz w:val="24"/>
          <w:szCs w:val="24"/>
        </w:rPr>
        <w:t>among Indonesian universities and</w:t>
      </w:r>
      <w:r w:rsidR="007879C3" w:rsidRPr="00AA0B74">
        <w:rPr>
          <w:rFonts w:ascii="Times New Roman" w:eastAsia="Times New Roman" w:hAnsi="Times New Roman" w:cs="Times New Roman"/>
          <w:sz w:val="24"/>
          <w:szCs w:val="24"/>
        </w:rPr>
        <w:t xml:space="preserve"> universities in the region, </w:t>
      </w:r>
      <w:r w:rsidR="00AA0B74" w:rsidRPr="00AA0B74">
        <w:rPr>
          <w:rFonts w:ascii="Times New Roman" w:eastAsia="Times New Roman" w:hAnsi="Times New Roman" w:cs="Times New Roman"/>
          <w:sz w:val="24"/>
          <w:szCs w:val="24"/>
        </w:rPr>
        <w:t>and enhances</w:t>
      </w:r>
      <w:r w:rsidR="007879C3" w:rsidRPr="00AA0B74">
        <w:rPr>
          <w:rFonts w:ascii="Times New Roman" w:eastAsia="Times New Roman" w:hAnsi="Times New Roman" w:cs="Times New Roman"/>
          <w:sz w:val="24"/>
          <w:szCs w:val="24"/>
        </w:rPr>
        <w:t xml:space="preserve"> the overall reputation of </w:t>
      </w:r>
      <w:r w:rsidR="00AA0B74" w:rsidRPr="00AA0B74">
        <w:rPr>
          <w:rFonts w:ascii="Times New Roman" w:eastAsia="Times New Roman" w:hAnsi="Times New Roman" w:cs="Times New Roman"/>
          <w:sz w:val="24"/>
          <w:szCs w:val="24"/>
        </w:rPr>
        <w:t>Indonesian universities.</w:t>
      </w:r>
    </w:p>
    <w:p w:rsidR="007879C3" w:rsidRDefault="007879C3" w:rsidP="00CB3A24">
      <w:pPr>
        <w:autoSpaceDE w:val="0"/>
        <w:autoSpaceDN w:val="0"/>
        <w:adjustRightInd w:val="0"/>
        <w:spacing w:after="0"/>
        <w:jc w:val="both"/>
        <w:rPr>
          <w:rFonts w:ascii="Times New Roman" w:hAnsi="Times New Roman" w:cs="Times New Roman"/>
          <w:sz w:val="24"/>
          <w:szCs w:val="24"/>
        </w:rPr>
      </w:pPr>
    </w:p>
    <w:p w:rsidR="007879C3" w:rsidRDefault="00AA0B74" w:rsidP="00CB3A2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availability of IQF facilitates greater students’ mobility – both physical as well as virtual mobility.  As one of the learning outcomes include international exposure, which can be achieved via physical student mobility based on the IQF. In regard with virtual mobility, the IQF guides students as well as government to recognize the students’ learning experienced through various means and technology. The transfer of credits and credits earning can relatively be done at ease based on the IQF, for various student mobility program covering: </w:t>
      </w:r>
    </w:p>
    <w:p w:rsidR="00AA0B74" w:rsidRDefault="00CB3A24" w:rsidP="00CB3A24">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AA0B74">
        <w:rPr>
          <w:rFonts w:ascii="Times New Roman" w:hAnsi="Times New Roman" w:cs="Times New Roman"/>
          <w:sz w:val="24"/>
          <w:szCs w:val="24"/>
        </w:rPr>
        <w:t>By region, i.e. national, regional, international</w:t>
      </w:r>
    </w:p>
    <w:p w:rsidR="00A65781" w:rsidRPr="00A65781" w:rsidRDefault="00CB3A24" w:rsidP="00A65781">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AA0B74">
        <w:rPr>
          <w:rFonts w:ascii="Times New Roman" w:hAnsi="Times New Roman" w:cs="Times New Roman"/>
          <w:sz w:val="24"/>
          <w:szCs w:val="24"/>
        </w:rPr>
        <w:lastRenderedPageBreak/>
        <w:t>By length of program, i.e. short period (one semester or less) includes short visit/field trip,</w:t>
      </w:r>
      <w:r w:rsidR="00AA0B74">
        <w:rPr>
          <w:rFonts w:ascii="Times New Roman" w:hAnsi="Times New Roman" w:cs="Times New Roman"/>
          <w:sz w:val="24"/>
          <w:szCs w:val="24"/>
        </w:rPr>
        <w:t xml:space="preserve"> </w:t>
      </w:r>
      <w:r w:rsidRPr="00AA0B74">
        <w:rPr>
          <w:rFonts w:ascii="Times New Roman" w:hAnsi="Times New Roman" w:cs="Times New Roman"/>
          <w:sz w:val="24"/>
          <w:szCs w:val="24"/>
        </w:rPr>
        <w:t>short course, summer course, student exchange; and long period (more than one semester)</w:t>
      </w:r>
      <w:r w:rsidR="00AA0B74">
        <w:rPr>
          <w:rFonts w:ascii="Times New Roman" w:hAnsi="Times New Roman" w:cs="Times New Roman"/>
          <w:sz w:val="24"/>
          <w:szCs w:val="24"/>
        </w:rPr>
        <w:t xml:space="preserve"> </w:t>
      </w:r>
      <w:r w:rsidRPr="00AA0B74">
        <w:rPr>
          <w:rFonts w:ascii="Times New Roman" w:hAnsi="Times New Roman" w:cs="Times New Roman"/>
          <w:sz w:val="24"/>
          <w:szCs w:val="24"/>
        </w:rPr>
        <w:t>includes sandwich, Double Degree or Joint Degree Program</w:t>
      </w:r>
    </w:p>
    <w:p w:rsidR="00AA0B74" w:rsidRDefault="00CB3A24" w:rsidP="00CB3A24">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AA0B74">
        <w:rPr>
          <w:rFonts w:ascii="Times New Roman" w:hAnsi="Times New Roman" w:cs="Times New Roman"/>
          <w:sz w:val="24"/>
          <w:szCs w:val="24"/>
        </w:rPr>
        <w:t>By financial source, i.e. university, government and private sponsorship</w:t>
      </w:r>
    </w:p>
    <w:p w:rsidR="00AA0B74" w:rsidRDefault="00CB3A24" w:rsidP="00CB3A24">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AA0B74">
        <w:rPr>
          <w:rFonts w:ascii="Times New Roman" w:hAnsi="Times New Roman" w:cs="Times New Roman"/>
          <w:sz w:val="24"/>
          <w:szCs w:val="24"/>
        </w:rPr>
        <w:t>By activity, i.e. lecture, internship, research, field trip</w:t>
      </w:r>
    </w:p>
    <w:p w:rsidR="00CB3A24" w:rsidRDefault="00CB3A24" w:rsidP="00CB3A24">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AA0B74">
        <w:rPr>
          <w:rFonts w:ascii="Times New Roman" w:hAnsi="Times New Roman" w:cs="Times New Roman"/>
          <w:sz w:val="24"/>
          <w:szCs w:val="24"/>
        </w:rPr>
        <w:t>Degree and non-degree</w:t>
      </w:r>
    </w:p>
    <w:p w:rsidR="007126EF" w:rsidRDefault="007126EF" w:rsidP="00734DB3">
      <w:pPr>
        <w:autoSpaceDE w:val="0"/>
        <w:autoSpaceDN w:val="0"/>
        <w:adjustRightInd w:val="0"/>
        <w:spacing w:after="0"/>
        <w:jc w:val="both"/>
        <w:rPr>
          <w:rFonts w:ascii="Times New Roman" w:hAnsi="Times New Roman" w:cs="Times New Roman"/>
          <w:sz w:val="24"/>
          <w:szCs w:val="24"/>
        </w:rPr>
      </w:pPr>
    </w:p>
    <w:p w:rsidR="00A60E22" w:rsidRDefault="00734DB3" w:rsidP="00734DB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As such, it is necessary for all participating economies of APEC to establish its own qualification framework.  There are some regional qualification frameworks introduced by regional bodies, such as </w:t>
      </w:r>
      <w:r w:rsidR="009F72C5" w:rsidRPr="0067029F">
        <w:rPr>
          <w:rFonts w:ascii="Times New Roman" w:eastAsia="Times New Roman" w:hAnsi="Times New Roman" w:cs="Times New Roman"/>
          <w:sz w:val="24"/>
          <w:szCs w:val="24"/>
        </w:rPr>
        <w:t xml:space="preserve">ASEAN Qualifications Reference Framework </w:t>
      </w:r>
      <w:r w:rsidR="00A60E22">
        <w:rPr>
          <w:rFonts w:ascii="Times New Roman" w:hAnsi="Times New Roman" w:cs="Times New Roman"/>
          <w:sz w:val="24"/>
          <w:szCs w:val="24"/>
        </w:rPr>
        <w:t>chaired by Malaysia</w:t>
      </w:r>
      <w:r>
        <w:rPr>
          <w:rFonts w:ascii="Times New Roman" w:hAnsi="Times New Roman" w:cs="Times New Roman"/>
          <w:sz w:val="24"/>
          <w:szCs w:val="24"/>
        </w:rPr>
        <w:t xml:space="preserve">, </w:t>
      </w:r>
      <w:r w:rsidR="009F72C5" w:rsidRPr="009F72C5">
        <w:rPr>
          <w:rFonts w:ascii="Times New Roman" w:eastAsia="Times New Roman" w:hAnsi="Times New Roman" w:cs="Times New Roman"/>
          <w:sz w:val="24"/>
          <w:szCs w:val="24"/>
        </w:rPr>
        <w:t xml:space="preserve">ASEAN Quality Assurance Network </w:t>
      </w:r>
      <w:r w:rsidR="009F72C5">
        <w:rPr>
          <w:rFonts w:ascii="Times New Roman" w:eastAsia="Times New Roman" w:hAnsi="Times New Roman" w:cs="Times New Roman"/>
          <w:sz w:val="24"/>
          <w:szCs w:val="24"/>
        </w:rPr>
        <w:t>(</w:t>
      </w:r>
      <w:r>
        <w:rPr>
          <w:rFonts w:ascii="Times New Roman" w:hAnsi="Times New Roman" w:cs="Times New Roman"/>
          <w:sz w:val="24"/>
          <w:szCs w:val="24"/>
        </w:rPr>
        <w:t>AQ</w:t>
      </w:r>
      <w:r w:rsidR="009F72C5">
        <w:rPr>
          <w:rFonts w:ascii="Times New Roman" w:hAnsi="Times New Roman" w:cs="Times New Roman"/>
          <w:sz w:val="24"/>
          <w:szCs w:val="24"/>
        </w:rPr>
        <w:t>AN)</w:t>
      </w:r>
      <w:r>
        <w:rPr>
          <w:rFonts w:ascii="Times New Roman" w:hAnsi="Times New Roman" w:cs="Times New Roman"/>
          <w:sz w:val="24"/>
          <w:szCs w:val="24"/>
        </w:rPr>
        <w:t xml:space="preserve"> by ASEAN; and also individual economies qualification frameworks.  </w:t>
      </w:r>
    </w:p>
    <w:p w:rsidR="00A60E22" w:rsidRDefault="00A60E22" w:rsidP="00734DB3">
      <w:pPr>
        <w:autoSpaceDE w:val="0"/>
        <w:autoSpaceDN w:val="0"/>
        <w:adjustRightInd w:val="0"/>
        <w:spacing w:after="0"/>
        <w:jc w:val="both"/>
        <w:rPr>
          <w:rFonts w:ascii="Times New Roman" w:hAnsi="Times New Roman" w:cs="Times New Roman"/>
          <w:sz w:val="24"/>
          <w:szCs w:val="24"/>
        </w:rPr>
      </w:pPr>
    </w:p>
    <w:p w:rsidR="009F72C5" w:rsidRDefault="00A60E22" w:rsidP="00734DB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Based on the available qualification framework, credit transfer system has also been established. For example, the </w:t>
      </w:r>
      <w:r w:rsidR="009F72C5" w:rsidRPr="00A60E22">
        <w:rPr>
          <w:rFonts w:ascii="Times New Roman" w:eastAsia="Times New Roman" w:hAnsi="Times New Roman" w:cs="Times New Roman"/>
          <w:sz w:val="24"/>
          <w:szCs w:val="24"/>
        </w:rPr>
        <w:t>University Credit Transfer System (UCTS), a mechanism to satisfy mobility for students seeking transf</w:t>
      </w:r>
      <w:r w:rsidRPr="00A60E22">
        <w:rPr>
          <w:rFonts w:ascii="Times New Roman" w:eastAsia="Times New Roman" w:hAnsi="Times New Roman" w:cs="Times New Roman"/>
          <w:sz w:val="24"/>
          <w:szCs w:val="24"/>
        </w:rPr>
        <w:t>er of credits within the Asia Pacific region</w:t>
      </w:r>
      <w:r>
        <w:rPr>
          <w:rFonts w:ascii="Times New Roman" w:eastAsia="Times New Roman" w:hAnsi="Times New Roman" w:cs="Times New Roman"/>
          <w:sz w:val="24"/>
          <w:szCs w:val="24"/>
        </w:rPr>
        <w:t>.</w:t>
      </w:r>
      <w:r w:rsidR="009F72C5" w:rsidRPr="00A60E22">
        <w:rPr>
          <w:rFonts w:ascii="Times New Roman" w:eastAsia="Times New Roman" w:hAnsi="Times New Roman" w:cs="Times New Roman"/>
          <w:sz w:val="24"/>
          <w:szCs w:val="24"/>
        </w:rPr>
        <w:t xml:space="preserve"> Founded in 1994 with 35 countries and over 359 HEIs members, UMAP has</w:t>
      </w:r>
      <w:r w:rsidRPr="00A60E22">
        <w:rPr>
          <w:rFonts w:ascii="Times New Roman" w:eastAsia="Times New Roman" w:hAnsi="Times New Roman" w:cs="Times New Roman"/>
          <w:sz w:val="24"/>
          <w:szCs w:val="24"/>
        </w:rPr>
        <w:t xml:space="preserve"> </w:t>
      </w:r>
      <w:r w:rsidR="009F72C5" w:rsidRPr="00A60E22">
        <w:rPr>
          <w:rFonts w:ascii="Times New Roman" w:eastAsia="Times New Roman" w:hAnsi="Times New Roman" w:cs="Times New Roman"/>
          <w:sz w:val="24"/>
          <w:szCs w:val="24"/>
        </w:rPr>
        <w:t xml:space="preserve">developed a trial </w:t>
      </w:r>
      <w:r w:rsidRPr="00A60E22">
        <w:rPr>
          <w:rFonts w:ascii="Times New Roman" w:eastAsia="Times New Roman" w:hAnsi="Times New Roman" w:cs="Times New Roman"/>
          <w:sz w:val="24"/>
          <w:szCs w:val="24"/>
        </w:rPr>
        <w:t xml:space="preserve">program </w:t>
      </w:r>
      <w:r w:rsidR="009F72C5" w:rsidRPr="00A60E22">
        <w:rPr>
          <w:rFonts w:ascii="Times New Roman" w:eastAsia="Times New Roman" w:hAnsi="Times New Roman" w:cs="Times New Roman"/>
          <w:sz w:val="24"/>
          <w:szCs w:val="24"/>
        </w:rPr>
        <w:t>to promote student mobility in Asia Pacific. UCTS aims at creating a mor</w:t>
      </w:r>
      <w:r w:rsidRPr="00A60E22">
        <w:rPr>
          <w:rFonts w:ascii="Times New Roman" w:eastAsia="Times New Roman" w:hAnsi="Times New Roman" w:cs="Times New Roman"/>
          <w:sz w:val="24"/>
          <w:szCs w:val="24"/>
        </w:rPr>
        <w:t>e sustainable mobility program</w:t>
      </w:r>
      <w:r w:rsidR="009F72C5" w:rsidRPr="00A60E22">
        <w:rPr>
          <w:rFonts w:ascii="Times New Roman" w:eastAsia="Times New Roman" w:hAnsi="Times New Roman" w:cs="Times New Roman"/>
          <w:sz w:val="24"/>
          <w:szCs w:val="24"/>
        </w:rPr>
        <w:t xml:space="preserve"> that enables students to earn credits during their studies in other universities</w:t>
      </w:r>
      <w:r w:rsidRPr="00A60E22">
        <w:rPr>
          <w:rFonts w:ascii="Times New Roman" w:eastAsia="Times New Roman" w:hAnsi="Times New Roman" w:cs="Times New Roman"/>
          <w:sz w:val="24"/>
          <w:szCs w:val="24"/>
        </w:rPr>
        <w:t xml:space="preserve"> in a cross border setting</w:t>
      </w:r>
      <w:r w:rsidR="009F72C5" w:rsidRPr="00A60E22">
        <w:rPr>
          <w:rFonts w:ascii="Times New Roman" w:eastAsia="Times New Roman" w:hAnsi="Times New Roman" w:cs="Times New Roman"/>
          <w:sz w:val="24"/>
          <w:szCs w:val="24"/>
        </w:rPr>
        <w:t>.</w:t>
      </w:r>
      <w:r w:rsidRPr="00A60E22">
        <w:rPr>
          <w:rFonts w:ascii="Times New Roman" w:eastAsia="Times New Roman" w:hAnsi="Times New Roman" w:cs="Times New Roman"/>
          <w:sz w:val="24"/>
          <w:szCs w:val="24"/>
        </w:rPr>
        <w:t xml:space="preserve"> Meanwhile the </w:t>
      </w:r>
      <w:r w:rsidR="009F72C5" w:rsidRPr="00A60E22">
        <w:rPr>
          <w:rFonts w:ascii="Times New Roman" w:eastAsia="Times New Roman" w:hAnsi="Times New Roman" w:cs="Times New Roman"/>
          <w:sz w:val="24"/>
          <w:szCs w:val="24"/>
        </w:rPr>
        <w:t>ASEAN University Network’s (AUN) credit transfer system known as ASEA</w:t>
      </w:r>
      <w:r w:rsidRPr="00A60E22">
        <w:rPr>
          <w:rFonts w:ascii="Times New Roman" w:eastAsia="Times New Roman" w:hAnsi="Times New Roman" w:cs="Times New Roman"/>
          <w:sz w:val="24"/>
          <w:szCs w:val="24"/>
        </w:rPr>
        <w:t>N Credit Transfer System (ACTS) was developed by ASEAN University Network (</w:t>
      </w:r>
      <w:r w:rsidR="009F72C5" w:rsidRPr="00A60E22">
        <w:rPr>
          <w:rFonts w:ascii="Times New Roman" w:eastAsia="Times New Roman" w:hAnsi="Times New Roman" w:cs="Times New Roman"/>
          <w:sz w:val="24"/>
          <w:szCs w:val="24"/>
        </w:rPr>
        <w:t>by ASEAN in 1995</w:t>
      </w:r>
      <w:r w:rsidRPr="00A60E22">
        <w:rPr>
          <w:rFonts w:ascii="Times New Roman" w:eastAsia="Times New Roman" w:hAnsi="Times New Roman" w:cs="Times New Roman"/>
          <w:sz w:val="24"/>
          <w:szCs w:val="24"/>
        </w:rPr>
        <w:t>)</w:t>
      </w:r>
      <w:r w:rsidR="009F72C5" w:rsidRPr="00A60E22">
        <w:rPr>
          <w:rFonts w:ascii="Times New Roman" w:eastAsia="Times New Roman" w:hAnsi="Times New Roman" w:cs="Times New Roman"/>
          <w:sz w:val="24"/>
          <w:szCs w:val="24"/>
        </w:rPr>
        <w:t>. As of 2011, it had about 26 members. According to ACTS, credit transfer is the award of credit for a subject in a given program for learning that had taken place in another program completed by a learner prior to the program he/she is undertaking or about to undertake</w:t>
      </w:r>
      <w:r>
        <w:rPr>
          <w:rFonts w:ascii="Times New Roman" w:eastAsia="Times New Roman" w:hAnsi="Times New Roman" w:cs="Times New Roman"/>
          <w:sz w:val="24"/>
          <w:szCs w:val="24"/>
        </w:rPr>
        <w:t xml:space="preserve"> through cross border education scheme</w:t>
      </w:r>
      <w:r w:rsidR="009F72C5" w:rsidRPr="00A60E22">
        <w:rPr>
          <w:rFonts w:ascii="Times New Roman" w:eastAsia="Times New Roman" w:hAnsi="Times New Roman" w:cs="Times New Roman"/>
          <w:sz w:val="24"/>
          <w:szCs w:val="24"/>
        </w:rPr>
        <w:t>.</w:t>
      </w:r>
    </w:p>
    <w:p w:rsidR="00A60E22" w:rsidRDefault="00A60E22" w:rsidP="00A60E22">
      <w:pPr>
        <w:autoSpaceDE w:val="0"/>
        <w:autoSpaceDN w:val="0"/>
        <w:adjustRightInd w:val="0"/>
        <w:spacing w:after="0"/>
        <w:jc w:val="both"/>
        <w:rPr>
          <w:rFonts w:ascii="Times New Roman" w:eastAsia="Times New Roman" w:hAnsi="Times New Roman" w:cs="Times New Roman"/>
          <w:sz w:val="24"/>
          <w:szCs w:val="24"/>
        </w:rPr>
      </w:pPr>
    </w:p>
    <w:p w:rsidR="00A60E22" w:rsidRDefault="00A60E22" w:rsidP="00A60E2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Nevertheless, there are also some economies who has not </w:t>
      </w:r>
      <w:r w:rsidR="0078354B">
        <w:rPr>
          <w:rFonts w:ascii="Times New Roman" w:hAnsi="Times New Roman" w:cs="Times New Roman"/>
          <w:sz w:val="24"/>
          <w:szCs w:val="24"/>
        </w:rPr>
        <w:t>had</w:t>
      </w:r>
      <w:r>
        <w:rPr>
          <w:rFonts w:ascii="Times New Roman" w:hAnsi="Times New Roman" w:cs="Times New Roman"/>
          <w:sz w:val="24"/>
          <w:szCs w:val="24"/>
        </w:rPr>
        <w:t xml:space="preserve"> comparable education system as well as learning outcomes, due to lack of the qualification framew</w:t>
      </w:r>
      <w:r w:rsidR="0078354B">
        <w:rPr>
          <w:rFonts w:ascii="Times New Roman" w:hAnsi="Times New Roman" w:cs="Times New Roman"/>
          <w:sz w:val="24"/>
          <w:szCs w:val="24"/>
        </w:rPr>
        <w:t>ork.  This situation,</w:t>
      </w:r>
      <w:r>
        <w:rPr>
          <w:rFonts w:ascii="Times New Roman" w:hAnsi="Times New Roman" w:cs="Times New Roman"/>
          <w:sz w:val="24"/>
          <w:szCs w:val="24"/>
        </w:rPr>
        <w:t xml:space="preserve"> in general will hinder the student mobility, and in specific constraint to credit transfer as well as mutual recognition of learning outcomes.</w:t>
      </w:r>
      <w:r w:rsidR="0078354B">
        <w:rPr>
          <w:rFonts w:ascii="Times New Roman" w:hAnsi="Times New Roman" w:cs="Times New Roman"/>
          <w:sz w:val="24"/>
          <w:szCs w:val="24"/>
        </w:rPr>
        <w:t xml:space="preserve"> APEC </w:t>
      </w:r>
      <w:r w:rsidR="0078354B" w:rsidRPr="0078354B">
        <w:rPr>
          <w:rFonts w:ascii="Times New Roman" w:hAnsi="Times New Roman" w:cs="Times New Roman"/>
          <w:sz w:val="24"/>
          <w:szCs w:val="24"/>
        </w:rPr>
        <w:t xml:space="preserve">needs a system that guarantee the quality of credits associated with education gained under any </w:t>
      </w:r>
      <w:r w:rsidR="0078354B">
        <w:rPr>
          <w:rFonts w:ascii="Times New Roman" w:hAnsi="Times New Roman" w:cs="Times New Roman"/>
          <w:sz w:val="24"/>
          <w:szCs w:val="24"/>
        </w:rPr>
        <w:t>economies</w:t>
      </w:r>
      <w:r w:rsidR="0078354B" w:rsidRPr="0078354B">
        <w:rPr>
          <w:rFonts w:ascii="Times New Roman" w:hAnsi="Times New Roman" w:cs="Times New Roman"/>
          <w:sz w:val="24"/>
          <w:szCs w:val="24"/>
        </w:rPr>
        <w:t xml:space="preserve">. </w:t>
      </w:r>
      <w:r w:rsidR="0078354B">
        <w:rPr>
          <w:rFonts w:ascii="Times New Roman" w:hAnsi="Times New Roman" w:cs="Times New Roman"/>
          <w:sz w:val="24"/>
          <w:szCs w:val="24"/>
        </w:rPr>
        <w:t>M</w:t>
      </w:r>
      <w:r w:rsidR="0078354B" w:rsidRPr="0078354B">
        <w:rPr>
          <w:rFonts w:ascii="Times New Roman" w:hAnsi="Times New Roman" w:cs="Times New Roman"/>
          <w:sz w:val="24"/>
          <w:szCs w:val="24"/>
        </w:rPr>
        <w:t xml:space="preserve">utual trust and confidence between different systems </w:t>
      </w:r>
      <w:r w:rsidR="0078354B">
        <w:rPr>
          <w:rFonts w:ascii="Times New Roman" w:hAnsi="Times New Roman" w:cs="Times New Roman"/>
          <w:sz w:val="24"/>
          <w:szCs w:val="24"/>
        </w:rPr>
        <w:t xml:space="preserve">are of high importance. </w:t>
      </w:r>
      <w:r w:rsidR="0078354B" w:rsidRPr="0078354B">
        <w:rPr>
          <w:rFonts w:ascii="Times New Roman" w:hAnsi="Times New Roman" w:cs="Times New Roman"/>
          <w:sz w:val="24"/>
          <w:szCs w:val="24"/>
        </w:rPr>
        <w:t xml:space="preserve">Without transparency and knowledge about the quality of each other’s system, the development of credit transfer system within </w:t>
      </w:r>
      <w:r w:rsidR="0078354B">
        <w:rPr>
          <w:rFonts w:ascii="Times New Roman" w:hAnsi="Times New Roman" w:cs="Times New Roman"/>
          <w:sz w:val="24"/>
          <w:szCs w:val="24"/>
        </w:rPr>
        <w:t xml:space="preserve">APEC economies will be very slow, thus student mobility will be constraint. </w:t>
      </w:r>
    </w:p>
    <w:p w:rsidR="00734DB3" w:rsidRPr="00734DB3" w:rsidRDefault="00734DB3" w:rsidP="00734DB3">
      <w:pPr>
        <w:autoSpaceDE w:val="0"/>
        <w:autoSpaceDN w:val="0"/>
        <w:adjustRightInd w:val="0"/>
        <w:spacing w:after="0"/>
        <w:jc w:val="both"/>
        <w:rPr>
          <w:rFonts w:ascii="Times New Roman" w:hAnsi="Times New Roman" w:cs="Times New Roman"/>
          <w:sz w:val="24"/>
          <w:szCs w:val="24"/>
        </w:rPr>
      </w:pPr>
    </w:p>
    <w:p w:rsidR="00CB3A24" w:rsidRPr="00762215" w:rsidRDefault="00AA0B74" w:rsidP="00CB3A24">
      <w:pPr>
        <w:jc w:val="both"/>
        <w:rPr>
          <w:rFonts w:ascii="Times New Roman" w:hAnsi="Times New Roman" w:cs="Times New Roman"/>
          <w:b/>
          <w:i/>
          <w:sz w:val="24"/>
          <w:szCs w:val="24"/>
        </w:rPr>
      </w:pPr>
      <w:r w:rsidRPr="00762215">
        <w:rPr>
          <w:rFonts w:ascii="Times New Roman" w:hAnsi="Times New Roman" w:cs="Times New Roman"/>
          <w:b/>
          <w:i/>
          <w:sz w:val="24"/>
          <w:szCs w:val="24"/>
        </w:rPr>
        <w:t>b. AIMS (</w:t>
      </w:r>
      <w:r w:rsidR="005C31AB" w:rsidRPr="00762215">
        <w:rPr>
          <w:rFonts w:ascii="Times New Roman" w:hAnsi="Times New Roman" w:cs="Times New Roman"/>
          <w:b/>
          <w:i/>
          <w:sz w:val="24"/>
          <w:szCs w:val="24"/>
        </w:rPr>
        <w:t>ASEAN International Mobility for Students</w:t>
      </w:r>
      <w:r w:rsidRPr="00762215">
        <w:rPr>
          <w:rFonts w:ascii="Times New Roman" w:hAnsi="Times New Roman" w:cs="Times New Roman"/>
          <w:b/>
          <w:i/>
          <w:sz w:val="24"/>
          <w:szCs w:val="24"/>
        </w:rPr>
        <w:t>)</w:t>
      </w:r>
    </w:p>
    <w:p w:rsidR="00CB3A24" w:rsidRDefault="00CB3A24" w:rsidP="00734DB3">
      <w:pPr>
        <w:autoSpaceDE w:val="0"/>
        <w:autoSpaceDN w:val="0"/>
        <w:adjustRightInd w:val="0"/>
        <w:spacing w:after="0"/>
        <w:jc w:val="both"/>
        <w:rPr>
          <w:rFonts w:ascii="Times New Roman" w:hAnsi="Times New Roman" w:cs="Times New Roman"/>
          <w:sz w:val="24"/>
          <w:szCs w:val="24"/>
        </w:rPr>
      </w:pPr>
      <w:r w:rsidRPr="007F2866">
        <w:rPr>
          <w:rFonts w:ascii="Times New Roman" w:hAnsi="Times New Roman" w:cs="Times New Roman"/>
          <w:sz w:val="24"/>
          <w:szCs w:val="24"/>
        </w:rPr>
        <w:t>AIMS Program (formerly known as M-I-T Program) is coordina</w:t>
      </w:r>
      <w:r w:rsidR="00F222D4">
        <w:rPr>
          <w:rFonts w:ascii="Times New Roman" w:hAnsi="Times New Roman" w:cs="Times New Roman"/>
          <w:sz w:val="24"/>
          <w:szCs w:val="24"/>
        </w:rPr>
        <w:t xml:space="preserve">ted by SEAMEO RIHED since 2009. </w:t>
      </w:r>
      <w:r w:rsidRPr="007F2866">
        <w:rPr>
          <w:rFonts w:ascii="Times New Roman" w:hAnsi="Times New Roman" w:cs="Times New Roman"/>
          <w:sz w:val="24"/>
          <w:szCs w:val="24"/>
        </w:rPr>
        <w:t xml:space="preserve">Indonesia is one of the founders and actively participated in the </w:t>
      </w:r>
      <w:r w:rsidR="00F222D4">
        <w:rPr>
          <w:rFonts w:ascii="Times New Roman" w:hAnsi="Times New Roman" w:cs="Times New Roman"/>
          <w:sz w:val="24"/>
          <w:szCs w:val="24"/>
        </w:rPr>
        <w:t xml:space="preserve">program up to today. </w:t>
      </w:r>
      <w:r w:rsidR="00734DB3" w:rsidRPr="00734DB3">
        <w:rPr>
          <w:rFonts w:ascii="Times New Roman" w:hAnsi="Times New Roman" w:cs="Times New Roman"/>
          <w:sz w:val="24"/>
          <w:szCs w:val="24"/>
        </w:rPr>
        <w:t xml:space="preserve">The program aims to make temporary student mobility as a regular feature of higher education in Southeast Asia, as dedicated academic and administrative measures for internationalization of </w:t>
      </w:r>
      <w:r w:rsidR="00734DB3" w:rsidRPr="00734DB3">
        <w:rPr>
          <w:rFonts w:ascii="Times New Roman" w:hAnsi="Times New Roman" w:cs="Times New Roman"/>
          <w:sz w:val="24"/>
          <w:szCs w:val="24"/>
        </w:rPr>
        <w:lastRenderedPageBreak/>
        <w:t>students’ experiences are generally viewed as essential for dynamic institution of higher education.</w:t>
      </w:r>
    </w:p>
    <w:p w:rsidR="00734DB3" w:rsidRDefault="00734DB3" w:rsidP="00734DB3">
      <w:pPr>
        <w:autoSpaceDE w:val="0"/>
        <w:autoSpaceDN w:val="0"/>
        <w:adjustRightInd w:val="0"/>
        <w:spacing w:after="0"/>
        <w:jc w:val="both"/>
        <w:rPr>
          <w:rFonts w:ascii="Times New Roman" w:hAnsi="Times New Roman" w:cs="Times New Roman"/>
          <w:sz w:val="24"/>
          <w:szCs w:val="24"/>
        </w:rPr>
      </w:pPr>
    </w:p>
    <w:p w:rsidR="00734DB3" w:rsidRPr="00734DB3" w:rsidRDefault="00734DB3" w:rsidP="00734DB3">
      <w:pPr>
        <w:autoSpaceDE w:val="0"/>
        <w:autoSpaceDN w:val="0"/>
        <w:adjustRightInd w:val="0"/>
        <w:spacing w:after="0"/>
        <w:jc w:val="both"/>
        <w:rPr>
          <w:rFonts w:ascii="Times New Roman" w:hAnsi="Times New Roman" w:cs="Times New Roman"/>
          <w:sz w:val="24"/>
          <w:szCs w:val="24"/>
        </w:rPr>
      </w:pPr>
      <w:r w:rsidRPr="00734DB3">
        <w:rPr>
          <w:rFonts w:ascii="Times New Roman" w:hAnsi="Times New Roman" w:cs="Times New Roman"/>
          <w:sz w:val="24"/>
          <w:szCs w:val="24"/>
        </w:rPr>
        <w:t xml:space="preserve">AIMS program </w:t>
      </w:r>
      <w:r>
        <w:rPr>
          <w:rFonts w:ascii="Times New Roman" w:hAnsi="Times New Roman" w:cs="Times New Roman"/>
          <w:sz w:val="24"/>
          <w:szCs w:val="24"/>
        </w:rPr>
        <w:t>involves</w:t>
      </w:r>
      <w:r w:rsidRPr="00734DB3">
        <w:rPr>
          <w:rFonts w:ascii="Times New Roman" w:hAnsi="Times New Roman" w:cs="Times New Roman"/>
          <w:sz w:val="24"/>
          <w:szCs w:val="24"/>
        </w:rPr>
        <w:t xml:space="preserve"> undergraduates at degree level of any year in the program from fields of study (disciplines) that were determined collecti</w:t>
      </w:r>
      <w:r>
        <w:rPr>
          <w:rFonts w:ascii="Times New Roman" w:hAnsi="Times New Roman" w:cs="Times New Roman"/>
          <w:sz w:val="24"/>
          <w:szCs w:val="24"/>
        </w:rPr>
        <w:t xml:space="preserve">vely by participating countries. </w:t>
      </w:r>
      <w:r w:rsidRPr="00734DB3">
        <w:rPr>
          <w:rFonts w:ascii="Times New Roman" w:hAnsi="Times New Roman" w:cs="Times New Roman"/>
          <w:sz w:val="24"/>
          <w:szCs w:val="24"/>
        </w:rPr>
        <w:t>They highlighted initiatives that remove institutional barriers and broaden the base of participation in international mobility programs.</w:t>
      </w:r>
    </w:p>
    <w:p w:rsidR="00CB3A24" w:rsidRPr="007F2866" w:rsidRDefault="00CB3A24" w:rsidP="00CB3A24">
      <w:pPr>
        <w:spacing w:before="100" w:beforeAutospacing="1" w:after="100" w:afterAutospacing="1" w:line="240" w:lineRule="auto"/>
        <w:rPr>
          <w:rFonts w:ascii="Times New Roman" w:eastAsia="Times New Roman" w:hAnsi="Times New Roman" w:cs="Times New Roman"/>
          <w:sz w:val="24"/>
          <w:szCs w:val="24"/>
        </w:rPr>
      </w:pPr>
      <w:r w:rsidRPr="007F2866">
        <w:rPr>
          <w:rFonts w:ascii="Times New Roman" w:eastAsia="Times New Roman" w:hAnsi="Times New Roman" w:cs="Times New Roman"/>
          <w:noProof/>
          <w:color w:val="0000FF"/>
          <w:sz w:val="24"/>
          <w:szCs w:val="24"/>
          <w:lang w:val="en-AU" w:eastAsia="en-AU"/>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221615</wp:posOffset>
            </wp:positionV>
            <wp:extent cx="3943350" cy="2343150"/>
            <wp:effectExtent l="19050" t="19050" r="19050" b="19050"/>
            <wp:wrapSquare wrapText="bothSides"/>
            <wp:docPr id="1" name="Picture 1" descr="MorshidiPhotoBlo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shidiPhotoBlo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23431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34DB3" w:rsidRDefault="00734DB3" w:rsidP="00CB3A24">
      <w:pPr>
        <w:spacing w:before="100" w:beforeAutospacing="1" w:after="100" w:afterAutospacing="1" w:line="240" w:lineRule="auto"/>
        <w:rPr>
          <w:rFonts w:ascii="Times New Roman" w:eastAsia="Times New Roman" w:hAnsi="Times New Roman" w:cs="Times New Roman"/>
          <w:sz w:val="24"/>
          <w:szCs w:val="24"/>
        </w:rPr>
      </w:pPr>
    </w:p>
    <w:p w:rsidR="00734DB3" w:rsidRDefault="00734DB3" w:rsidP="00CB3A24">
      <w:pPr>
        <w:spacing w:before="100" w:beforeAutospacing="1" w:after="100" w:afterAutospacing="1" w:line="240" w:lineRule="auto"/>
        <w:rPr>
          <w:rFonts w:ascii="Times New Roman" w:eastAsia="Times New Roman" w:hAnsi="Times New Roman" w:cs="Times New Roman"/>
          <w:sz w:val="24"/>
          <w:szCs w:val="24"/>
        </w:rPr>
      </w:pPr>
    </w:p>
    <w:p w:rsidR="00734DB3" w:rsidRDefault="00734DB3" w:rsidP="00CB3A24">
      <w:pPr>
        <w:spacing w:before="100" w:beforeAutospacing="1" w:after="100" w:afterAutospacing="1" w:line="240" w:lineRule="auto"/>
        <w:rPr>
          <w:rFonts w:ascii="Times New Roman" w:eastAsia="Times New Roman" w:hAnsi="Times New Roman" w:cs="Times New Roman"/>
          <w:sz w:val="24"/>
          <w:szCs w:val="24"/>
        </w:rPr>
      </w:pPr>
    </w:p>
    <w:p w:rsidR="00734DB3" w:rsidRDefault="00734DB3" w:rsidP="00CB3A24">
      <w:pPr>
        <w:spacing w:before="100" w:beforeAutospacing="1" w:after="100" w:afterAutospacing="1" w:line="240" w:lineRule="auto"/>
        <w:rPr>
          <w:rFonts w:ascii="Times New Roman" w:eastAsia="Times New Roman" w:hAnsi="Times New Roman" w:cs="Times New Roman"/>
          <w:sz w:val="24"/>
          <w:szCs w:val="24"/>
        </w:rPr>
      </w:pPr>
    </w:p>
    <w:p w:rsidR="00734DB3" w:rsidRDefault="00734DB3" w:rsidP="00CB3A24">
      <w:pPr>
        <w:spacing w:before="100" w:beforeAutospacing="1" w:after="100" w:afterAutospacing="1" w:line="240" w:lineRule="auto"/>
        <w:rPr>
          <w:rFonts w:ascii="Times New Roman" w:eastAsia="Times New Roman" w:hAnsi="Times New Roman" w:cs="Times New Roman"/>
          <w:sz w:val="24"/>
          <w:szCs w:val="24"/>
        </w:rPr>
      </w:pPr>
    </w:p>
    <w:p w:rsidR="0078354B" w:rsidRDefault="0078354B" w:rsidP="00CB3A24">
      <w:pPr>
        <w:spacing w:before="100" w:beforeAutospacing="1" w:after="100" w:afterAutospacing="1" w:line="240" w:lineRule="auto"/>
        <w:rPr>
          <w:rFonts w:ascii="Times New Roman" w:eastAsia="Times New Roman" w:hAnsi="Times New Roman" w:cs="Times New Roman"/>
          <w:sz w:val="24"/>
          <w:szCs w:val="24"/>
        </w:rPr>
      </w:pPr>
    </w:p>
    <w:p w:rsidR="00CB3A24" w:rsidRPr="007F2866" w:rsidRDefault="00CB3A24" w:rsidP="00CB3A24">
      <w:pPr>
        <w:spacing w:before="100" w:beforeAutospacing="1" w:after="100" w:afterAutospacing="1" w:line="240" w:lineRule="auto"/>
        <w:rPr>
          <w:rFonts w:ascii="Times New Roman" w:eastAsia="Times New Roman" w:hAnsi="Times New Roman" w:cs="Times New Roman"/>
          <w:sz w:val="24"/>
          <w:szCs w:val="24"/>
        </w:rPr>
      </w:pPr>
      <w:r w:rsidRPr="007F2866">
        <w:rPr>
          <w:rFonts w:ascii="Times New Roman" w:eastAsia="Times New Roman" w:hAnsi="Times New Roman" w:cs="Times New Roman"/>
          <w:sz w:val="24"/>
          <w:szCs w:val="24"/>
        </w:rPr>
        <w:t xml:space="preserve">(Source : </w:t>
      </w:r>
      <w:r w:rsidRPr="00734DB3">
        <w:rPr>
          <w:rFonts w:ascii="Times New Roman" w:eastAsia="Times New Roman" w:hAnsi="Times New Roman" w:cs="Times New Roman"/>
          <w:i/>
          <w:sz w:val="24"/>
          <w:szCs w:val="24"/>
        </w:rPr>
        <w:t>Student Mobility: focusing on the globally competent human resources</w:t>
      </w:r>
      <w:r w:rsidRPr="007F2866">
        <w:rPr>
          <w:rFonts w:ascii="Times New Roman" w:eastAsia="Times New Roman" w:hAnsi="Times New Roman" w:cs="Times New Roman"/>
          <w:sz w:val="24"/>
          <w:szCs w:val="24"/>
        </w:rPr>
        <w:t>, Li Zhe</w:t>
      </w:r>
      <w:r w:rsidR="00734DB3">
        <w:rPr>
          <w:rFonts w:ascii="Times New Roman" w:eastAsia="Times New Roman" w:hAnsi="Times New Roman" w:cs="Times New Roman"/>
          <w:sz w:val="24"/>
          <w:szCs w:val="24"/>
        </w:rPr>
        <w:t xml:space="preserve"> (2013) </w:t>
      </w:r>
      <w:r w:rsidR="00734DB3" w:rsidRPr="00734DB3">
        <w:rPr>
          <w:rFonts w:ascii="Times New Roman" w:eastAsia="Times New Roman" w:hAnsi="Times New Roman" w:cs="Times New Roman"/>
          <w:sz w:val="20"/>
          <w:szCs w:val="20"/>
        </w:rPr>
        <w:t>P</w:t>
      </w:r>
      <w:r w:rsidRPr="00734DB3">
        <w:rPr>
          <w:rFonts w:ascii="Times New Roman" w:eastAsia="Times New Roman" w:hAnsi="Times New Roman" w:cs="Times New Roman"/>
          <w:sz w:val="20"/>
          <w:szCs w:val="20"/>
        </w:rPr>
        <w:t>resented at the First Working group on Mobility of Higher education and Ensuring Quality Assurance of Higher education Among ASEAN plus Three Countries, 30 September 2013, Tokyo</w:t>
      </w:r>
      <w:r w:rsidR="00734DB3" w:rsidRPr="00734DB3">
        <w:rPr>
          <w:rFonts w:ascii="Times New Roman" w:eastAsia="Times New Roman" w:hAnsi="Times New Roman" w:cs="Times New Roman"/>
          <w:sz w:val="20"/>
          <w:szCs w:val="20"/>
        </w:rPr>
        <w:t>, Japan.</w:t>
      </w:r>
    </w:p>
    <w:p w:rsidR="00CB3A24" w:rsidRPr="00734DB3" w:rsidRDefault="00CB3A24" w:rsidP="00734DB3">
      <w:pPr>
        <w:spacing w:before="100" w:beforeAutospacing="1" w:after="100" w:afterAutospacing="1"/>
        <w:rPr>
          <w:rFonts w:ascii="Times New Roman" w:eastAsia="Times New Roman" w:hAnsi="Times New Roman" w:cs="Times New Roman"/>
          <w:sz w:val="24"/>
          <w:szCs w:val="24"/>
        </w:rPr>
      </w:pPr>
      <w:r w:rsidRPr="00734DB3">
        <w:rPr>
          <w:rFonts w:ascii="Times New Roman" w:eastAsia="Times New Roman" w:hAnsi="Times New Roman" w:cs="Times New Roman"/>
          <w:sz w:val="24"/>
          <w:szCs w:val="24"/>
        </w:rPr>
        <w:t xml:space="preserve">From the above projection, AIMS </w:t>
      </w:r>
      <w:r w:rsidR="00734DB3">
        <w:rPr>
          <w:rFonts w:ascii="Times New Roman" w:eastAsia="Times New Roman" w:hAnsi="Times New Roman" w:cs="Times New Roman"/>
          <w:sz w:val="24"/>
          <w:szCs w:val="24"/>
        </w:rPr>
        <w:t>is open for</w:t>
      </w:r>
      <w:r w:rsidRPr="00734DB3">
        <w:rPr>
          <w:rFonts w:ascii="Times New Roman" w:eastAsia="Times New Roman" w:hAnsi="Times New Roman" w:cs="Times New Roman"/>
          <w:sz w:val="24"/>
          <w:szCs w:val="24"/>
        </w:rPr>
        <w:t xml:space="preserve"> new members and the decision to join AIMS must come from the ministry responsible for higher education.</w:t>
      </w:r>
    </w:p>
    <w:p w:rsidR="00734DB3" w:rsidRDefault="007126EF" w:rsidP="00734DB3">
      <w:pPr>
        <w:autoSpaceDE w:val="0"/>
        <w:autoSpaceDN w:val="0"/>
        <w:adjustRightInd w:val="0"/>
        <w:spacing w:after="0"/>
        <w:jc w:val="both"/>
        <w:rPr>
          <w:rFonts w:ascii="Times New Roman" w:hAnsi="Times New Roman" w:cs="Times New Roman"/>
          <w:sz w:val="24"/>
          <w:szCs w:val="24"/>
        </w:rPr>
      </w:pPr>
      <w:r w:rsidRPr="007F2866">
        <w:rPr>
          <w:rFonts w:ascii="Times New Roman" w:hAnsi="Times New Roman" w:cs="Times New Roman"/>
          <w:noProof/>
          <w:sz w:val="24"/>
          <w:szCs w:val="24"/>
          <w:lang w:val="en-AU" w:eastAsia="en-AU"/>
        </w:rPr>
        <w:drawing>
          <wp:anchor distT="0" distB="0" distL="114300" distR="114300" simplePos="0" relativeHeight="251659264" behindDoc="0" locked="0" layoutInCell="1" allowOverlap="1" wp14:anchorId="52276E6F" wp14:editId="4DC4839F">
            <wp:simplePos x="0" y="0"/>
            <wp:positionH relativeFrom="column">
              <wp:posOffset>2591435</wp:posOffset>
            </wp:positionH>
            <wp:positionV relativeFrom="paragraph">
              <wp:posOffset>1008380</wp:posOffset>
            </wp:positionV>
            <wp:extent cx="3343275" cy="14357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4809"/>
                    <a:stretch/>
                  </pic:blipFill>
                  <pic:spPr bwMode="auto">
                    <a:xfrm>
                      <a:off x="0" y="0"/>
                      <a:ext cx="3343275" cy="1435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DB3">
        <w:rPr>
          <w:rFonts w:ascii="Times New Roman" w:hAnsi="Times New Roman" w:cs="Times New Roman"/>
          <w:sz w:val="24"/>
          <w:szCs w:val="24"/>
        </w:rPr>
        <w:t xml:space="preserve">To support </w:t>
      </w:r>
      <w:r w:rsidR="00734DB3" w:rsidRPr="007F2866">
        <w:rPr>
          <w:rFonts w:ascii="Times New Roman" w:hAnsi="Times New Roman" w:cs="Times New Roman"/>
          <w:sz w:val="24"/>
          <w:szCs w:val="24"/>
        </w:rPr>
        <w:t>AIMS program in Indonesia, DGHE (Directorate General of Higher Ed</w:t>
      </w:r>
      <w:r w:rsidR="00734DB3">
        <w:rPr>
          <w:rFonts w:ascii="Times New Roman" w:hAnsi="Times New Roman" w:cs="Times New Roman"/>
          <w:sz w:val="24"/>
          <w:szCs w:val="24"/>
        </w:rPr>
        <w:t xml:space="preserve">ucation), Ministry of Education </w:t>
      </w:r>
      <w:r w:rsidR="00734DB3" w:rsidRPr="007F2866">
        <w:rPr>
          <w:rFonts w:ascii="Times New Roman" w:hAnsi="Times New Roman" w:cs="Times New Roman"/>
          <w:sz w:val="24"/>
          <w:szCs w:val="24"/>
        </w:rPr>
        <w:t>and Culture establish</w:t>
      </w:r>
      <w:r w:rsidR="00734DB3">
        <w:rPr>
          <w:rFonts w:ascii="Times New Roman" w:hAnsi="Times New Roman" w:cs="Times New Roman"/>
          <w:sz w:val="24"/>
          <w:szCs w:val="24"/>
        </w:rPr>
        <w:t>ed</w:t>
      </w:r>
      <w:r w:rsidR="00734DB3" w:rsidRPr="007F2866">
        <w:rPr>
          <w:rFonts w:ascii="Times New Roman" w:hAnsi="Times New Roman" w:cs="Times New Roman"/>
          <w:sz w:val="24"/>
          <w:szCs w:val="24"/>
        </w:rPr>
        <w:t xml:space="preserve"> a taskforce responsible for planning, execut</w:t>
      </w:r>
      <w:r w:rsidR="00734DB3">
        <w:rPr>
          <w:rFonts w:ascii="Times New Roman" w:hAnsi="Times New Roman" w:cs="Times New Roman"/>
          <w:sz w:val="24"/>
          <w:szCs w:val="24"/>
        </w:rPr>
        <w:t xml:space="preserve">ing and monitoring the program. </w:t>
      </w:r>
      <w:r w:rsidR="00734DB3" w:rsidRPr="007F2866">
        <w:rPr>
          <w:rFonts w:ascii="Times New Roman" w:hAnsi="Times New Roman" w:cs="Times New Roman"/>
          <w:sz w:val="24"/>
          <w:szCs w:val="24"/>
        </w:rPr>
        <w:t>To ensure AIMS Program runs appropriately, a guidebook mai</w:t>
      </w:r>
      <w:r w:rsidR="00734DB3">
        <w:rPr>
          <w:rFonts w:ascii="Times New Roman" w:hAnsi="Times New Roman" w:cs="Times New Roman"/>
          <w:sz w:val="24"/>
          <w:szCs w:val="24"/>
        </w:rPr>
        <w:t xml:space="preserve">nly dedicated for participating </w:t>
      </w:r>
      <w:r w:rsidR="00734DB3" w:rsidRPr="007F2866">
        <w:rPr>
          <w:rFonts w:ascii="Times New Roman" w:hAnsi="Times New Roman" w:cs="Times New Roman"/>
          <w:sz w:val="24"/>
          <w:szCs w:val="24"/>
        </w:rPr>
        <w:t>universities in Indonesia is created. In general, this guidebook prov</w:t>
      </w:r>
      <w:r w:rsidR="00734DB3">
        <w:rPr>
          <w:rFonts w:ascii="Times New Roman" w:hAnsi="Times New Roman" w:cs="Times New Roman"/>
          <w:sz w:val="24"/>
          <w:szCs w:val="24"/>
        </w:rPr>
        <w:t xml:space="preserve">ides information on overview of </w:t>
      </w:r>
      <w:r w:rsidR="00734DB3" w:rsidRPr="007F2866">
        <w:rPr>
          <w:rFonts w:ascii="Times New Roman" w:hAnsi="Times New Roman" w:cs="Times New Roman"/>
          <w:sz w:val="24"/>
          <w:szCs w:val="24"/>
        </w:rPr>
        <w:t>AIMS Program, procedure for inbound and outbound students,</w:t>
      </w:r>
      <w:r w:rsidR="00734DB3">
        <w:rPr>
          <w:rFonts w:ascii="Times New Roman" w:hAnsi="Times New Roman" w:cs="Times New Roman"/>
          <w:sz w:val="24"/>
          <w:szCs w:val="24"/>
        </w:rPr>
        <w:t xml:space="preserve"> monitoring and evaluation, and </w:t>
      </w:r>
      <w:r w:rsidR="00734DB3" w:rsidRPr="007F2866">
        <w:rPr>
          <w:rFonts w:ascii="Times New Roman" w:hAnsi="Times New Roman" w:cs="Times New Roman"/>
          <w:sz w:val="24"/>
          <w:szCs w:val="24"/>
        </w:rPr>
        <w:t xml:space="preserve">reporting. </w:t>
      </w:r>
      <w:r w:rsidR="00734DB3">
        <w:rPr>
          <w:rFonts w:ascii="Times New Roman" w:hAnsi="Times New Roman" w:cs="Times New Roman"/>
          <w:sz w:val="24"/>
          <w:szCs w:val="24"/>
        </w:rPr>
        <w:t xml:space="preserve">The funding is provided </w:t>
      </w:r>
      <w:r w:rsidR="00734DB3" w:rsidRPr="007F2866">
        <w:rPr>
          <w:rFonts w:ascii="Times New Roman" w:hAnsi="Times New Roman" w:cs="Times New Roman"/>
          <w:sz w:val="24"/>
          <w:szCs w:val="24"/>
        </w:rPr>
        <w:t>through the Ministry of Education and Culture. Continuous support of</w:t>
      </w:r>
      <w:r w:rsidR="00734DB3">
        <w:rPr>
          <w:rFonts w:ascii="Times New Roman" w:hAnsi="Times New Roman" w:cs="Times New Roman"/>
          <w:sz w:val="24"/>
          <w:szCs w:val="24"/>
        </w:rPr>
        <w:t xml:space="preserve"> the government is indicated by </w:t>
      </w:r>
      <w:r w:rsidR="00734DB3" w:rsidRPr="007F2866">
        <w:rPr>
          <w:rFonts w:ascii="Times New Roman" w:hAnsi="Times New Roman" w:cs="Times New Roman"/>
          <w:sz w:val="24"/>
          <w:szCs w:val="24"/>
        </w:rPr>
        <w:t>increasing number of scholarship provided by the government (Table.2).</w:t>
      </w:r>
    </w:p>
    <w:p w:rsidR="00A65781" w:rsidRDefault="00A65781" w:rsidP="00734DB3">
      <w:pPr>
        <w:autoSpaceDE w:val="0"/>
        <w:autoSpaceDN w:val="0"/>
        <w:adjustRightInd w:val="0"/>
        <w:spacing w:after="0"/>
        <w:jc w:val="both"/>
        <w:rPr>
          <w:rFonts w:ascii="Times New Roman" w:hAnsi="Times New Roman" w:cs="Times New Roman"/>
          <w:sz w:val="24"/>
          <w:szCs w:val="24"/>
        </w:rPr>
      </w:pPr>
    </w:p>
    <w:p w:rsidR="00CB3A24" w:rsidRDefault="00734DB3" w:rsidP="00734DB3">
      <w:pPr>
        <w:autoSpaceDE w:val="0"/>
        <w:autoSpaceDN w:val="0"/>
        <w:adjustRightInd w:val="0"/>
        <w:spacing w:after="0"/>
        <w:jc w:val="both"/>
        <w:rPr>
          <w:rFonts w:ascii="Times New Roman" w:hAnsi="Times New Roman" w:cs="Times New Roman"/>
          <w:sz w:val="24"/>
          <w:szCs w:val="24"/>
        </w:rPr>
      </w:pPr>
      <w:r w:rsidRPr="00734DB3">
        <w:rPr>
          <w:rFonts w:ascii="Times New Roman" w:hAnsi="Times New Roman" w:cs="Times New Roman"/>
          <w:sz w:val="24"/>
          <w:szCs w:val="24"/>
        </w:rPr>
        <w:lastRenderedPageBreak/>
        <w:t>As the number of students increases, the AIMs needs to move their focus on numbers and percentages of students involved in each country to the content and quality of the regional experience. After all, student mobility and internationalization of higher education as such is not a goal in itself but a means to enhance the quality of the educational experience and the international learning outcome of the students</w:t>
      </w:r>
      <w:r>
        <w:rPr>
          <w:rFonts w:ascii="Times New Roman" w:hAnsi="Times New Roman" w:cs="Times New Roman"/>
          <w:sz w:val="24"/>
          <w:szCs w:val="24"/>
        </w:rPr>
        <w:t xml:space="preserve"> (Zhe, 2013). </w:t>
      </w:r>
    </w:p>
    <w:p w:rsidR="0078354B" w:rsidRDefault="0078354B" w:rsidP="00AC21A9">
      <w:pPr>
        <w:spacing w:before="100" w:beforeAutospacing="1" w:after="0"/>
        <w:rPr>
          <w:rFonts w:ascii="Times New Roman" w:hAnsi="Times New Roman" w:cs="Times New Roman"/>
          <w:b/>
          <w:sz w:val="24"/>
          <w:szCs w:val="24"/>
        </w:rPr>
      </w:pPr>
    </w:p>
    <w:p w:rsidR="0017619F" w:rsidRPr="0078354B" w:rsidRDefault="0017619F" w:rsidP="0078354B">
      <w:pPr>
        <w:spacing w:after="0"/>
        <w:rPr>
          <w:rFonts w:ascii="Times New Roman" w:hAnsi="Times New Roman" w:cs="Times New Roman"/>
          <w:b/>
          <w:sz w:val="24"/>
          <w:szCs w:val="24"/>
        </w:rPr>
      </w:pPr>
      <w:r w:rsidRPr="0078354B">
        <w:rPr>
          <w:rFonts w:ascii="Times New Roman" w:hAnsi="Times New Roman" w:cs="Times New Roman"/>
          <w:b/>
          <w:sz w:val="24"/>
          <w:szCs w:val="24"/>
        </w:rPr>
        <w:t>Moving forward</w:t>
      </w:r>
    </w:p>
    <w:p w:rsidR="009F72C5" w:rsidRDefault="0017619F" w:rsidP="0078354B">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 xml:space="preserve">To enable greater student mobility among the APEC economies, in addition to the availability of qualification frameworks and initiatives to collaborate for provision of innovative regional learning experience, there are some other intrinsic factors APEC should consider, i.e., regional accreditation, </w:t>
      </w:r>
      <w:r w:rsidR="00CC4EA4">
        <w:rPr>
          <w:rFonts w:ascii="Times New Roman" w:hAnsi="Times New Roman" w:cs="Times New Roman"/>
          <w:sz w:val="24"/>
          <w:szCs w:val="24"/>
        </w:rPr>
        <w:t xml:space="preserve">collaborative research for regional innovation, regional skills competition, and increase use of English Language. </w:t>
      </w:r>
    </w:p>
    <w:p w:rsidR="00AD1C52" w:rsidRDefault="00AD1C52" w:rsidP="0078354B">
      <w:pPr>
        <w:autoSpaceDE w:val="0"/>
        <w:autoSpaceDN w:val="0"/>
        <w:adjustRightInd w:val="0"/>
        <w:spacing w:after="0"/>
        <w:jc w:val="both"/>
        <w:rPr>
          <w:rFonts w:ascii="Times New Roman" w:hAnsi="Times New Roman" w:cs="Times New Roman"/>
          <w:sz w:val="24"/>
          <w:szCs w:val="24"/>
        </w:rPr>
      </w:pPr>
    </w:p>
    <w:p w:rsidR="009F72C5" w:rsidRDefault="009F72C5" w:rsidP="0078354B">
      <w:pPr>
        <w:autoSpaceDE w:val="0"/>
        <w:autoSpaceDN w:val="0"/>
        <w:adjustRightInd w:val="0"/>
        <w:spacing w:after="0"/>
        <w:jc w:val="both"/>
        <w:rPr>
          <w:rFonts w:ascii="Times New Roman" w:hAnsi="Times New Roman" w:cs="Times New Roman"/>
          <w:sz w:val="24"/>
          <w:szCs w:val="24"/>
        </w:rPr>
      </w:pPr>
      <w:r w:rsidRPr="0067029F">
        <w:rPr>
          <w:rFonts w:ascii="Times New Roman" w:eastAsia="Times New Roman" w:hAnsi="Times New Roman" w:cs="Times New Roman"/>
          <w:sz w:val="24"/>
          <w:szCs w:val="24"/>
        </w:rPr>
        <w:t>Accreditation is very important in higher education. It is viewed as both a process and a result. It is a process by which a university/college or technical and vocational training institution evaluates its educational activities, and seeks an independent judgment to confirm that it substantially achieves its objectives, and is generally equal in quality to comparable institutions. As a result, it is a form of certification, or grant of formal status by a recognized and authorized accrediting agency to an educational institution as possessing certain standards of quality which are over and above those prescribed as minimum requirements by the government.</w:t>
      </w:r>
      <w:r w:rsidR="0078354B">
        <w:rPr>
          <w:rFonts w:ascii="Times New Roman" w:eastAsia="Times New Roman" w:hAnsi="Times New Roman" w:cs="Times New Roman"/>
          <w:sz w:val="24"/>
          <w:szCs w:val="24"/>
        </w:rPr>
        <w:t xml:space="preserve"> APEC regional accreditation is important to establish </w:t>
      </w:r>
      <w:r w:rsidR="0078354B">
        <w:rPr>
          <w:rFonts w:ascii="Times New Roman" w:hAnsi="Times New Roman" w:cs="Times New Roman"/>
          <w:sz w:val="24"/>
          <w:szCs w:val="24"/>
        </w:rPr>
        <w:t>m</w:t>
      </w:r>
      <w:r w:rsidR="0078354B" w:rsidRPr="0078354B">
        <w:rPr>
          <w:rFonts w:ascii="Times New Roman" w:hAnsi="Times New Roman" w:cs="Times New Roman"/>
          <w:sz w:val="24"/>
          <w:szCs w:val="24"/>
        </w:rPr>
        <w:t xml:space="preserve">utual trust and confidence between different </w:t>
      </w:r>
      <w:r w:rsidR="0078354B">
        <w:rPr>
          <w:rFonts w:ascii="Times New Roman" w:hAnsi="Times New Roman" w:cs="Times New Roman"/>
          <w:sz w:val="24"/>
          <w:szCs w:val="24"/>
        </w:rPr>
        <w:t xml:space="preserve">education </w:t>
      </w:r>
      <w:r w:rsidR="0078354B" w:rsidRPr="0078354B">
        <w:rPr>
          <w:rFonts w:ascii="Times New Roman" w:hAnsi="Times New Roman" w:cs="Times New Roman"/>
          <w:sz w:val="24"/>
          <w:szCs w:val="24"/>
        </w:rPr>
        <w:t>systems</w:t>
      </w:r>
      <w:r w:rsidR="0078354B">
        <w:rPr>
          <w:rFonts w:ascii="Times New Roman" w:hAnsi="Times New Roman" w:cs="Times New Roman"/>
          <w:sz w:val="24"/>
          <w:szCs w:val="24"/>
        </w:rPr>
        <w:t xml:space="preserve"> of economies. APEC regional accreditation will provide</w:t>
      </w:r>
      <w:r w:rsidR="0078354B" w:rsidRPr="0078354B">
        <w:rPr>
          <w:rFonts w:ascii="Times New Roman" w:hAnsi="Times New Roman" w:cs="Times New Roman"/>
          <w:sz w:val="24"/>
          <w:szCs w:val="24"/>
        </w:rPr>
        <w:t xml:space="preserve"> knowledge about the quality of each other’</w:t>
      </w:r>
      <w:r w:rsidR="0078354B">
        <w:rPr>
          <w:rFonts w:ascii="Times New Roman" w:hAnsi="Times New Roman" w:cs="Times New Roman"/>
          <w:sz w:val="24"/>
          <w:szCs w:val="24"/>
        </w:rPr>
        <w:t xml:space="preserve">s system to allow greater student mobility. </w:t>
      </w:r>
      <w:r w:rsidR="00AD1C52">
        <w:rPr>
          <w:rFonts w:ascii="Times New Roman" w:hAnsi="Times New Roman" w:cs="Times New Roman"/>
          <w:sz w:val="24"/>
          <w:szCs w:val="24"/>
        </w:rPr>
        <w:t>This c</w:t>
      </w:r>
      <w:r w:rsidR="00AD1C52" w:rsidRPr="007F2866">
        <w:rPr>
          <w:rFonts w:ascii="Times New Roman" w:hAnsi="Times New Roman" w:cs="Times New Roman"/>
          <w:sz w:val="24"/>
          <w:szCs w:val="24"/>
        </w:rPr>
        <w:t>loser cooperation on accreditation and quality assurance among APEC economies will</w:t>
      </w:r>
      <w:r w:rsidR="00AD1C52">
        <w:rPr>
          <w:rFonts w:ascii="Times New Roman" w:hAnsi="Times New Roman" w:cs="Times New Roman"/>
          <w:sz w:val="24"/>
          <w:szCs w:val="24"/>
        </w:rPr>
        <w:t xml:space="preserve"> definitely</w:t>
      </w:r>
      <w:r w:rsidR="00AD1C52" w:rsidRPr="007F2866">
        <w:rPr>
          <w:rFonts w:ascii="Times New Roman" w:hAnsi="Times New Roman" w:cs="Times New Roman"/>
          <w:sz w:val="24"/>
          <w:szCs w:val="24"/>
        </w:rPr>
        <w:t xml:space="preserve"> enhance cross-</w:t>
      </w:r>
      <w:r w:rsidR="00AD1C52">
        <w:rPr>
          <w:rFonts w:ascii="Times New Roman" w:hAnsi="Times New Roman" w:cs="Times New Roman"/>
          <w:sz w:val="24"/>
          <w:szCs w:val="24"/>
        </w:rPr>
        <w:t>border student</w:t>
      </w:r>
      <w:r w:rsidR="00AD1C52" w:rsidRPr="007F2866">
        <w:rPr>
          <w:rFonts w:ascii="Times New Roman" w:hAnsi="Times New Roman" w:cs="Times New Roman"/>
          <w:sz w:val="24"/>
          <w:szCs w:val="24"/>
        </w:rPr>
        <w:t xml:space="preserve"> mobility</w:t>
      </w:r>
    </w:p>
    <w:p w:rsidR="009F72C5" w:rsidRPr="00565279" w:rsidRDefault="0078354B" w:rsidP="00565279">
      <w:pPr>
        <w:spacing w:before="100" w:beforeAutospacing="1" w:after="100" w:afterAutospacing="1"/>
        <w:jc w:val="both"/>
        <w:rPr>
          <w:rFonts w:ascii="Times New Roman" w:eastAsia="Times New Roman" w:hAnsi="Times New Roman" w:cs="Times New Roman"/>
          <w:sz w:val="24"/>
          <w:szCs w:val="24"/>
        </w:rPr>
      </w:pPr>
      <w:r w:rsidRPr="0078354B">
        <w:rPr>
          <w:rFonts w:ascii="Times New Roman" w:hAnsi="Times New Roman" w:cs="Times New Roman"/>
          <w:sz w:val="24"/>
          <w:szCs w:val="24"/>
        </w:rPr>
        <w:t xml:space="preserve">Collaborative research and publication signify one key aspect of cross-border education cooperation and facilitation of exchange in education services within APEC, as mentioned specifically in the 2012 APEC Leaders' Declaration.  </w:t>
      </w:r>
      <w:r>
        <w:rPr>
          <w:rFonts w:ascii="Times New Roman" w:hAnsi="Times New Roman" w:cs="Times New Roman"/>
          <w:sz w:val="24"/>
          <w:szCs w:val="24"/>
        </w:rPr>
        <w:t>The effort will nurture the development of</w:t>
      </w:r>
      <w:r w:rsidRPr="0078354B">
        <w:rPr>
          <w:rFonts w:ascii="Times New Roman" w:hAnsi="Times New Roman" w:cs="Times New Roman"/>
          <w:sz w:val="24"/>
          <w:szCs w:val="24"/>
        </w:rPr>
        <w:t xml:space="preserve"> regional innovation</w:t>
      </w:r>
      <w:r>
        <w:rPr>
          <w:rFonts w:ascii="Times New Roman" w:hAnsi="Times New Roman" w:cs="Times New Roman"/>
          <w:sz w:val="24"/>
          <w:szCs w:val="24"/>
        </w:rPr>
        <w:t xml:space="preserve"> which will be available for wider good of </w:t>
      </w:r>
      <w:r w:rsidR="007126EF">
        <w:rPr>
          <w:rFonts w:ascii="Times New Roman" w:hAnsi="Times New Roman" w:cs="Times New Roman"/>
          <w:sz w:val="24"/>
          <w:szCs w:val="24"/>
        </w:rPr>
        <w:t>APEC community. As higher education</w:t>
      </w:r>
      <w:r w:rsidR="007126EF" w:rsidRPr="007126EF">
        <w:rPr>
          <w:rFonts w:ascii="Times New Roman" w:hAnsi="Times New Roman" w:cs="Times New Roman"/>
          <w:sz w:val="24"/>
          <w:szCs w:val="24"/>
        </w:rPr>
        <w:t xml:space="preserve"> is contributing to the production and dissemination universal knowledge</w:t>
      </w:r>
      <w:r w:rsidR="007126EF">
        <w:rPr>
          <w:rFonts w:ascii="Times New Roman" w:hAnsi="Times New Roman" w:cs="Times New Roman"/>
          <w:sz w:val="24"/>
          <w:szCs w:val="24"/>
        </w:rPr>
        <w:t xml:space="preserve">, collaborative research for regional innovation can be marked with universal and cross-border </w:t>
      </w:r>
      <w:r w:rsidR="00565279">
        <w:rPr>
          <w:rFonts w:ascii="Times New Roman" w:hAnsi="Times New Roman" w:cs="Times New Roman"/>
          <w:sz w:val="24"/>
          <w:szCs w:val="24"/>
        </w:rPr>
        <w:t>imparted content</w:t>
      </w:r>
      <w:r w:rsidR="007126EF">
        <w:rPr>
          <w:rFonts w:ascii="Times New Roman" w:hAnsi="Times New Roman" w:cs="Times New Roman"/>
          <w:sz w:val="24"/>
          <w:szCs w:val="24"/>
        </w:rPr>
        <w:t xml:space="preserve"> and knowledge for regional development.  </w:t>
      </w:r>
      <w:r w:rsidR="00565279">
        <w:rPr>
          <w:rFonts w:ascii="Times New Roman" w:hAnsi="Times New Roman" w:cs="Times New Roman"/>
          <w:sz w:val="24"/>
          <w:szCs w:val="24"/>
        </w:rPr>
        <w:t>This collaborative research for innovation paves</w:t>
      </w:r>
      <w:r w:rsidR="007126EF">
        <w:rPr>
          <w:rFonts w:ascii="Times New Roman" w:hAnsi="Times New Roman" w:cs="Times New Roman"/>
          <w:sz w:val="24"/>
          <w:szCs w:val="24"/>
        </w:rPr>
        <w:t xml:space="preserve"> the way for </w:t>
      </w:r>
      <w:r w:rsidR="00565279">
        <w:rPr>
          <w:rFonts w:ascii="Times New Roman" w:hAnsi="Times New Roman" w:cs="Times New Roman"/>
          <w:sz w:val="24"/>
          <w:szCs w:val="24"/>
        </w:rPr>
        <w:t xml:space="preserve">regional skills competition, such as </w:t>
      </w:r>
      <w:r w:rsidRPr="0067029F">
        <w:rPr>
          <w:rFonts w:ascii="Times New Roman" w:eastAsia="Times New Roman" w:hAnsi="Times New Roman" w:cs="Times New Roman"/>
          <w:sz w:val="24"/>
          <w:szCs w:val="24"/>
        </w:rPr>
        <w:t>the ASEAN Skills Competition</w:t>
      </w:r>
      <w:r w:rsidR="00565279">
        <w:rPr>
          <w:rFonts w:ascii="Times New Roman" w:eastAsia="Times New Roman" w:hAnsi="Times New Roman" w:cs="Times New Roman"/>
          <w:sz w:val="24"/>
          <w:szCs w:val="24"/>
        </w:rPr>
        <w:t>,</w:t>
      </w:r>
      <w:r w:rsidRPr="0067029F">
        <w:rPr>
          <w:rFonts w:ascii="Times New Roman" w:eastAsia="Times New Roman" w:hAnsi="Times New Roman" w:cs="Times New Roman"/>
          <w:sz w:val="24"/>
          <w:szCs w:val="24"/>
        </w:rPr>
        <w:t xml:space="preserve"> to support workforce development and to achieve regional standards competency. </w:t>
      </w:r>
      <w:r w:rsidR="00565279">
        <w:rPr>
          <w:rFonts w:ascii="Times New Roman" w:eastAsia="Times New Roman" w:hAnsi="Times New Roman" w:cs="Times New Roman"/>
          <w:sz w:val="24"/>
          <w:szCs w:val="24"/>
        </w:rPr>
        <w:t>Such regional skills competition</w:t>
      </w:r>
      <w:r w:rsidRPr="0067029F">
        <w:rPr>
          <w:rFonts w:ascii="Times New Roman" w:eastAsia="Times New Roman" w:hAnsi="Times New Roman" w:cs="Times New Roman"/>
          <w:sz w:val="24"/>
          <w:szCs w:val="24"/>
        </w:rPr>
        <w:t xml:space="preserve"> will contribute towards the advancement of quality and skills of workers in </w:t>
      </w:r>
      <w:r w:rsidR="00565279">
        <w:rPr>
          <w:rFonts w:ascii="Times New Roman" w:eastAsia="Times New Roman" w:hAnsi="Times New Roman" w:cs="Times New Roman"/>
          <w:sz w:val="24"/>
          <w:szCs w:val="24"/>
        </w:rPr>
        <w:t xml:space="preserve">APEC community, especially with increased focus on </w:t>
      </w:r>
      <w:r w:rsidR="009F72C5" w:rsidRPr="0067029F">
        <w:rPr>
          <w:rFonts w:ascii="Times New Roman" w:eastAsia="Times New Roman" w:hAnsi="Times New Roman" w:cs="Times New Roman"/>
          <w:sz w:val="24"/>
          <w:szCs w:val="24"/>
        </w:rPr>
        <w:t>technical and vo</w:t>
      </w:r>
      <w:r w:rsidR="00565279">
        <w:rPr>
          <w:rFonts w:ascii="Times New Roman" w:eastAsia="Times New Roman" w:hAnsi="Times New Roman" w:cs="Times New Roman"/>
          <w:sz w:val="24"/>
          <w:szCs w:val="24"/>
        </w:rPr>
        <w:t xml:space="preserve">cational education and training.  This research collaboration and regional skills competition will further open up possibilities for greater student mobility, especially in the area of STEM (science, technology, engineering, and </w:t>
      </w:r>
      <w:r w:rsidR="00565279">
        <w:rPr>
          <w:rFonts w:ascii="Times New Roman" w:eastAsia="Times New Roman" w:hAnsi="Times New Roman" w:cs="Times New Roman"/>
          <w:sz w:val="24"/>
          <w:szCs w:val="24"/>
        </w:rPr>
        <w:lastRenderedPageBreak/>
        <w:t>mathematics) (</w:t>
      </w:r>
      <w:hyperlink r:id="rId15" w:history="1">
        <w:r w:rsidR="00565279" w:rsidRPr="00356303">
          <w:rPr>
            <w:rStyle w:val="Hyperlink"/>
            <w:rFonts w:ascii="Times New Roman" w:eastAsia="Times New Roman" w:hAnsi="Times New Roman" w:cs="Times New Roman"/>
            <w:sz w:val="24"/>
            <w:szCs w:val="24"/>
          </w:rPr>
          <w:t>http://wenr.wes.org/2014/03/ international-student-mobility-trends-2014-the-upward-momentum-of-stem-fields/</w:t>
        </w:r>
      </w:hyperlink>
      <w:r w:rsidR="00565279">
        <w:rPr>
          <w:rStyle w:val="Hyperlink"/>
          <w:rFonts w:ascii="Times New Roman" w:eastAsia="Times New Roman" w:hAnsi="Times New Roman" w:cs="Times New Roman"/>
          <w:sz w:val="24"/>
          <w:szCs w:val="24"/>
        </w:rPr>
        <w:t>)</w:t>
      </w:r>
    </w:p>
    <w:p w:rsidR="009F72C5" w:rsidRDefault="00565279" w:rsidP="0056527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mobility is also influenced by the a</w:t>
      </w:r>
      <w:r w:rsidRPr="00565279">
        <w:rPr>
          <w:rFonts w:ascii="Times New Roman" w:eastAsia="Times New Roman" w:hAnsi="Times New Roman" w:cs="Times New Roman"/>
          <w:sz w:val="24"/>
          <w:szCs w:val="24"/>
        </w:rPr>
        <w:t>vailability of scholarships/financial aid</w:t>
      </w:r>
      <w:r>
        <w:rPr>
          <w:rFonts w:ascii="Times New Roman" w:eastAsia="Times New Roman" w:hAnsi="Times New Roman" w:cs="Times New Roman"/>
          <w:sz w:val="24"/>
          <w:szCs w:val="24"/>
        </w:rPr>
        <w:t>.</w:t>
      </w:r>
      <w:r w:rsidRPr="00565279">
        <w:rPr>
          <w:rFonts w:ascii="Times New Roman" w:eastAsia="Times New Roman" w:hAnsi="Times New Roman" w:cs="Times New Roman"/>
          <w:sz w:val="24"/>
          <w:szCs w:val="24"/>
        </w:rPr>
        <w:t xml:space="preserve"> </w:t>
      </w:r>
      <w:r w:rsidR="009F72C5" w:rsidRPr="0067029F">
        <w:rPr>
          <w:rFonts w:ascii="Times New Roman" w:eastAsia="Times New Roman" w:hAnsi="Times New Roman" w:cs="Times New Roman"/>
          <w:sz w:val="24"/>
          <w:szCs w:val="24"/>
        </w:rPr>
        <w:t xml:space="preserve">More programs on scholarships grant on students from all the regions are now being practiced in most </w:t>
      </w:r>
      <w:r>
        <w:rPr>
          <w:rFonts w:ascii="Times New Roman" w:eastAsia="Times New Roman" w:hAnsi="Times New Roman" w:cs="Times New Roman"/>
          <w:sz w:val="24"/>
          <w:szCs w:val="24"/>
        </w:rPr>
        <w:t>APEC</w:t>
      </w:r>
      <w:r w:rsidR="009F72C5" w:rsidRPr="00670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economies</w:t>
      </w:r>
      <w:r w:rsidR="009F72C5" w:rsidRPr="0067029F">
        <w:rPr>
          <w:rFonts w:ascii="Times New Roman" w:eastAsia="Times New Roman" w:hAnsi="Times New Roman" w:cs="Times New Roman"/>
          <w:sz w:val="24"/>
          <w:szCs w:val="24"/>
        </w:rPr>
        <w:t xml:space="preserve">. </w:t>
      </w:r>
      <w:r w:rsidR="000B265C">
        <w:rPr>
          <w:rFonts w:ascii="Times New Roman" w:eastAsia="Times New Roman" w:hAnsi="Times New Roman" w:cs="Times New Roman"/>
          <w:sz w:val="24"/>
          <w:szCs w:val="24"/>
        </w:rPr>
        <w:t xml:space="preserve">This provision will open </w:t>
      </w:r>
      <w:r w:rsidR="009F72C5" w:rsidRPr="0067029F">
        <w:rPr>
          <w:rFonts w:ascii="Times New Roman" w:eastAsia="Times New Roman" w:hAnsi="Times New Roman" w:cs="Times New Roman"/>
          <w:sz w:val="24"/>
          <w:szCs w:val="24"/>
        </w:rPr>
        <w:t xml:space="preserve">to the young people of to develop their potential and equip them with skills that will enable them to confidently step into the enlarged community. </w:t>
      </w:r>
      <w:r w:rsidR="000B265C">
        <w:rPr>
          <w:rFonts w:ascii="Times New Roman" w:eastAsia="Times New Roman" w:hAnsi="Times New Roman" w:cs="Times New Roman"/>
          <w:sz w:val="24"/>
          <w:szCs w:val="24"/>
        </w:rPr>
        <w:t xml:space="preserve">Support for education of </w:t>
      </w:r>
      <w:r w:rsidR="009F72C5" w:rsidRPr="0067029F">
        <w:rPr>
          <w:rFonts w:ascii="Times New Roman" w:eastAsia="Times New Roman" w:hAnsi="Times New Roman" w:cs="Times New Roman"/>
          <w:sz w:val="24"/>
          <w:szCs w:val="24"/>
        </w:rPr>
        <w:t xml:space="preserve">teachers, academics and other educational personnel </w:t>
      </w:r>
      <w:r w:rsidR="000B265C">
        <w:rPr>
          <w:rFonts w:ascii="Times New Roman" w:eastAsia="Times New Roman" w:hAnsi="Times New Roman" w:cs="Times New Roman"/>
          <w:sz w:val="24"/>
          <w:szCs w:val="24"/>
        </w:rPr>
        <w:t>to</w:t>
      </w:r>
      <w:r w:rsidR="009F72C5" w:rsidRPr="0067029F">
        <w:rPr>
          <w:rFonts w:ascii="Times New Roman" w:eastAsia="Times New Roman" w:hAnsi="Times New Roman" w:cs="Times New Roman"/>
          <w:sz w:val="24"/>
          <w:szCs w:val="24"/>
        </w:rPr>
        <w:t xml:space="preserve"> upgrade their professional competency</w:t>
      </w:r>
      <w:r w:rsidR="000B265C">
        <w:rPr>
          <w:rFonts w:ascii="Times New Roman" w:eastAsia="Times New Roman" w:hAnsi="Times New Roman" w:cs="Times New Roman"/>
          <w:sz w:val="24"/>
          <w:szCs w:val="24"/>
        </w:rPr>
        <w:t xml:space="preserve"> is also important for increasing quality of education in any APEC economies which at the end allow greater student mobility</w:t>
      </w:r>
      <w:r w:rsidR="009F72C5" w:rsidRPr="0067029F">
        <w:rPr>
          <w:rFonts w:ascii="Times New Roman" w:eastAsia="Times New Roman" w:hAnsi="Times New Roman" w:cs="Times New Roman"/>
          <w:sz w:val="24"/>
          <w:szCs w:val="24"/>
        </w:rPr>
        <w:t xml:space="preserve">. </w:t>
      </w:r>
    </w:p>
    <w:p w:rsidR="00565279" w:rsidRDefault="00AD1C52" w:rsidP="000B265C">
      <w:pPr>
        <w:spacing w:before="100" w:beforeAutospacing="1" w:after="100" w:afterAutospacing="1"/>
        <w:jc w:val="both"/>
        <w:rPr>
          <w:rFonts w:ascii="Times New Roman" w:eastAsia="Times New Roman" w:hAnsi="Times New Roman" w:cs="Times New Roman"/>
          <w:sz w:val="24"/>
          <w:szCs w:val="24"/>
        </w:rPr>
      </w:pPr>
      <w:r w:rsidRPr="00AD1C52">
        <w:rPr>
          <w:rFonts w:ascii="Times New Roman" w:eastAsia="Times New Roman" w:hAnsi="Times New Roman" w:cs="Times New Roman"/>
          <w:sz w:val="24"/>
          <w:szCs w:val="24"/>
        </w:rPr>
        <w:t xml:space="preserve">Students involved in mobility program may be faced with adjustment problems particularly with respect to instructional practices, curriculum incomparability, and cultural diversity. Then there is the language problem: differences in languages post a great barrier for inward and outward mobility of students at the macro level.  </w:t>
      </w:r>
      <w:r w:rsidRPr="000B265C">
        <w:rPr>
          <w:rFonts w:ascii="Times New Roman" w:eastAsia="Times New Roman" w:hAnsi="Times New Roman" w:cs="Times New Roman"/>
          <w:sz w:val="24"/>
          <w:szCs w:val="24"/>
        </w:rPr>
        <w:t xml:space="preserve">Mostly, the language barrier has always been a problem among the people of the member </w:t>
      </w:r>
      <w:r>
        <w:rPr>
          <w:rFonts w:ascii="Times New Roman" w:eastAsia="Times New Roman" w:hAnsi="Times New Roman" w:cs="Times New Roman"/>
          <w:sz w:val="24"/>
          <w:szCs w:val="24"/>
        </w:rPr>
        <w:t xml:space="preserve">economies. </w:t>
      </w:r>
      <w:r w:rsidR="009F72C5" w:rsidRPr="00AD1C52">
        <w:rPr>
          <w:rFonts w:ascii="Times New Roman" w:eastAsia="Times New Roman" w:hAnsi="Times New Roman" w:cs="Times New Roman"/>
          <w:sz w:val="24"/>
          <w:szCs w:val="24"/>
        </w:rPr>
        <w:t>Language</w:t>
      </w:r>
      <w:r w:rsidR="009F72C5" w:rsidRPr="0067029F">
        <w:rPr>
          <w:rFonts w:ascii="Times New Roman" w:eastAsia="Times New Roman" w:hAnsi="Times New Roman" w:cs="Times New Roman"/>
          <w:sz w:val="24"/>
          <w:szCs w:val="24"/>
        </w:rPr>
        <w:t xml:space="preserve"> is a key towards </w:t>
      </w:r>
      <w:r w:rsidR="000B265C">
        <w:rPr>
          <w:rFonts w:ascii="Times New Roman" w:eastAsia="Times New Roman" w:hAnsi="Times New Roman" w:cs="Times New Roman"/>
          <w:sz w:val="24"/>
          <w:szCs w:val="24"/>
        </w:rPr>
        <w:t xml:space="preserve">student mobility, as a means of communication that will allow students to physically or virtually mobile in their pursuance of education.  </w:t>
      </w:r>
      <w:r w:rsidR="000B265C" w:rsidRPr="000B265C">
        <w:rPr>
          <w:rFonts w:ascii="Times New Roman" w:eastAsia="Times New Roman" w:hAnsi="Times New Roman" w:cs="Times New Roman"/>
          <w:sz w:val="24"/>
          <w:szCs w:val="24"/>
        </w:rPr>
        <w:t>The increase of usage of English language is one of the focal areas to be considered.</w:t>
      </w:r>
      <w:r w:rsidR="000B265C">
        <w:rPr>
          <w:rFonts w:ascii="Times New Roman" w:eastAsia="Times New Roman" w:hAnsi="Times New Roman" w:cs="Times New Roman"/>
          <w:sz w:val="24"/>
          <w:szCs w:val="24"/>
        </w:rPr>
        <w:t xml:space="preserve"> B</w:t>
      </w:r>
      <w:r w:rsidR="009F72C5" w:rsidRPr="0067029F">
        <w:rPr>
          <w:rFonts w:ascii="Times New Roman" w:eastAsia="Times New Roman" w:hAnsi="Times New Roman" w:cs="Times New Roman"/>
          <w:sz w:val="24"/>
          <w:szCs w:val="24"/>
        </w:rPr>
        <w:t xml:space="preserve">eing able to communicate in English </w:t>
      </w:r>
      <w:r w:rsidR="000B265C">
        <w:rPr>
          <w:rFonts w:ascii="Times New Roman" w:eastAsia="Times New Roman" w:hAnsi="Times New Roman" w:cs="Times New Roman"/>
          <w:sz w:val="24"/>
          <w:szCs w:val="24"/>
        </w:rPr>
        <w:t xml:space="preserve">is required so that students </w:t>
      </w:r>
      <w:r w:rsidR="009F72C5" w:rsidRPr="0067029F">
        <w:rPr>
          <w:rFonts w:ascii="Times New Roman" w:eastAsia="Times New Roman" w:hAnsi="Times New Roman" w:cs="Times New Roman"/>
          <w:sz w:val="24"/>
          <w:szCs w:val="24"/>
        </w:rPr>
        <w:t>will not face</w:t>
      </w:r>
      <w:r w:rsidR="000B265C">
        <w:rPr>
          <w:rFonts w:ascii="Times New Roman" w:eastAsia="Times New Roman" w:hAnsi="Times New Roman" w:cs="Times New Roman"/>
          <w:sz w:val="24"/>
          <w:szCs w:val="24"/>
        </w:rPr>
        <w:t xml:space="preserve"> a handicap to benefit from </w:t>
      </w:r>
      <w:r w:rsidR="009F72C5" w:rsidRPr="0067029F">
        <w:rPr>
          <w:rFonts w:ascii="Times New Roman" w:eastAsia="Times New Roman" w:hAnsi="Times New Roman" w:cs="Times New Roman"/>
          <w:sz w:val="24"/>
          <w:szCs w:val="24"/>
        </w:rPr>
        <w:t xml:space="preserve">the </w:t>
      </w:r>
      <w:r w:rsidR="000B265C">
        <w:rPr>
          <w:rFonts w:ascii="Times New Roman" w:eastAsia="Times New Roman" w:hAnsi="Times New Roman" w:cs="Times New Roman"/>
          <w:sz w:val="24"/>
          <w:szCs w:val="24"/>
        </w:rPr>
        <w:t>APEC</w:t>
      </w:r>
      <w:r w:rsidR="009F72C5" w:rsidRPr="0067029F">
        <w:rPr>
          <w:rFonts w:ascii="Times New Roman" w:eastAsia="Times New Roman" w:hAnsi="Times New Roman" w:cs="Times New Roman"/>
          <w:sz w:val="24"/>
          <w:szCs w:val="24"/>
        </w:rPr>
        <w:t xml:space="preserve"> </w:t>
      </w:r>
      <w:r w:rsidR="000B265C">
        <w:rPr>
          <w:rFonts w:ascii="Times New Roman" w:eastAsia="Times New Roman" w:hAnsi="Times New Roman" w:cs="Times New Roman"/>
          <w:sz w:val="24"/>
          <w:szCs w:val="24"/>
        </w:rPr>
        <w:t xml:space="preserve">education space as their education travel space. </w:t>
      </w:r>
    </w:p>
    <w:p w:rsidR="007E76DA" w:rsidRPr="000B265C" w:rsidRDefault="00421FC9" w:rsidP="00AD1C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increasing number of student mobility among APEC economies places higher education in APEC region a pivotal role in developing human resources capable of creating and sustaining globalized </w:t>
      </w:r>
      <w:r w:rsidRPr="007F2866">
        <w:rPr>
          <w:rFonts w:ascii="Times New Roman" w:eastAsia="Times New Roman" w:hAnsi="Times New Roman" w:cs="Times New Roman"/>
          <w:sz w:val="24"/>
          <w:szCs w:val="24"/>
        </w:rPr>
        <w:t>knowledge-based societies</w:t>
      </w:r>
      <w:r>
        <w:rPr>
          <w:rFonts w:ascii="Times New Roman" w:eastAsia="Times New Roman" w:hAnsi="Times New Roman" w:cs="Times New Roman"/>
          <w:sz w:val="24"/>
          <w:szCs w:val="24"/>
        </w:rPr>
        <w:t xml:space="preserve">.  </w:t>
      </w:r>
      <w:r w:rsidR="007E76DA">
        <w:rPr>
          <w:rFonts w:ascii="Times New Roman" w:eastAsia="Times New Roman" w:hAnsi="Times New Roman" w:cs="Times New Roman"/>
          <w:sz w:val="24"/>
          <w:szCs w:val="24"/>
        </w:rPr>
        <w:t>For all of these to take place, a clear guideline for student</w:t>
      </w:r>
      <w:r>
        <w:rPr>
          <w:rFonts w:ascii="Times New Roman" w:eastAsia="Times New Roman" w:hAnsi="Times New Roman" w:cs="Times New Roman"/>
          <w:sz w:val="24"/>
          <w:szCs w:val="24"/>
        </w:rPr>
        <w:t xml:space="preserve"> mobility is indeed important. </w:t>
      </w:r>
      <w:r w:rsidRPr="00444C2B">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present </w:t>
      </w:r>
      <w:r w:rsidRPr="00444C2B">
        <w:rPr>
          <w:rFonts w:ascii="Times New Roman" w:eastAsia="Times New Roman" w:hAnsi="Times New Roman" w:cs="Times New Roman"/>
          <w:sz w:val="24"/>
          <w:szCs w:val="24"/>
        </w:rPr>
        <w:t>challenges are dispersed information for different procedures in various offices (no one-stop concept), alignment of qualification framework on each economies, regulation on students visa and study abroad procedures, mutual recognition for credit transfer and credit earning, legal aspect of the joint program.</w:t>
      </w:r>
      <w:r w:rsidR="00AD1C52">
        <w:rPr>
          <w:rFonts w:ascii="Times New Roman" w:eastAsia="Times New Roman" w:hAnsi="Times New Roman" w:cs="Times New Roman"/>
          <w:sz w:val="24"/>
          <w:szCs w:val="24"/>
        </w:rPr>
        <w:t xml:space="preserve"> </w:t>
      </w:r>
      <w:r w:rsidR="007E76DA">
        <w:rPr>
          <w:rFonts w:ascii="Times New Roman" w:eastAsia="Times New Roman" w:hAnsi="Times New Roman" w:cs="Times New Roman"/>
          <w:sz w:val="24"/>
          <w:szCs w:val="24"/>
        </w:rPr>
        <w:t xml:space="preserve">There </w:t>
      </w:r>
      <w:r w:rsidR="00AD1C52">
        <w:rPr>
          <w:rFonts w:ascii="Times New Roman" w:eastAsia="Times New Roman" w:hAnsi="Times New Roman" w:cs="Times New Roman"/>
          <w:sz w:val="24"/>
          <w:szCs w:val="24"/>
        </w:rPr>
        <w:t xml:space="preserve">have been </w:t>
      </w:r>
      <w:r w:rsidR="007E76DA">
        <w:rPr>
          <w:rFonts w:ascii="Times New Roman" w:eastAsia="Times New Roman" w:hAnsi="Times New Roman" w:cs="Times New Roman"/>
          <w:sz w:val="24"/>
          <w:szCs w:val="24"/>
        </w:rPr>
        <w:t xml:space="preserve">several guidelines available under various regional collaboration, such as the AIMS Guideline for ASEAN countries, OECD Guideline for student mobility among OECD countries; or under individual countries regulation such as the UK guideline for student mobility, USA guideline for student mobility, etc.  </w:t>
      </w:r>
      <w:r w:rsidR="00AD1C52" w:rsidRPr="007F2866">
        <w:rPr>
          <w:rFonts w:ascii="Times New Roman" w:hAnsi="Times New Roman" w:cs="Times New Roman"/>
          <w:sz w:val="24"/>
          <w:szCs w:val="24"/>
        </w:rPr>
        <w:t xml:space="preserve">Acknowledging APEC’s leading role in developing cross-border student mobility in the Asia Pacific, it is important for APEC to provide a clear guideline on this students mobility, to guide reform and transparency, and drawing on case studies of domestic education providers. </w:t>
      </w:r>
      <w:r w:rsidR="007E76DA">
        <w:rPr>
          <w:rFonts w:ascii="Times New Roman" w:eastAsia="Times New Roman" w:hAnsi="Times New Roman" w:cs="Times New Roman"/>
          <w:sz w:val="24"/>
          <w:szCs w:val="24"/>
        </w:rPr>
        <w:t xml:space="preserve">A concerted effort to develop APEC Guideline for Student Mobility – as proposed by Indonesia – will be of high importance.  The guideline, in general, </w:t>
      </w:r>
      <w:r>
        <w:rPr>
          <w:rFonts w:ascii="Times New Roman" w:eastAsia="Times New Roman" w:hAnsi="Times New Roman" w:cs="Times New Roman"/>
          <w:sz w:val="24"/>
          <w:szCs w:val="24"/>
        </w:rPr>
        <w:t>is not imposing uniformity, but providing</w:t>
      </w:r>
      <w:r w:rsidR="007E76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transparent information </w:t>
      </w:r>
      <w:r w:rsidR="007E76D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stakeholders, especially potential students from APEC communities, to get engaged in cross border education in the APEC region.  Reciprocal activities can flourish among APEC economies based on the clear and transparent information provided in the guideline.  Thus, the map of higher education supply and demand or host and home will be more balanced. </w:t>
      </w:r>
    </w:p>
    <w:p w:rsidR="00AD1C52" w:rsidRPr="005C31AB" w:rsidRDefault="00021409" w:rsidP="005C31A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present, we are anticipating the</w:t>
      </w:r>
      <w:r w:rsidR="00AD1C52">
        <w:rPr>
          <w:rFonts w:ascii="Times New Roman" w:eastAsia="Times New Roman" w:hAnsi="Times New Roman" w:cs="Times New Roman"/>
          <w:sz w:val="24"/>
          <w:szCs w:val="24"/>
        </w:rPr>
        <w:t xml:space="preserve"> </w:t>
      </w:r>
      <w:r w:rsidR="00AD1C52" w:rsidRPr="00444C2B">
        <w:rPr>
          <w:rFonts w:ascii="Times New Roman" w:eastAsia="Times New Roman" w:hAnsi="Times New Roman" w:cs="Times New Roman"/>
          <w:sz w:val="24"/>
          <w:szCs w:val="24"/>
        </w:rPr>
        <w:t xml:space="preserve">increasing demand of higher education, increasing recruitment of international students, and increasing out/inflow of cross borders students </w:t>
      </w:r>
      <w:r>
        <w:rPr>
          <w:rFonts w:ascii="Times New Roman" w:eastAsia="Times New Roman" w:hAnsi="Times New Roman" w:cs="Times New Roman"/>
          <w:sz w:val="24"/>
          <w:szCs w:val="24"/>
        </w:rPr>
        <w:t xml:space="preserve">that </w:t>
      </w:r>
      <w:r w:rsidR="00AD1C52" w:rsidRPr="00444C2B">
        <w:rPr>
          <w:rFonts w:ascii="Times New Roman" w:eastAsia="Times New Roman" w:hAnsi="Times New Roman" w:cs="Times New Roman"/>
          <w:sz w:val="24"/>
          <w:szCs w:val="24"/>
        </w:rPr>
        <w:t xml:space="preserve">will </w:t>
      </w:r>
      <w:r w:rsidR="00AD1C52">
        <w:rPr>
          <w:rFonts w:ascii="Times New Roman" w:eastAsia="Times New Roman" w:hAnsi="Times New Roman" w:cs="Times New Roman"/>
          <w:sz w:val="24"/>
          <w:szCs w:val="24"/>
        </w:rPr>
        <w:t xml:space="preserve">be </w:t>
      </w:r>
      <w:r w:rsidR="00AD1C52" w:rsidRPr="00444C2B">
        <w:rPr>
          <w:rFonts w:ascii="Times New Roman" w:eastAsia="Times New Roman" w:hAnsi="Times New Roman" w:cs="Times New Roman"/>
          <w:sz w:val="24"/>
          <w:szCs w:val="24"/>
        </w:rPr>
        <w:t>targeting</w:t>
      </w:r>
      <w:r w:rsidR="00AD1C52">
        <w:rPr>
          <w:rFonts w:ascii="Times New Roman" w:eastAsia="Times New Roman" w:hAnsi="Times New Roman" w:cs="Times New Roman"/>
          <w:sz w:val="24"/>
          <w:szCs w:val="24"/>
        </w:rPr>
        <w:t xml:space="preserve"> </w:t>
      </w:r>
      <w:r w:rsidR="00AD1C52" w:rsidRPr="00444C2B">
        <w:rPr>
          <w:rFonts w:ascii="Times New Roman" w:eastAsia="Times New Roman" w:hAnsi="Times New Roman" w:cs="Times New Roman"/>
          <w:sz w:val="24"/>
          <w:szCs w:val="24"/>
        </w:rPr>
        <w:t xml:space="preserve">top universities in APEC economies. </w:t>
      </w:r>
      <w:r>
        <w:rPr>
          <w:rFonts w:ascii="Times New Roman" w:eastAsia="Times New Roman" w:hAnsi="Times New Roman" w:cs="Times New Roman"/>
          <w:sz w:val="24"/>
          <w:szCs w:val="24"/>
        </w:rPr>
        <w:t xml:space="preserve">It is a momentum for APEC community. </w:t>
      </w:r>
      <w:r w:rsidR="000B265C">
        <w:rPr>
          <w:rFonts w:ascii="Times New Roman" w:eastAsia="Times New Roman" w:hAnsi="Times New Roman" w:cs="Times New Roman"/>
          <w:sz w:val="24"/>
          <w:szCs w:val="24"/>
        </w:rPr>
        <w:t>APEC economies</w:t>
      </w:r>
      <w:r w:rsidR="00A60E22" w:rsidRPr="000B265C">
        <w:rPr>
          <w:rFonts w:ascii="Times New Roman" w:eastAsia="Times New Roman" w:hAnsi="Times New Roman" w:cs="Times New Roman"/>
          <w:sz w:val="24"/>
          <w:szCs w:val="24"/>
        </w:rPr>
        <w:t xml:space="preserve"> are rich in culture, diverse in language and religion but have one common goal</w:t>
      </w:r>
      <w:r w:rsidR="000B265C">
        <w:rPr>
          <w:rFonts w:ascii="Times New Roman" w:eastAsia="Times New Roman" w:hAnsi="Times New Roman" w:cs="Times New Roman"/>
          <w:sz w:val="24"/>
          <w:szCs w:val="24"/>
        </w:rPr>
        <w:t xml:space="preserve"> united as APEC community </w:t>
      </w:r>
      <w:r w:rsidR="005C31AB">
        <w:rPr>
          <w:rFonts w:ascii="Times New Roman" w:eastAsia="Times New Roman" w:hAnsi="Times New Roman" w:cs="Times New Roman"/>
          <w:sz w:val="24"/>
          <w:szCs w:val="24"/>
        </w:rPr>
        <w:t xml:space="preserve">that will be benefitting from sending as well as receiving students in our </w:t>
      </w:r>
      <w:r w:rsidR="000B265C">
        <w:rPr>
          <w:rFonts w:ascii="Times New Roman" w:eastAsia="Times New Roman" w:hAnsi="Times New Roman" w:cs="Times New Roman"/>
          <w:sz w:val="24"/>
          <w:szCs w:val="24"/>
        </w:rPr>
        <w:t>APEC education space</w:t>
      </w:r>
      <w:r w:rsidR="005C31AB">
        <w:rPr>
          <w:rFonts w:ascii="Times New Roman" w:eastAsia="Times New Roman" w:hAnsi="Times New Roman" w:cs="Times New Roman"/>
          <w:sz w:val="24"/>
          <w:szCs w:val="24"/>
        </w:rPr>
        <w:t>,</w:t>
      </w:r>
      <w:r w:rsidR="000B265C">
        <w:rPr>
          <w:rFonts w:ascii="Times New Roman" w:eastAsia="Times New Roman" w:hAnsi="Times New Roman" w:cs="Times New Roman"/>
          <w:sz w:val="24"/>
          <w:szCs w:val="24"/>
        </w:rPr>
        <w:t xml:space="preserve">. </w:t>
      </w:r>
      <w:r w:rsidR="00A60E22" w:rsidRPr="000B265C">
        <w:rPr>
          <w:rFonts w:ascii="Times New Roman" w:eastAsia="Times New Roman" w:hAnsi="Times New Roman" w:cs="Times New Roman"/>
          <w:sz w:val="24"/>
          <w:szCs w:val="24"/>
        </w:rPr>
        <w:t xml:space="preserve">Regardless </w:t>
      </w:r>
      <w:r w:rsidR="000B265C">
        <w:rPr>
          <w:rFonts w:ascii="Times New Roman" w:eastAsia="Times New Roman" w:hAnsi="Times New Roman" w:cs="Times New Roman"/>
          <w:sz w:val="24"/>
          <w:szCs w:val="24"/>
        </w:rPr>
        <w:t>the</w:t>
      </w:r>
      <w:r w:rsidR="00A60E22" w:rsidRPr="000B265C">
        <w:rPr>
          <w:rFonts w:ascii="Times New Roman" w:eastAsia="Times New Roman" w:hAnsi="Times New Roman" w:cs="Times New Roman"/>
          <w:sz w:val="24"/>
          <w:szCs w:val="24"/>
        </w:rPr>
        <w:t xml:space="preserve"> differences, </w:t>
      </w:r>
      <w:r w:rsidR="000B265C">
        <w:rPr>
          <w:rFonts w:ascii="Times New Roman" w:eastAsia="Times New Roman" w:hAnsi="Times New Roman" w:cs="Times New Roman"/>
          <w:sz w:val="24"/>
          <w:szCs w:val="24"/>
        </w:rPr>
        <w:t>APEC community</w:t>
      </w:r>
      <w:r w:rsidR="00A60E22" w:rsidRPr="000B265C">
        <w:rPr>
          <w:rFonts w:ascii="Times New Roman" w:eastAsia="Times New Roman" w:hAnsi="Times New Roman" w:cs="Times New Roman"/>
          <w:sz w:val="24"/>
          <w:szCs w:val="24"/>
        </w:rPr>
        <w:t xml:space="preserve"> share a similar emphasis on human resource development as a key in developing the whole nation to enter the knowledge-based economy and global environment. </w:t>
      </w:r>
      <w:r w:rsidR="00CC4EA4">
        <w:rPr>
          <w:rFonts w:ascii="Times New Roman" w:hAnsi="Times New Roman" w:cs="Times New Roman"/>
          <w:sz w:val="24"/>
          <w:szCs w:val="24"/>
        </w:rPr>
        <w:t xml:space="preserve">While </w:t>
      </w:r>
      <w:r w:rsidR="007E76DA">
        <w:rPr>
          <w:rFonts w:ascii="Times New Roman" w:hAnsi="Times New Roman" w:cs="Times New Roman"/>
          <w:sz w:val="24"/>
          <w:szCs w:val="24"/>
        </w:rPr>
        <w:t>some</w:t>
      </w:r>
      <w:r w:rsidR="00CC4EA4">
        <w:rPr>
          <w:rFonts w:ascii="Times New Roman" w:hAnsi="Times New Roman" w:cs="Times New Roman"/>
          <w:sz w:val="24"/>
          <w:szCs w:val="24"/>
        </w:rPr>
        <w:t xml:space="preserve"> factors can be </w:t>
      </w:r>
      <w:r w:rsidR="007E76DA">
        <w:rPr>
          <w:rFonts w:ascii="Times New Roman" w:hAnsi="Times New Roman" w:cs="Times New Roman"/>
          <w:sz w:val="24"/>
          <w:szCs w:val="24"/>
        </w:rPr>
        <w:t xml:space="preserve">best </w:t>
      </w:r>
      <w:r w:rsidR="00CC4EA4">
        <w:rPr>
          <w:rFonts w:ascii="Times New Roman" w:hAnsi="Times New Roman" w:cs="Times New Roman"/>
          <w:sz w:val="24"/>
          <w:szCs w:val="24"/>
        </w:rPr>
        <w:t>managed by each individual economy</w:t>
      </w:r>
      <w:r w:rsidR="007E76DA">
        <w:rPr>
          <w:rFonts w:ascii="Times New Roman" w:hAnsi="Times New Roman" w:cs="Times New Roman"/>
          <w:sz w:val="24"/>
          <w:szCs w:val="24"/>
        </w:rPr>
        <w:t>, there are some factors which can be established as collective effort under the umbrella of APEC community</w:t>
      </w:r>
      <w:r w:rsidR="00421FC9">
        <w:rPr>
          <w:rFonts w:ascii="Times New Roman" w:hAnsi="Times New Roman" w:cs="Times New Roman"/>
          <w:sz w:val="24"/>
          <w:szCs w:val="24"/>
        </w:rPr>
        <w:t xml:space="preserve"> and contributing to the development of all economies under APEC community </w:t>
      </w:r>
      <w:r w:rsidR="00421FC9" w:rsidRPr="00421FC9">
        <w:rPr>
          <w:rFonts w:ascii="Times New Roman" w:hAnsi="Times New Roman" w:cs="Times New Roman"/>
          <w:sz w:val="24"/>
          <w:szCs w:val="24"/>
        </w:rPr>
        <w:t>within the fast changing global higher education landscape.</w:t>
      </w:r>
      <w:r w:rsidR="00AD1C52">
        <w:rPr>
          <w:rFonts w:ascii="Times New Roman" w:eastAsia="Times New Roman" w:hAnsi="Times New Roman" w:cs="Times New Roman"/>
          <w:sz w:val="24"/>
          <w:szCs w:val="24"/>
        </w:rPr>
        <w:t xml:space="preserve"> </w:t>
      </w:r>
      <w:r w:rsidR="00AD1C52" w:rsidRPr="00AD1C52">
        <w:rPr>
          <w:rFonts w:ascii="Times New Roman" w:eastAsia="Times New Roman" w:hAnsi="Times New Roman" w:cs="Times New Roman"/>
          <w:sz w:val="24"/>
          <w:szCs w:val="24"/>
        </w:rPr>
        <w:t>This requires strong and long-lasting commitment by all of us the APEC economies and entails strong collaborations within and across Ministries, and other stakeholders in the economies.</w:t>
      </w:r>
      <w:r>
        <w:rPr>
          <w:rFonts w:ascii="Times New Roman" w:eastAsia="Times New Roman" w:hAnsi="Times New Roman" w:cs="Times New Roman"/>
          <w:sz w:val="24"/>
          <w:szCs w:val="24"/>
        </w:rPr>
        <w:t xml:space="preserve"> This is the moment to ride the tide. </w:t>
      </w:r>
    </w:p>
    <w:p w:rsidR="00021409" w:rsidRDefault="00021409" w:rsidP="00972004">
      <w:pPr>
        <w:rPr>
          <w:rFonts w:ascii="Times New Roman" w:hAnsi="Times New Roman" w:cs="Times New Roman"/>
          <w:b/>
          <w:sz w:val="24"/>
          <w:szCs w:val="24"/>
        </w:rPr>
      </w:pPr>
    </w:p>
    <w:p w:rsidR="00972004" w:rsidRPr="002D7EC8" w:rsidRDefault="00972004" w:rsidP="00972004">
      <w:pPr>
        <w:rPr>
          <w:rFonts w:ascii="Times New Roman" w:hAnsi="Times New Roman" w:cs="Times New Roman"/>
          <w:b/>
          <w:sz w:val="24"/>
          <w:szCs w:val="24"/>
        </w:rPr>
      </w:pPr>
      <w:r w:rsidRPr="002D7EC8">
        <w:rPr>
          <w:rFonts w:ascii="Times New Roman" w:hAnsi="Times New Roman" w:cs="Times New Roman"/>
          <w:b/>
          <w:sz w:val="24"/>
          <w:szCs w:val="24"/>
        </w:rPr>
        <w:t>References</w:t>
      </w:r>
    </w:p>
    <w:p w:rsidR="004C1CFD" w:rsidRDefault="004C1CFD" w:rsidP="004C1CFD">
      <w:pPr>
        <w:spacing w:line="240" w:lineRule="auto"/>
        <w:ind w:left="720" w:hanging="720"/>
        <w:rPr>
          <w:rFonts w:ascii="Times New Roman" w:hAnsi="Times New Roman" w:cs="Times New Roman"/>
          <w:sz w:val="24"/>
          <w:szCs w:val="24"/>
        </w:rPr>
      </w:pPr>
      <w:r w:rsidRPr="004C1CFD">
        <w:rPr>
          <w:rFonts w:ascii="Times New Roman" w:hAnsi="Times New Roman" w:cs="Times New Roman"/>
          <w:sz w:val="24"/>
          <w:szCs w:val="24"/>
        </w:rPr>
        <w:t xml:space="preserve">(n.n.) (2006). International Student Mobility in the Commonwealth. Presented in The Sixteenth Conference Of Commonwealth Education Ministers Cape Town, South Africa 2006. </w:t>
      </w:r>
      <w:hyperlink r:id="rId16" w:history="1">
        <w:r w:rsidRPr="004C1CFD">
          <w:rPr>
            <w:rStyle w:val="Hyperlink"/>
            <w:rFonts w:ascii="Times New Roman" w:hAnsi="Times New Roman" w:cs="Times New Roman"/>
            <w:sz w:val="24"/>
            <w:szCs w:val="24"/>
          </w:rPr>
          <w:t>http://www.cecomm.org.uk/publications/104-international-student-mobility-in-the-commonwealth</w:t>
        </w:r>
      </w:hyperlink>
    </w:p>
    <w:p w:rsidR="004C1CFD" w:rsidRDefault="004C1CFD" w:rsidP="004C1CFD">
      <w:pPr>
        <w:spacing w:line="240" w:lineRule="auto"/>
        <w:ind w:left="720" w:hanging="720"/>
        <w:rPr>
          <w:rFonts w:ascii="Times New Roman" w:hAnsi="Times New Roman" w:cs="Times New Roman"/>
          <w:sz w:val="24"/>
          <w:szCs w:val="24"/>
        </w:rPr>
      </w:pPr>
      <w:r w:rsidRPr="00A65781">
        <w:rPr>
          <w:rFonts w:ascii="Times New Roman" w:hAnsi="Times New Roman" w:cs="Times New Roman"/>
          <w:sz w:val="24"/>
          <w:szCs w:val="24"/>
        </w:rPr>
        <w:t xml:space="preserve">Belyavina, </w:t>
      </w:r>
      <w:r>
        <w:rPr>
          <w:rFonts w:ascii="Times New Roman" w:hAnsi="Times New Roman" w:cs="Times New Roman"/>
          <w:sz w:val="24"/>
          <w:szCs w:val="24"/>
        </w:rPr>
        <w:t xml:space="preserve">R., </w:t>
      </w:r>
      <w:r w:rsidRPr="00A65781">
        <w:rPr>
          <w:rFonts w:ascii="Times New Roman" w:hAnsi="Times New Roman" w:cs="Times New Roman"/>
          <w:sz w:val="24"/>
          <w:szCs w:val="24"/>
        </w:rPr>
        <w:t>Li</w:t>
      </w:r>
      <w:r>
        <w:rPr>
          <w:rFonts w:ascii="Times New Roman" w:hAnsi="Times New Roman" w:cs="Times New Roman"/>
          <w:sz w:val="24"/>
          <w:szCs w:val="24"/>
        </w:rPr>
        <w:t xml:space="preserve">, J. &amp; </w:t>
      </w:r>
      <w:r w:rsidRPr="00A65781">
        <w:rPr>
          <w:rFonts w:ascii="Times New Roman" w:hAnsi="Times New Roman" w:cs="Times New Roman"/>
          <w:sz w:val="24"/>
          <w:szCs w:val="24"/>
        </w:rPr>
        <w:t>Bhandari</w:t>
      </w:r>
      <w:r>
        <w:rPr>
          <w:rFonts w:ascii="Times New Roman" w:hAnsi="Times New Roman" w:cs="Times New Roman"/>
          <w:sz w:val="24"/>
          <w:szCs w:val="24"/>
        </w:rPr>
        <w:t xml:space="preserve">, R. (2013) </w:t>
      </w:r>
      <w:r w:rsidRPr="005D2BBF">
        <w:rPr>
          <w:rFonts w:ascii="Times New Roman" w:hAnsi="Times New Roman" w:cs="Times New Roman"/>
          <w:i/>
          <w:sz w:val="24"/>
          <w:szCs w:val="24"/>
        </w:rPr>
        <w:t>New Frontiers: U.S. Students Pursuing Degrees Abroad: A 2-year analysis of key destinations and fields of study</w:t>
      </w:r>
      <w:r>
        <w:rPr>
          <w:rFonts w:ascii="Times New Roman" w:hAnsi="Times New Roman" w:cs="Times New Roman"/>
          <w:sz w:val="24"/>
          <w:szCs w:val="24"/>
        </w:rPr>
        <w:t xml:space="preserve">. Institute of </w:t>
      </w:r>
      <w:r w:rsidRPr="00A65781">
        <w:rPr>
          <w:rFonts w:ascii="Times New Roman" w:hAnsi="Times New Roman" w:cs="Times New Roman"/>
          <w:sz w:val="24"/>
          <w:szCs w:val="24"/>
        </w:rPr>
        <w:t>International Education (IIE)</w:t>
      </w:r>
      <w:r>
        <w:rPr>
          <w:rFonts w:ascii="Times New Roman" w:hAnsi="Times New Roman" w:cs="Times New Roman"/>
          <w:sz w:val="24"/>
          <w:szCs w:val="24"/>
        </w:rPr>
        <w:t xml:space="preserve">:  Center for Academic Mobility Research. </w:t>
      </w:r>
    </w:p>
    <w:p w:rsidR="004C1CFD" w:rsidRDefault="004C1CFD" w:rsidP="004C1CF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Institute of International Education (2013).  </w:t>
      </w:r>
      <w:r w:rsidRPr="00A65781">
        <w:rPr>
          <w:rFonts w:ascii="Times New Roman" w:hAnsi="Times New Roman" w:cs="Times New Roman"/>
          <w:i/>
          <w:sz w:val="24"/>
          <w:szCs w:val="24"/>
        </w:rPr>
        <w:t>Project Atlas: Trends and Global Data 2013</w:t>
      </w:r>
      <w:r>
        <w:rPr>
          <w:rFonts w:ascii="Times New Roman" w:hAnsi="Times New Roman" w:cs="Times New Roman"/>
          <w:sz w:val="24"/>
          <w:szCs w:val="24"/>
        </w:rPr>
        <w:t xml:space="preserve">. IIE Center for Academic Mobility Research. </w:t>
      </w:r>
    </w:p>
    <w:p w:rsidR="004C1CFD" w:rsidRDefault="004C1CFD" w:rsidP="004C1CFD">
      <w:pPr>
        <w:spacing w:line="240" w:lineRule="auto"/>
        <w:ind w:left="720" w:hanging="720"/>
        <w:rPr>
          <w:rFonts w:ascii="Times New Roman" w:hAnsi="Times New Roman" w:cs="Times New Roman"/>
          <w:sz w:val="24"/>
          <w:szCs w:val="24"/>
        </w:rPr>
      </w:pPr>
      <w:r w:rsidRPr="00A65781">
        <w:rPr>
          <w:rFonts w:ascii="Times New Roman" w:hAnsi="Times New Roman" w:cs="Times New Roman"/>
          <w:sz w:val="24"/>
          <w:szCs w:val="24"/>
        </w:rPr>
        <w:t>Lester</w:t>
      </w:r>
      <w:r>
        <w:rPr>
          <w:rFonts w:ascii="Times New Roman" w:hAnsi="Times New Roman" w:cs="Times New Roman"/>
          <w:sz w:val="24"/>
          <w:szCs w:val="24"/>
        </w:rPr>
        <w:t>, S. (2013)</w:t>
      </w:r>
      <w:r w:rsidRPr="00A65781">
        <w:rPr>
          <w:rFonts w:ascii="Times New Roman" w:hAnsi="Times New Roman" w:cs="Times New Roman"/>
          <w:sz w:val="24"/>
          <w:szCs w:val="24"/>
        </w:rPr>
        <w:t xml:space="preserve"> Lib</w:t>
      </w:r>
      <w:r>
        <w:rPr>
          <w:rFonts w:ascii="Times New Roman" w:hAnsi="Times New Roman" w:cs="Times New Roman"/>
          <w:sz w:val="24"/>
          <w:szCs w:val="24"/>
        </w:rPr>
        <w:t xml:space="preserve">eralizing Cross-Border Trade in Higher Education: </w:t>
      </w:r>
      <w:r w:rsidRPr="00A65781">
        <w:rPr>
          <w:rFonts w:ascii="Times New Roman" w:hAnsi="Times New Roman" w:cs="Times New Roman"/>
          <w:sz w:val="24"/>
          <w:szCs w:val="24"/>
        </w:rPr>
        <w:t>The Coming Revolution of Online Universities</w:t>
      </w:r>
      <w:r>
        <w:rPr>
          <w:rFonts w:ascii="Times New Roman" w:hAnsi="Times New Roman" w:cs="Times New Roman"/>
          <w:sz w:val="24"/>
          <w:szCs w:val="24"/>
        </w:rPr>
        <w:t xml:space="preserve">.  </w:t>
      </w:r>
      <w:r w:rsidRPr="00A65781">
        <w:rPr>
          <w:rFonts w:ascii="Times New Roman" w:hAnsi="Times New Roman" w:cs="Times New Roman"/>
          <w:i/>
          <w:sz w:val="24"/>
          <w:szCs w:val="24"/>
        </w:rPr>
        <w:t>Policy Analysis</w:t>
      </w:r>
      <w:r>
        <w:rPr>
          <w:rFonts w:ascii="Times New Roman" w:hAnsi="Times New Roman" w:cs="Times New Roman"/>
          <w:sz w:val="24"/>
          <w:szCs w:val="24"/>
        </w:rPr>
        <w:t xml:space="preserve">, no. 720, February 2013. </w:t>
      </w:r>
    </w:p>
    <w:p w:rsidR="004C1CFD" w:rsidRDefault="004C1CFD" w:rsidP="004C1CF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King, R., Findlay, A., &amp; Ahrens, J. (2010). </w:t>
      </w:r>
      <w:r w:rsidRPr="005D2BBF">
        <w:rPr>
          <w:rFonts w:ascii="Times New Roman" w:hAnsi="Times New Roman" w:cs="Times New Roman"/>
          <w:i/>
          <w:sz w:val="24"/>
          <w:szCs w:val="24"/>
        </w:rPr>
        <w:t xml:space="preserve">International student mobility literature review. </w:t>
      </w:r>
      <w:r w:rsidRPr="005D2BBF">
        <w:rPr>
          <w:rFonts w:ascii="Times New Roman" w:hAnsi="Times New Roman" w:cs="Times New Roman"/>
          <w:sz w:val="24"/>
          <w:szCs w:val="24"/>
        </w:rPr>
        <w:t>Report to HEFC</w:t>
      </w:r>
      <w:r>
        <w:rPr>
          <w:rFonts w:ascii="Times New Roman" w:hAnsi="Times New Roman" w:cs="Times New Roman"/>
          <w:sz w:val="24"/>
          <w:szCs w:val="24"/>
        </w:rPr>
        <w:t xml:space="preserve">E, and co-funded by the British </w:t>
      </w:r>
      <w:r w:rsidRPr="005D2BBF">
        <w:rPr>
          <w:rFonts w:ascii="Times New Roman" w:hAnsi="Times New Roman" w:cs="Times New Roman"/>
          <w:sz w:val="24"/>
          <w:szCs w:val="24"/>
        </w:rPr>
        <w:t>Council, UK National Agency for Erasmus</w:t>
      </w:r>
      <w:r>
        <w:rPr>
          <w:rFonts w:ascii="Times New Roman" w:hAnsi="Times New Roman" w:cs="Times New Roman"/>
          <w:sz w:val="24"/>
          <w:szCs w:val="24"/>
        </w:rPr>
        <w:t xml:space="preserve">.  </w:t>
      </w:r>
      <w:r w:rsidRPr="005D2BBF">
        <w:rPr>
          <w:rFonts w:ascii="Times New Roman" w:hAnsi="Times New Roman" w:cs="Times New Roman"/>
          <w:sz w:val="24"/>
          <w:szCs w:val="24"/>
        </w:rPr>
        <w:t>Higher Education Funding Council for England</w:t>
      </w:r>
    </w:p>
    <w:p w:rsidR="004C1CFD" w:rsidRDefault="004C1CFD" w:rsidP="004C1CFD">
      <w:pPr>
        <w:spacing w:line="240" w:lineRule="auto"/>
        <w:ind w:left="720" w:hanging="720"/>
        <w:rPr>
          <w:rFonts w:ascii="Times New Roman" w:hAnsi="Times New Roman" w:cs="Times New Roman"/>
          <w:sz w:val="24"/>
          <w:szCs w:val="24"/>
        </w:rPr>
      </w:pPr>
      <w:r w:rsidRPr="005D2BBF">
        <w:rPr>
          <w:rFonts w:ascii="Times New Roman" w:hAnsi="Times New Roman" w:cs="Times New Roman"/>
          <w:sz w:val="24"/>
          <w:szCs w:val="24"/>
        </w:rPr>
        <w:t>Measuring UK student mobility – a review of the data collected related to outwardly mobile students</w:t>
      </w:r>
      <w:r>
        <w:rPr>
          <w:rFonts w:ascii="Times New Roman" w:hAnsi="Times New Roman" w:cs="Times New Roman"/>
          <w:sz w:val="24"/>
          <w:szCs w:val="24"/>
        </w:rPr>
        <w:t xml:space="preserve">. </w:t>
      </w:r>
      <w:hyperlink r:id="rId17" w:history="1">
        <w:r w:rsidRPr="00356303">
          <w:rPr>
            <w:rStyle w:val="Hyperlink"/>
            <w:rFonts w:ascii="Times New Roman" w:hAnsi="Times New Roman" w:cs="Times New Roman"/>
            <w:sz w:val="24"/>
            <w:szCs w:val="24"/>
          </w:rPr>
          <w:t>http://www.hesa.ac.uk/dox/datacoll/studentStream/consultation_2011/ Mobility_report.pdf</w:t>
        </w:r>
      </w:hyperlink>
      <w:r>
        <w:rPr>
          <w:rFonts w:ascii="Times New Roman" w:hAnsi="Times New Roman" w:cs="Times New Roman"/>
          <w:sz w:val="24"/>
          <w:szCs w:val="24"/>
        </w:rPr>
        <w:t xml:space="preserve"> </w:t>
      </w:r>
    </w:p>
    <w:p w:rsidR="004C1CFD" w:rsidRDefault="004C1CFD" w:rsidP="004C1CFD">
      <w:pPr>
        <w:spacing w:line="240" w:lineRule="auto"/>
        <w:ind w:left="720" w:hanging="720"/>
        <w:rPr>
          <w:rFonts w:ascii="Times New Roman" w:hAnsi="Times New Roman" w:cs="Times New Roman"/>
          <w:sz w:val="24"/>
          <w:szCs w:val="24"/>
        </w:rPr>
      </w:pPr>
      <w:r w:rsidRPr="005D2BBF">
        <w:rPr>
          <w:rFonts w:ascii="Times New Roman" w:hAnsi="Times New Roman" w:cs="Times New Roman"/>
          <w:sz w:val="24"/>
          <w:szCs w:val="24"/>
        </w:rPr>
        <w:t xml:space="preserve">OECD </w:t>
      </w:r>
      <w:r>
        <w:rPr>
          <w:rFonts w:ascii="Times New Roman" w:hAnsi="Times New Roman" w:cs="Times New Roman"/>
          <w:sz w:val="24"/>
          <w:szCs w:val="24"/>
        </w:rPr>
        <w:t>(</w:t>
      </w:r>
      <w:r w:rsidRPr="005D2BBF">
        <w:rPr>
          <w:rFonts w:ascii="Times New Roman" w:hAnsi="Times New Roman" w:cs="Times New Roman"/>
          <w:sz w:val="24"/>
          <w:szCs w:val="24"/>
        </w:rPr>
        <w:t>2013</w:t>
      </w:r>
      <w:r>
        <w:rPr>
          <w:rFonts w:ascii="Times New Roman" w:hAnsi="Times New Roman" w:cs="Times New Roman"/>
          <w:sz w:val="24"/>
          <w:szCs w:val="24"/>
        </w:rPr>
        <w:t xml:space="preserve">) Education Indicators in Focus – </w:t>
      </w:r>
      <w:r w:rsidRPr="005D2BBF">
        <w:rPr>
          <w:rFonts w:ascii="Times New Roman" w:hAnsi="Times New Roman" w:cs="Times New Roman"/>
          <w:sz w:val="24"/>
          <w:szCs w:val="24"/>
        </w:rPr>
        <w:t>2013/05 (July)</w:t>
      </w:r>
      <w:r>
        <w:rPr>
          <w:rFonts w:ascii="Times New Roman" w:hAnsi="Times New Roman" w:cs="Times New Roman"/>
          <w:sz w:val="24"/>
          <w:szCs w:val="24"/>
        </w:rPr>
        <w:t xml:space="preserve">. </w:t>
      </w:r>
      <w:hyperlink r:id="rId18" w:history="1">
        <w:r w:rsidRPr="00356303">
          <w:rPr>
            <w:rStyle w:val="Hyperlink"/>
            <w:rFonts w:ascii="Times New Roman" w:hAnsi="Times New Roman" w:cs="Times New Roman"/>
            <w:sz w:val="24"/>
            <w:szCs w:val="24"/>
          </w:rPr>
          <w:t>http://www.oecd-ilibrary.org/education/how-is-international-student-mobility-shaping-up_5k43k8r4k821-en</w:t>
        </w:r>
      </w:hyperlink>
    </w:p>
    <w:p w:rsidR="004C1CFD" w:rsidRDefault="004C1CFD" w:rsidP="004C1CFD">
      <w:pPr>
        <w:spacing w:line="240" w:lineRule="auto"/>
        <w:ind w:left="720" w:hanging="720"/>
        <w:rPr>
          <w:rFonts w:ascii="Times New Roman" w:hAnsi="Times New Roman" w:cs="Times New Roman"/>
          <w:sz w:val="24"/>
          <w:szCs w:val="24"/>
        </w:rPr>
      </w:pPr>
      <w:r w:rsidRPr="00A65781">
        <w:rPr>
          <w:rFonts w:ascii="Times New Roman" w:hAnsi="Times New Roman" w:cs="Times New Roman"/>
          <w:sz w:val="24"/>
          <w:szCs w:val="24"/>
        </w:rPr>
        <w:lastRenderedPageBreak/>
        <w:t>QS Quacquarelli Symonds</w:t>
      </w:r>
      <w:r>
        <w:rPr>
          <w:rFonts w:ascii="Times New Roman" w:hAnsi="Times New Roman" w:cs="Times New Roman"/>
          <w:sz w:val="24"/>
          <w:szCs w:val="24"/>
        </w:rPr>
        <w:t xml:space="preserve"> (2014) </w:t>
      </w:r>
      <w:r w:rsidRPr="00A65781">
        <w:rPr>
          <w:rFonts w:ascii="Times New Roman" w:hAnsi="Times New Roman" w:cs="Times New Roman"/>
          <w:i/>
          <w:sz w:val="24"/>
          <w:szCs w:val="24"/>
        </w:rPr>
        <w:t>Trends in International Student Mobility: A Comparative Study of International Student Choices, Motivation, and Expectations 2009-2013</w:t>
      </w:r>
      <w:r>
        <w:rPr>
          <w:rFonts w:ascii="Times New Roman" w:hAnsi="Times New Roman" w:cs="Times New Roman"/>
          <w:sz w:val="24"/>
          <w:szCs w:val="24"/>
        </w:rPr>
        <w:t xml:space="preserve">.  </w:t>
      </w:r>
      <w:hyperlink r:id="rId19" w:history="1">
        <w:r w:rsidRPr="00356303">
          <w:rPr>
            <w:rStyle w:val="Hyperlink"/>
            <w:rFonts w:ascii="Times New Roman" w:hAnsi="Times New Roman" w:cs="Times New Roman"/>
            <w:sz w:val="24"/>
            <w:szCs w:val="24"/>
          </w:rPr>
          <w:t>www.TopUniversities.com</w:t>
        </w:r>
      </w:hyperlink>
      <w:r>
        <w:rPr>
          <w:rFonts w:ascii="Times New Roman" w:hAnsi="Times New Roman" w:cs="Times New Roman"/>
          <w:sz w:val="24"/>
          <w:szCs w:val="24"/>
        </w:rPr>
        <w:t xml:space="preserve"> </w:t>
      </w:r>
    </w:p>
    <w:p w:rsidR="004C1CFD" w:rsidRPr="005C31AB" w:rsidRDefault="004C1CFD" w:rsidP="004C1CFD">
      <w:pPr>
        <w:spacing w:line="240" w:lineRule="auto"/>
        <w:ind w:left="720" w:hanging="720"/>
        <w:rPr>
          <w:rFonts w:ascii="Times New Roman" w:hAnsi="Times New Roman" w:cs="Times New Roman"/>
          <w:sz w:val="24"/>
          <w:szCs w:val="24"/>
        </w:rPr>
      </w:pPr>
      <w:r w:rsidRPr="005C31AB">
        <w:rPr>
          <w:rFonts w:ascii="Times New Roman" w:hAnsi="Times New Roman" w:cs="Times New Roman"/>
          <w:sz w:val="24"/>
          <w:szCs w:val="24"/>
        </w:rPr>
        <w:t xml:space="preserve">Sailah, </w:t>
      </w:r>
      <w:r>
        <w:rPr>
          <w:rFonts w:ascii="Times New Roman" w:hAnsi="Times New Roman" w:cs="Times New Roman"/>
          <w:sz w:val="24"/>
          <w:szCs w:val="24"/>
        </w:rPr>
        <w:t xml:space="preserve">I., et.al. (2014) </w:t>
      </w:r>
      <w:r w:rsidRPr="005C31AB">
        <w:rPr>
          <w:rFonts w:ascii="Times New Roman" w:hAnsi="Times New Roman" w:cs="Times New Roman"/>
          <w:i/>
          <w:sz w:val="24"/>
          <w:szCs w:val="24"/>
        </w:rPr>
        <w:t>International Student Mobility in Indonesia</w:t>
      </w:r>
      <w:r>
        <w:rPr>
          <w:rFonts w:ascii="Times New Roman" w:hAnsi="Times New Roman" w:cs="Times New Roman"/>
          <w:sz w:val="24"/>
          <w:szCs w:val="24"/>
        </w:rPr>
        <w:t xml:space="preserve">.  </w:t>
      </w:r>
      <w:r w:rsidRPr="005C31AB">
        <w:rPr>
          <w:rFonts w:ascii="Times New Roman" w:hAnsi="Times New Roman" w:cs="Times New Roman"/>
          <w:sz w:val="24"/>
          <w:szCs w:val="24"/>
        </w:rPr>
        <w:t>Paper is presented in 7th AIMS Review Meeting, 8 May 2014, Manila, Philippines</w:t>
      </w:r>
    </w:p>
    <w:p w:rsidR="004C1CFD" w:rsidRDefault="004C1CFD" w:rsidP="004C1CF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SEAMEO RIHED (2012) </w:t>
      </w:r>
      <w:r w:rsidRPr="005C31AB">
        <w:rPr>
          <w:rFonts w:ascii="Times New Roman" w:hAnsi="Times New Roman" w:cs="Times New Roman"/>
          <w:i/>
          <w:sz w:val="24"/>
          <w:szCs w:val="24"/>
        </w:rPr>
        <w:t>ASEAN International Mobility for Students (AIMS) Programme: Operational Handbook.</w:t>
      </w:r>
      <w:r>
        <w:rPr>
          <w:rFonts w:ascii="Times New Roman" w:hAnsi="Times New Roman" w:cs="Times New Roman"/>
          <w:sz w:val="24"/>
          <w:szCs w:val="24"/>
        </w:rPr>
        <w:t xml:space="preserve">  Bangkok, SEAMEO RIHED. </w:t>
      </w:r>
    </w:p>
    <w:p w:rsidR="00972004" w:rsidRPr="002D7EC8" w:rsidRDefault="00972004" w:rsidP="004C1CFD">
      <w:pPr>
        <w:spacing w:line="240" w:lineRule="auto"/>
        <w:ind w:left="720" w:hanging="720"/>
        <w:rPr>
          <w:rFonts w:ascii="Times New Roman" w:eastAsia="Times New Roman" w:hAnsi="Times New Roman" w:cs="Times New Roman"/>
          <w:color w:val="000000"/>
          <w:sz w:val="24"/>
          <w:szCs w:val="24"/>
        </w:rPr>
      </w:pPr>
      <w:r w:rsidRPr="002D7EC8">
        <w:rPr>
          <w:rFonts w:ascii="Times New Roman" w:hAnsi="Times New Roman" w:cs="Times New Roman"/>
          <w:sz w:val="24"/>
          <w:szCs w:val="24"/>
        </w:rPr>
        <w:t xml:space="preserve">Sirat, M., Azman, N. Abu Bakar, A. (2013) </w:t>
      </w:r>
      <w:r w:rsidRPr="00A65781">
        <w:rPr>
          <w:rFonts w:ascii="Times New Roman" w:hAnsi="Times New Roman" w:cs="Times New Roman"/>
          <w:i/>
          <w:sz w:val="24"/>
          <w:szCs w:val="24"/>
        </w:rPr>
        <w:t>Towards harmonization of higher education in Southeast Asia: Malaysia’s perspective</w:t>
      </w:r>
      <w:r w:rsidR="00A65781">
        <w:rPr>
          <w:rFonts w:ascii="Times New Roman" w:eastAsia="Times New Roman" w:hAnsi="Times New Roman" w:cs="Times New Roman"/>
          <w:color w:val="003399"/>
          <w:sz w:val="24"/>
          <w:szCs w:val="24"/>
          <w:u w:val="single"/>
        </w:rPr>
        <w:t xml:space="preserve">. </w:t>
      </w:r>
      <w:r w:rsidR="00AC21A9" w:rsidRPr="00A65781">
        <w:rPr>
          <w:rFonts w:ascii="Times New Roman" w:eastAsia="Times New Roman" w:hAnsi="Times New Roman" w:cs="Times New Roman"/>
          <w:color w:val="003399"/>
          <w:sz w:val="24"/>
          <w:szCs w:val="24"/>
          <w:u w:val="single"/>
        </w:rPr>
        <w:t xml:space="preserve"> </w:t>
      </w:r>
      <w:hyperlink r:id="rId20" w:anchor="ixzz31ZAS6QoD" w:history="1">
        <w:r w:rsidR="00AC21A9" w:rsidRPr="00356303">
          <w:rPr>
            <w:rStyle w:val="Hyperlink"/>
            <w:rFonts w:ascii="Times New Roman" w:eastAsia="Times New Roman" w:hAnsi="Times New Roman" w:cs="Times New Roman"/>
            <w:sz w:val="24"/>
            <w:szCs w:val="24"/>
          </w:rPr>
          <w:t>http://www.insidehighered.com/blogs/ globalhighered/ towards-harmonization-higher-education-southeast-asia#ixzz31ZAS6QoD</w:t>
        </w:r>
      </w:hyperlink>
      <w:r w:rsidR="001E7C4B" w:rsidRPr="002D7EC8">
        <w:rPr>
          <w:rFonts w:ascii="Times New Roman" w:eastAsia="Times New Roman" w:hAnsi="Times New Roman" w:cs="Times New Roman"/>
          <w:color w:val="000000"/>
          <w:sz w:val="24"/>
          <w:szCs w:val="24"/>
        </w:rPr>
        <w:t xml:space="preserve"> </w:t>
      </w:r>
    </w:p>
    <w:p w:rsidR="00972004" w:rsidRPr="002D7EC8" w:rsidRDefault="002D7EC8" w:rsidP="004C1CFD">
      <w:pPr>
        <w:spacing w:line="240" w:lineRule="auto"/>
        <w:ind w:left="720" w:hanging="720"/>
        <w:rPr>
          <w:rFonts w:ascii="Times New Roman" w:eastAsia="Times New Roman" w:hAnsi="Times New Roman" w:cs="Times New Roman"/>
          <w:color w:val="000000"/>
          <w:sz w:val="24"/>
          <w:szCs w:val="24"/>
        </w:rPr>
      </w:pPr>
      <w:r w:rsidRPr="002D7EC8">
        <w:rPr>
          <w:rFonts w:ascii="Times New Roman" w:eastAsia="Times New Roman" w:hAnsi="Times New Roman" w:cs="Times New Roman"/>
          <w:color w:val="000000"/>
          <w:sz w:val="24"/>
          <w:szCs w:val="24"/>
        </w:rPr>
        <w:t>UNESCO (2012)</w:t>
      </w:r>
      <w:r>
        <w:rPr>
          <w:rFonts w:ascii="Times New Roman" w:eastAsia="Times New Roman" w:hAnsi="Times New Roman" w:cs="Times New Roman"/>
          <w:color w:val="000000"/>
          <w:sz w:val="24"/>
          <w:szCs w:val="24"/>
        </w:rPr>
        <w:t>.</w:t>
      </w:r>
      <w:r w:rsidRPr="002D7EC8">
        <w:rPr>
          <w:rFonts w:ascii="Times New Roman" w:eastAsia="Times New Roman" w:hAnsi="Times New Roman" w:cs="Times New Roman"/>
          <w:color w:val="000000"/>
          <w:sz w:val="24"/>
          <w:szCs w:val="24"/>
        </w:rPr>
        <w:t xml:space="preserve"> </w:t>
      </w:r>
      <w:r w:rsidRPr="00A65781">
        <w:rPr>
          <w:rFonts w:ascii="Times New Roman" w:eastAsia="Times New Roman" w:hAnsi="Times New Roman" w:cs="Times New Roman"/>
          <w:i/>
          <w:color w:val="000000"/>
          <w:sz w:val="24"/>
          <w:szCs w:val="24"/>
        </w:rPr>
        <w:t>As demand for education rises, mobile students explore new destinations</w:t>
      </w:r>
      <w:r w:rsidRPr="002D7EC8">
        <w:rPr>
          <w:rFonts w:ascii="Times New Roman" w:eastAsia="Times New Roman" w:hAnsi="Times New Roman" w:cs="Times New Roman"/>
          <w:color w:val="000000"/>
          <w:sz w:val="24"/>
          <w:szCs w:val="24"/>
        </w:rPr>
        <w:t xml:space="preserve"> </w:t>
      </w:r>
      <w:hyperlink r:id="rId21" w:history="1">
        <w:r w:rsidRPr="00356303">
          <w:rPr>
            <w:rStyle w:val="Hyperlink"/>
            <w:rFonts w:ascii="Times New Roman" w:eastAsia="Times New Roman" w:hAnsi="Times New Roman" w:cs="Times New Roman"/>
            <w:sz w:val="24"/>
            <w:szCs w:val="24"/>
          </w:rPr>
          <w:t>http://www.uis.unesco.org/Education/Pages/international-student-flow-viz.aspx</w:t>
        </w:r>
      </w:hyperlink>
      <w:r>
        <w:rPr>
          <w:rFonts w:ascii="Times New Roman" w:eastAsia="Times New Roman" w:hAnsi="Times New Roman" w:cs="Times New Roman"/>
          <w:color w:val="000000"/>
          <w:sz w:val="24"/>
          <w:szCs w:val="24"/>
        </w:rPr>
        <w:t xml:space="preserve">   </w:t>
      </w:r>
    </w:p>
    <w:p w:rsidR="004C1CFD" w:rsidRDefault="004C1CFD" w:rsidP="004C1CFD">
      <w:pPr>
        <w:spacing w:line="240" w:lineRule="auto"/>
        <w:ind w:left="720" w:hanging="720"/>
        <w:rPr>
          <w:rFonts w:ascii="Times New Roman" w:eastAsia="Times New Roman" w:hAnsi="Times New Roman" w:cs="Times New Roman"/>
          <w:sz w:val="24"/>
          <w:szCs w:val="24"/>
        </w:rPr>
      </w:pPr>
      <w:r w:rsidRPr="005C31AB">
        <w:rPr>
          <w:rFonts w:ascii="Times New Roman" w:hAnsi="Times New Roman" w:cs="Times New Roman"/>
          <w:sz w:val="24"/>
          <w:szCs w:val="24"/>
        </w:rPr>
        <w:t>University World News</w:t>
      </w:r>
      <w:r>
        <w:rPr>
          <w:rFonts w:ascii="Times New Roman" w:hAnsi="Times New Roman" w:cs="Times New Roman"/>
          <w:sz w:val="24"/>
          <w:szCs w:val="24"/>
        </w:rPr>
        <w:t xml:space="preserve"> (2014).  </w:t>
      </w:r>
      <w:r w:rsidRPr="005C31AB">
        <w:rPr>
          <w:rFonts w:ascii="Times New Roman" w:hAnsi="Times New Roman" w:cs="Times New Roman"/>
          <w:sz w:val="24"/>
          <w:szCs w:val="24"/>
        </w:rPr>
        <w:t>Summing up interna</w:t>
      </w:r>
      <w:r>
        <w:rPr>
          <w:rFonts w:ascii="Times New Roman" w:hAnsi="Times New Roman" w:cs="Times New Roman"/>
          <w:sz w:val="24"/>
          <w:szCs w:val="24"/>
        </w:rPr>
        <w:t xml:space="preserve">tional student mobility in 2014 </w:t>
      </w:r>
      <w:hyperlink r:id="rId22" w:history="1">
        <w:r w:rsidRPr="00356303">
          <w:rPr>
            <w:rStyle w:val="Hyperlink"/>
            <w:rFonts w:ascii="Times New Roman" w:hAnsi="Times New Roman" w:cs="Times New Roman"/>
            <w:sz w:val="24"/>
            <w:szCs w:val="24"/>
          </w:rPr>
          <w:t>http://monitor.icef.com/2014/02/summing-up-international-student-mobility-in-2014/</w:t>
        </w:r>
      </w:hyperlink>
    </w:p>
    <w:p w:rsidR="004C1CFD" w:rsidRDefault="004C1CFD" w:rsidP="004C1CFD">
      <w:pPr>
        <w:spacing w:line="240" w:lineRule="auto"/>
        <w:ind w:left="720" w:hanging="720"/>
        <w:rPr>
          <w:rFonts w:ascii="Times New Roman" w:eastAsia="Times New Roman" w:hAnsi="Times New Roman" w:cs="Times New Roman"/>
          <w:sz w:val="24"/>
          <w:szCs w:val="24"/>
        </w:rPr>
      </w:pPr>
      <w:r w:rsidRPr="004C1CFD">
        <w:rPr>
          <w:rFonts w:ascii="Times New Roman" w:hAnsi="Times New Roman" w:cs="Times New Roman"/>
          <w:sz w:val="24"/>
          <w:szCs w:val="24"/>
        </w:rPr>
        <w:t>WES Research &amp; Advisory Services</w:t>
      </w:r>
      <w:r>
        <w:rPr>
          <w:rFonts w:ascii="Times New Roman" w:hAnsi="Times New Roman" w:cs="Times New Roman"/>
          <w:sz w:val="24"/>
          <w:szCs w:val="24"/>
        </w:rPr>
        <w:t xml:space="preserve">( 2014) </w:t>
      </w:r>
      <w:r w:rsidRPr="004C1CFD">
        <w:rPr>
          <w:rFonts w:ascii="Times New Roman" w:hAnsi="Times New Roman" w:cs="Times New Roman"/>
          <w:i/>
          <w:sz w:val="24"/>
          <w:szCs w:val="24"/>
        </w:rPr>
        <w:t>International Student Mobility Trends 2014: The Upward Momentum of STEM Fields</w:t>
      </w:r>
      <w:r>
        <w:rPr>
          <w:rFonts w:ascii="Times New Roman" w:hAnsi="Times New Roman" w:cs="Times New Roman"/>
          <w:sz w:val="24"/>
          <w:szCs w:val="24"/>
        </w:rPr>
        <w:t xml:space="preserve">. </w:t>
      </w:r>
      <w:hyperlink r:id="rId23" w:history="1">
        <w:r w:rsidRPr="00356303">
          <w:rPr>
            <w:rStyle w:val="Hyperlink"/>
            <w:rFonts w:ascii="Times New Roman" w:hAnsi="Times New Roman" w:cs="Times New Roman"/>
            <w:sz w:val="24"/>
            <w:szCs w:val="24"/>
          </w:rPr>
          <w:t>http://wenr.wes.org/2014/03/international-student-mobility-trends-2014-the-upward-momentum-of-stem-fields/</w:t>
        </w:r>
      </w:hyperlink>
    </w:p>
    <w:p w:rsidR="00A65781" w:rsidRPr="00A65781" w:rsidRDefault="00AD1C52" w:rsidP="004C1CFD">
      <w:pPr>
        <w:spacing w:line="240" w:lineRule="auto"/>
        <w:ind w:left="720" w:hanging="720"/>
        <w:rPr>
          <w:rFonts w:ascii="Times New Roman" w:hAnsi="Times New Roman" w:cs="Times New Roman"/>
          <w:sz w:val="24"/>
          <w:szCs w:val="24"/>
        </w:rPr>
      </w:pPr>
      <w:r w:rsidRPr="007F2866">
        <w:rPr>
          <w:rFonts w:ascii="Times New Roman" w:eastAsia="Times New Roman" w:hAnsi="Times New Roman" w:cs="Times New Roman"/>
          <w:sz w:val="24"/>
          <w:szCs w:val="24"/>
        </w:rPr>
        <w:t>Zhe</w:t>
      </w:r>
      <w:r>
        <w:rPr>
          <w:rFonts w:ascii="Times New Roman" w:eastAsia="Times New Roman" w:hAnsi="Times New Roman" w:cs="Times New Roman"/>
          <w:sz w:val="24"/>
          <w:szCs w:val="24"/>
        </w:rPr>
        <w:t xml:space="preserve">, L. (2013) </w:t>
      </w:r>
      <w:r w:rsidRPr="00734DB3">
        <w:rPr>
          <w:rFonts w:ascii="Times New Roman" w:eastAsia="Times New Roman" w:hAnsi="Times New Roman" w:cs="Times New Roman"/>
          <w:i/>
          <w:sz w:val="24"/>
          <w:szCs w:val="24"/>
        </w:rPr>
        <w:t>Student Mobility: focusing on the globally competent human resources</w:t>
      </w:r>
      <w:r w:rsidR="00A65781">
        <w:rPr>
          <w:rFonts w:ascii="Times New Roman" w:eastAsia="Times New Roman" w:hAnsi="Times New Roman" w:cs="Times New Roman"/>
          <w:sz w:val="24"/>
          <w:szCs w:val="24"/>
        </w:rPr>
        <w:t xml:space="preserve">. </w:t>
      </w:r>
      <w:r w:rsidRPr="00A65781">
        <w:rPr>
          <w:rFonts w:ascii="Times New Roman" w:eastAsia="Times New Roman" w:hAnsi="Times New Roman" w:cs="Times New Roman"/>
          <w:sz w:val="24"/>
          <w:szCs w:val="24"/>
        </w:rPr>
        <w:t>Presented at the First Working group on Mobility of Higher education and Ensuring Quality Assurance of Higher education Among ASEAN plus Three Countries, 30 September 2013, Tokyo, Japan.</w:t>
      </w:r>
    </w:p>
    <w:p w:rsidR="005D2BBF" w:rsidRDefault="005D2BBF" w:rsidP="005D2BBF">
      <w:pPr>
        <w:ind w:left="720" w:hanging="720"/>
        <w:rPr>
          <w:rFonts w:ascii="Times New Roman" w:hAnsi="Times New Roman" w:cs="Times New Roman"/>
          <w:sz w:val="24"/>
          <w:szCs w:val="24"/>
        </w:rPr>
      </w:pPr>
    </w:p>
    <w:p w:rsidR="005D2BBF" w:rsidRDefault="005D2BBF" w:rsidP="005D2BBF">
      <w:pPr>
        <w:ind w:left="720" w:hanging="720"/>
        <w:rPr>
          <w:rFonts w:ascii="Times New Roman" w:hAnsi="Times New Roman" w:cs="Times New Roman"/>
          <w:sz w:val="24"/>
          <w:szCs w:val="24"/>
        </w:rPr>
      </w:pPr>
    </w:p>
    <w:p w:rsidR="005C31AB" w:rsidRDefault="005C31AB" w:rsidP="005C31AB">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5C31AB" w:rsidRDefault="005C31AB" w:rsidP="005C31AB">
      <w:pPr>
        <w:ind w:left="720" w:hanging="720"/>
        <w:rPr>
          <w:rFonts w:ascii="Times New Roman" w:hAnsi="Times New Roman" w:cs="Times New Roman"/>
          <w:sz w:val="24"/>
          <w:szCs w:val="24"/>
        </w:rPr>
      </w:pPr>
    </w:p>
    <w:p w:rsidR="001E7C4B" w:rsidRDefault="001E7C4B" w:rsidP="004C1CFD">
      <w:pPr>
        <w:ind w:left="720" w:hanging="720"/>
        <w:rPr>
          <w:rFonts w:ascii="Times New Roman" w:hAnsi="Times New Roman" w:cs="Times New Roman"/>
          <w:sz w:val="24"/>
          <w:szCs w:val="24"/>
        </w:rPr>
      </w:pPr>
    </w:p>
    <w:p w:rsidR="004C1CFD" w:rsidRDefault="004C1CFD" w:rsidP="004C1CFD">
      <w:pPr>
        <w:ind w:left="720" w:hanging="720"/>
        <w:rPr>
          <w:rFonts w:ascii="Times New Roman" w:hAnsi="Times New Roman" w:cs="Times New Roman"/>
          <w:sz w:val="24"/>
          <w:szCs w:val="24"/>
        </w:rPr>
      </w:pPr>
    </w:p>
    <w:p w:rsidR="004C1CFD" w:rsidRPr="007F2866" w:rsidRDefault="004C1CFD" w:rsidP="004C1CFD">
      <w:pPr>
        <w:ind w:left="720" w:hanging="720"/>
        <w:rPr>
          <w:rFonts w:ascii="Times New Roman" w:hAnsi="Times New Roman" w:cs="Times New Roman"/>
          <w:sz w:val="24"/>
          <w:szCs w:val="24"/>
        </w:rPr>
      </w:pPr>
    </w:p>
    <w:p w:rsidR="0074165B" w:rsidRPr="007F2866" w:rsidRDefault="0074165B" w:rsidP="0074165B">
      <w:pPr>
        <w:rPr>
          <w:rFonts w:ascii="Times New Roman" w:hAnsi="Times New Roman" w:cs="Times New Roman"/>
          <w:sz w:val="24"/>
          <w:szCs w:val="24"/>
        </w:rPr>
      </w:pPr>
    </w:p>
    <w:sectPr w:rsidR="0074165B" w:rsidRPr="007F286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FE" w:rsidRDefault="00F565FE" w:rsidP="00384C7A">
      <w:pPr>
        <w:spacing w:after="0" w:line="240" w:lineRule="auto"/>
      </w:pPr>
      <w:r>
        <w:separator/>
      </w:r>
    </w:p>
  </w:endnote>
  <w:endnote w:type="continuationSeparator" w:id="0">
    <w:p w:rsidR="00F565FE" w:rsidRDefault="00F565FE" w:rsidP="0038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Legacy Serif Book">
    <w:altName w:val="ITC Legacy Serif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7A" w:rsidRPr="00384C7A" w:rsidRDefault="00384C7A">
    <w:pPr>
      <w:pStyle w:val="Footer"/>
      <w:rPr>
        <w:i/>
        <w:sz w:val="16"/>
        <w:szCs w:val="16"/>
      </w:rPr>
    </w:pPr>
    <w:r w:rsidRPr="00384C7A">
      <w:rPr>
        <w:i/>
        <w:sz w:val="16"/>
        <w:szCs w:val="16"/>
      </w:rPr>
      <w:t>20052014/pp/DGHE</w:t>
    </w:r>
    <w:r w:rsidR="00762215">
      <w:rPr>
        <w:i/>
        <w:sz w:val="16"/>
        <w:szCs w:val="16"/>
      </w:rPr>
      <w:tab/>
    </w:r>
    <w:r w:rsidR="00762215">
      <w:rPr>
        <w:i/>
        <w:sz w:val="16"/>
        <w:szCs w:val="16"/>
      </w:rPr>
      <w:tab/>
    </w:r>
  </w:p>
  <w:p w:rsidR="00384C7A" w:rsidRDefault="0038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FE" w:rsidRDefault="00F565FE" w:rsidP="00384C7A">
      <w:pPr>
        <w:spacing w:after="0" w:line="240" w:lineRule="auto"/>
      </w:pPr>
      <w:r>
        <w:separator/>
      </w:r>
    </w:p>
  </w:footnote>
  <w:footnote w:type="continuationSeparator" w:id="0">
    <w:p w:rsidR="00F565FE" w:rsidRDefault="00F565FE" w:rsidP="00384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5817"/>
      <w:docPartObj>
        <w:docPartGallery w:val="Page Numbers (Top of Page)"/>
        <w:docPartUnique/>
      </w:docPartObj>
    </w:sdtPr>
    <w:sdtEndPr>
      <w:rPr>
        <w:noProof/>
      </w:rPr>
    </w:sdtEndPr>
    <w:sdtContent>
      <w:p w:rsidR="00762215" w:rsidRDefault="00762215">
        <w:pPr>
          <w:pStyle w:val="Header"/>
          <w:jc w:val="right"/>
        </w:pPr>
        <w:r>
          <w:fldChar w:fldCharType="begin"/>
        </w:r>
        <w:r>
          <w:instrText xml:space="preserve"> PAGE   \* MERGEFORMAT </w:instrText>
        </w:r>
        <w:r>
          <w:fldChar w:fldCharType="separate"/>
        </w:r>
        <w:r w:rsidR="00760716">
          <w:rPr>
            <w:noProof/>
          </w:rPr>
          <w:t>2</w:t>
        </w:r>
        <w:r>
          <w:rPr>
            <w:noProof/>
          </w:rPr>
          <w:fldChar w:fldCharType="end"/>
        </w:r>
      </w:p>
    </w:sdtContent>
  </w:sdt>
  <w:p w:rsidR="00762215" w:rsidRDefault="00762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365"/>
    <w:multiLevelType w:val="hybridMultilevel"/>
    <w:tmpl w:val="5EB6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61577"/>
    <w:multiLevelType w:val="hybridMultilevel"/>
    <w:tmpl w:val="A4781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C0280"/>
    <w:multiLevelType w:val="multilevel"/>
    <w:tmpl w:val="4ACE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C5364"/>
    <w:multiLevelType w:val="hybridMultilevel"/>
    <w:tmpl w:val="E028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028DE"/>
    <w:multiLevelType w:val="hybridMultilevel"/>
    <w:tmpl w:val="EB66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77A01"/>
    <w:multiLevelType w:val="hybridMultilevel"/>
    <w:tmpl w:val="626AE0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03219"/>
    <w:multiLevelType w:val="multilevel"/>
    <w:tmpl w:val="4A0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20C31"/>
    <w:multiLevelType w:val="multilevel"/>
    <w:tmpl w:val="C9F8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4906C1"/>
    <w:multiLevelType w:val="multilevel"/>
    <w:tmpl w:val="B6D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3"/>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D6"/>
    <w:rsid w:val="00021409"/>
    <w:rsid w:val="000B265C"/>
    <w:rsid w:val="00115BB1"/>
    <w:rsid w:val="00163BF5"/>
    <w:rsid w:val="0017619F"/>
    <w:rsid w:val="001C1CBE"/>
    <w:rsid w:val="001C2D73"/>
    <w:rsid w:val="001E7C4B"/>
    <w:rsid w:val="0023448E"/>
    <w:rsid w:val="002D7EC8"/>
    <w:rsid w:val="002F538B"/>
    <w:rsid w:val="00384C7A"/>
    <w:rsid w:val="004162E6"/>
    <w:rsid w:val="00421FC9"/>
    <w:rsid w:val="00444C2B"/>
    <w:rsid w:val="00473C8C"/>
    <w:rsid w:val="0048571E"/>
    <w:rsid w:val="004C1CFD"/>
    <w:rsid w:val="00565279"/>
    <w:rsid w:val="005A01EA"/>
    <w:rsid w:val="005C31AB"/>
    <w:rsid w:val="005D2BBF"/>
    <w:rsid w:val="007126EF"/>
    <w:rsid w:val="00734DB3"/>
    <w:rsid w:val="0074165B"/>
    <w:rsid w:val="00760716"/>
    <w:rsid w:val="00762215"/>
    <w:rsid w:val="0078354B"/>
    <w:rsid w:val="007879C3"/>
    <w:rsid w:val="007E76DA"/>
    <w:rsid w:val="007F2866"/>
    <w:rsid w:val="008A5050"/>
    <w:rsid w:val="008E044D"/>
    <w:rsid w:val="00972004"/>
    <w:rsid w:val="009F72C5"/>
    <w:rsid w:val="00A60E22"/>
    <w:rsid w:val="00A65781"/>
    <w:rsid w:val="00AA0B74"/>
    <w:rsid w:val="00AB5B92"/>
    <w:rsid w:val="00AC21A9"/>
    <w:rsid w:val="00AD1C52"/>
    <w:rsid w:val="00B32D60"/>
    <w:rsid w:val="00B6001B"/>
    <w:rsid w:val="00BE6DBC"/>
    <w:rsid w:val="00C6340C"/>
    <w:rsid w:val="00CB3A24"/>
    <w:rsid w:val="00CC4EA4"/>
    <w:rsid w:val="00CF5C9E"/>
    <w:rsid w:val="00DE68D6"/>
    <w:rsid w:val="00E316EC"/>
    <w:rsid w:val="00E70BED"/>
    <w:rsid w:val="00E92726"/>
    <w:rsid w:val="00F222D4"/>
    <w:rsid w:val="00F5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8A5050"/>
    <w:rPr>
      <w:rFonts w:cs="ITC Legacy Serif Book"/>
      <w:color w:val="000000"/>
      <w:sz w:val="16"/>
      <w:szCs w:val="16"/>
    </w:rPr>
  </w:style>
  <w:style w:type="paragraph" w:styleId="NormalWeb">
    <w:name w:val="Normal (Web)"/>
    <w:basedOn w:val="Normal"/>
    <w:uiPriority w:val="99"/>
    <w:semiHidden/>
    <w:unhideWhenUsed/>
    <w:rsid w:val="002F53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38B"/>
    <w:pPr>
      <w:ind w:left="720"/>
      <w:contextualSpacing/>
    </w:pPr>
  </w:style>
  <w:style w:type="paragraph" w:styleId="BalloonText">
    <w:name w:val="Balloon Text"/>
    <w:basedOn w:val="Normal"/>
    <w:link w:val="BalloonTextChar"/>
    <w:uiPriority w:val="99"/>
    <w:semiHidden/>
    <w:unhideWhenUsed/>
    <w:rsid w:val="0074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5B"/>
    <w:rPr>
      <w:rFonts w:ascii="Tahoma" w:hAnsi="Tahoma" w:cs="Tahoma"/>
      <w:sz w:val="16"/>
      <w:szCs w:val="16"/>
    </w:rPr>
  </w:style>
  <w:style w:type="table" w:styleId="TableGrid">
    <w:name w:val="Table Grid"/>
    <w:basedOn w:val="TableNormal"/>
    <w:uiPriority w:val="59"/>
    <w:rsid w:val="00E9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7EC8"/>
    <w:rPr>
      <w:color w:val="0000FF" w:themeColor="hyperlink"/>
      <w:u w:val="single"/>
    </w:rPr>
  </w:style>
  <w:style w:type="paragraph" w:customStyle="1" w:styleId="Default">
    <w:name w:val="Default"/>
    <w:rsid w:val="005652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8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7A"/>
  </w:style>
  <w:style w:type="paragraph" w:styleId="Footer">
    <w:name w:val="footer"/>
    <w:basedOn w:val="Normal"/>
    <w:link w:val="FooterChar"/>
    <w:uiPriority w:val="99"/>
    <w:unhideWhenUsed/>
    <w:rsid w:val="0038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8A5050"/>
    <w:rPr>
      <w:rFonts w:cs="ITC Legacy Serif Book"/>
      <w:color w:val="000000"/>
      <w:sz w:val="16"/>
      <w:szCs w:val="16"/>
    </w:rPr>
  </w:style>
  <w:style w:type="paragraph" w:styleId="NormalWeb">
    <w:name w:val="Normal (Web)"/>
    <w:basedOn w:val="Normal"/>
    <w:uiPriority w:val="99"/>
    <w:semiHidden/>
    <w:unhideWhenUsed/>
    <w:rsid w:val="002F53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38B"/>
    <w:pPr>
      <w:ind w:left="720"/>
      <w:contextualSpacing/>
    </w:pPr>
  </w:style>
  <w:style w:type="paragraph" w:styleId="BalloonText">
    <w:name w:val="Balloon Text"/>
    <w:basedOn w:val="Normal"/>
    <w:link w:val="BalloonTextChar"/>
    <w:uiPriority w:val="99"/>
    <w:semiHidden/>
    <w:unhideWhenUsed/>
    <w:rsid w:val="0074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5B"/>
    <w:rPr>
      <w:rFonts w:ascii="Tahoma" w:hAnsi="Tahoma" w:cs="Tahoma"/>
      <w:sz w:val="16"/>
      <w:szCs w:val="16"/>
    </w:rPr>
  </w:style>
  <w:style w:type="table" w:styleId="TableGrid">
    <w:name w:val="Table Grid"/>
    <w:basedOn w:val="TableNormal"/>
    <w:uiPriority w:val="59"/>
    <w:rsid w:val="00E9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7EC8"/>
    <w:rPr>
      <w:color w:val="0000FF" w:themeColor="hyperlink"/>
      <w:u w:val="single"/>
    </w:rPr>
  </w:style>
  <w:style w:type="paragraph" w:customStyle="1" w:styleId="Default">
    <w:name w:val="Default"/>
    <w:rsid w:val="005652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8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7A"/>
  </w:style>
  <w:style w:type="paragraph" w:styleId="Footer">
    <w:name w:val="footer"/>
    <w:basedOn w:val="Normal"/>
    <w:link w:val="FooterChar"/>
    <w:uiPriority w:val="99"/>
    <w:unhideWhenUsed/>
    <w:rsid w:val="0038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9802">
      <w:bodyDiv w:val="1"/>
      <w:marLeft w:val="0"/>
      <w:marRight w:val="0"/>
      <w:marTop w:val="0"/>
      <w:marBottom w:val="0"/>
      <w:divBdr>
        <w:top w:val="none" w:sz="0" w:space="0" w:color="auto"/>
        <w:left w:val="none" w:sz="0" w:space="0" w:color="auto"/>
        <w:bottom w:val="none" w:sz="0" w:space="0" w:color="auto"/>
        <w:right w:val="none" w:sz="0" w:space="0" w:color="auto"/>
      </w:divBdr>
    </w:div>
    <w:div w:id="18742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oecd-ilibrary.org/education/how-is-international-student-mobility-shaping-up_5k43k8r4k821-e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is.unesco.org/Education/Pages/international-student-flow-viz.aspx" TargetMode="External"/><Relationship Id="rId7" Type="http://schemas.openxmlformats.org/officeDocument/2006/relationships/endnotes" Target="endnotes.xml"/><Relationship Id="rId12" Type="http://schemas.openxmlformats.org/officeDocument/2006/relationships/hyperlink" Target="http://globalhighered.files.wordpress.com/2014/04/morshidiphotoblog.jpg" TargetMode="External"/><Relationship Id="rId17" Type="http://schemas.openxmlformats.org/officeDocument/2006/relationships/hyperlink" Target="http://www.hesa.ac.uk/dox/datacoll/studentStream/consultation_2011/%20Mobility_report.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comm.org.uk/publications/104-international-student-mobility-in-the-commonwealth" TargetMode="External"/><Relationship Id="rId20" Type="http://schemas.openxmlformats.org/officeDocument/2006/relationships/hyperlink" Target="http://www.insidehighered.com/blogs/%20globalhighered/%20towards-harmonization-higher-education-southeast-asia"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nr.wes.org/2014/03/%20international-student-mobility-trends-2014-the-upward-momentum-of-stem-fields/" TargetMode="External"/><Relationship Id="rId23" Type="http://schemas.openxmlformats.org/officeDocument/2006/relationships/hyperlink" Target="http://wenr.wes.org/2014/03/international-student-mobility-trends-2014-the-upward-momentum-of-stem-fields/" TargetMode="External"/><Relationship Id="rId28"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hyperlink" Target="http://www.TopUniversiti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hyperlink" Target="http://monitor.icef.com/2014/02/summing-up-international-student-mobility-in-2014/"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50AFEE2CC414992752DEBC20E642B" ma:contentTypeVersion="2" ma:contentTypeDescription="Create a new document." ma:contentTypeScope="" ma:versionID="01d847c6bd509cc7ebc9c6a466a7235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86BB4F-CE1A-45D9-9FDE-327612862A79}"/>
</file>

<file path=customXml/itemProps2.xml><?xml version="1.0" encoding="utf-8"?>
<ds:datastoreItem xmlns:ds="http://schemas.openxmlformats.org/officeDocument/2006/customXml" ds:itemID="{6B823BE5-6197-4F00-8D77-DF2FC84CBC28}"/>
</file>

<file path=customXml/itemProps3.xml><?xml version="1.0" encoding="utf-8"?>
<ds:datastoreItem xmlns:ds="http://schemas.openxmlformats.org/officeDocument/2006/customXml" ds:itemID="{80536B69-5395-4E86-AECF-964C09B4912E}"/>
</file>

<file path=docProps/app.xml><?xml version="1.0" encoding="utf-8"?>
<Properties xmlns="http://schemas.openxmlformats.org/officeDocument/2006/extended-properties" xmlns:vt="http://schemas.openxmlformats.org/officeDocument/2006/docPropsVTypes">
  <Template>A6B4B930.dotm</Template>
  <TotalTime>2</TotalTime>
  <Pages>12</Pages>
  <Words>4395</Words>
  <Characters>25052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Pannen</dc:creator>
  <cp:lastModifiedBy>Niclas  Jonsson</cp:lastModifiedBy>
  <cp:revision>2</cp:revision>
  <dcterms:created xsi:type="dcterms:W3CDTF">2014-06-02T00:50:00Z</dcterms:created>
  <dcterms:modified xsi:type="dcterms:W3CDTF">2014-06-02T00:50:00Z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0x010100BBB50AFEE2CC414992752DEBC20E642B</vt:lpwstr>
  </property>
  <property fmtid="{D5CDD505-2E9C-101B-9397-08002B2CF9AE}" pid="3" name="Order">
    <vt:r8>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