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944" w:rsidRDefault="004078C7" w:rsidP="0046717E">
      <w:pPr>
        <w:pStyle w:val="heading10"/>
        <w:spacing w:before="120"/>
        <w:rPr>
          <w:color w:val="1F497D" w:themeColor="text2"/>
          <w:sz w:val="24"/>
          <w:szCs w:val="24"/>
        </w:rPr>
      </w:pPr>
      <w:r>
        <w:rPr>
          <w:noProof/>
          <w:color w:val="1F497D" w:themeColor="text2"/>
          <w:sz w:val="24"/>
          <w:szCs w:val="24"/>
        </w:rPr>
        <w:drawing>
          <wp:inline distT="0" distB="0" distL="0" distR="0">
            <wp:extent cx="6858000" cy="1175385"/>
            <wp:effectExtent l="0" t="0" r="0" b="0"/>
            <wp:docPr id="1" name="Picture 4" descr="I:\IE\IES\IntResearchAnalysis\Section Publications\Research Snapshots\DET_Research Snapshot Bann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:\IE\IES\IntResearchAnalysis\Section Publications\Research Snapshots\DET_Research Snapshot Banner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175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7F41" w:rsidRPr="003726D7" w:rsidRDefault="003F1C27" w:rsidP="001C7F41">
      <w:pPr>
        <w:pStyle w:val="heading10"/>
        <w:ind w:firstLine="567"/>
        <w:jc w:val="right"/>
        <w:rPr>
          <w:rFonts w:asciiTheme="minorHAnsi" w:hAnsiTheme="minorHAnsi" w:cs="Calibri"/>
          <w:color w:val="1F497D" w:themeColor="text2"/>
          <w:sz w:val="24"/>
          <w:szCs w:val="24"/>
        </w:rPr>
      </w:pPr>
      <w:bookmarkStart w:id="0" w:name="_GoBack"/>
      <w:bookmarkEnd w:id="0"/>
      <w:r>
        <w:rPr>
          <w:rFonts w:asciiTheme="minorHAnsi" w:hAnsiTheme="minorHAnsi" w:cs="Calibri"/>
          <w:color w:val="auto"/>
          <w:sz w:val="24"/>
          <w:szCs w:val="24"/>
        </w:rPr>
        <w:t>October</w:t>
      </w:r>
      <w:r w:rsidR="002B6B23">
        <w:rPr>
          <w:rFonts w:asciiTheme="minorHAnsi" w:hAnsiTheme="minorHAnsi" w:cs="Calibri"/>
          <w:color w:val="auto"/>
          <w:sz w:val="24"/>
          <w:szCs w:val="24"/>
        </w:rPr>
        <w:t xml:space="preserve"> </w:t>
      </w:r>
      <w:r w:rsidR="00DC669C" w:rsidRPr="00074C0C">
        <w:rPr>
          <w:rFonts w:asciiTheme="minorHAnsi" w:hAnsiTheme="minorHAnsi" w:cs="Calibri"/>
          <w:color w:val="auto"/>
          <w:sz w:val="24"/>
          <w:szCs w:val="24"/>
        </w:rPr>
        <w:t>201</w:t>
      </w:r>
      <w:r w:rsidR="00045CF5">
        <w:rPr>
          <w:rFonts w:asciiTheme="minorHAnsi" w:hAnsiTheme="minorHAnsi" w:cs="Calibri"/>
          <w:color w:val="auto"/>
          <w:sz w:val="24"/>
          <w:szCs w:val="24"/>
        </w:rPr>
        <w:t>6</w:t>
      </w:r>
    </w:p>
    <w:p w:rsidR="00BA7A6A" w:rsidRDefault="00422BB5" w:rsidP="00A52FF2">
      <w:pPr>
        <w:pStyle w:val="heading10"/>
        <w:tabs>
          <w:tab w:val="left" w:pos="6237"/>
        </w:tabs>
        <w:spacing w:after="120"/>
        <w:rPr>
          <w:rFonts w:asciiTheme="minorHAnsi" w:hAnsiTheme="minorHAnsi" w:cs="Calibri"/>
          <w:color w:val="1F497D" w:themeColor="text2"/>
        </w:rPr>
      </w:pPr>
      <w:r w:rsidRPr="003726D7">
        <w:rPr>
          <w:rFonts w:asciiTheme="minorHAnsi" w:hAnsiTheme="minorHAnsi" w:cs="Calibri"/>
          <w:color w:val="1F497D" w:themeColor="text2"/>
        </w:rPr>
        <w:t>Transnational education in the higher education sector</w:t>
      </w:r>
    </w:p>
    <w:p w:rsidR="007B0DCC" w:rsidRDefault="008C64B9" w:rsidP="00366382">
      <w:pPr>
        <w:pStyle w:val="Default"/>
        <w:tabs>
          <w:tab w:val="left" w:pos="5812"/>
          <w:tab w:val="left" w:pos="5954"/>
        </w:tabs>
        <w:spacing w:after="120"/>
        <w:jc w:val="both"/>
        <w:rPr>
          <w:rFonts w:asciiTheme="minorHAnsi" w:hAnsiTheme="minorHAnsi" w:cs="Calibri"/>
          <w:sz w:val="20"/>
          <w:szCs w:val="20"/>
        </w:rPr>
      </w:pPr>
      <w:r w:rsidRPr="008C64B9">
        <w:rPr>
          <w:noProof/>
        </w:rPr>
        <w:drawing>
          <wp:anchor distT="0" distB="0" distL="114300" distR="114300" simplePos="0" relativeHeight="251670528" behindDoc="1" locked="0" layoutInCell="1" allowOverlap="1" wp14:anchorId="7FD47798" wp14:editId="14FD0CB0">
            <wp:simplePos x="0" y="0"/>
            <wp:positionH relativeFrom="column">
              <wp:posOffset>3449320</wp:posOffset>
            </wp:positionH>
            <wp:positionV relativeFrom="paragraph">
              <wp:posOffset>43180</wp:posOffset>
            </wp:positionV>
            <wp:extent cx="3438525" cy="2019300"/>
            <wp:effectExtent l="0" t="0" r="9525" b="0"/>
            <wp:wrapTight wrapText="bothSides">
              <wp:wrapPolygon edited="0">
                <wp:start x="0" y="0"/>
                <wp:lineTo x="0" y="21396"/>
                <wp:lineTo x="239" y="21396"/>
                <wp:lineTo x="17591" y="21192"/>
                <wp:lineTo x="21540" y="20989"/>
                <wp:lineTo x="2154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3D2B" w:rsidRPr="003726D7">
        <w:rPr>
          <w:rFonts w:asciiTheme="minorHAnsi" w:hAnsiTheme="minorHAnsi" w:cs="Calibri"/>
          <w:sz w:val="20"/>
          <w:szCs w:val="20"/>
        </w:rPr>
        <w:t>Transnational education is the provision of education to international students by Australian institutions</w:t>
      </w:r>
      <w:r w:rsidR="007C1E3C">
        <w:rPr>
          <w:rFonts w:asciiTheme="minorHAnsi" w:hAnsiTheme="minorHAnsi" w:cs="Calibri"/>
          <w:sz w:val="20"/>
          <w:szCs w:val="20"/>
        </w:rPr>
        <w:t xml:space="preserve"> offshore</w:t>
      </w:r>
      <w:r w:rsidR="004C3D2B" w:rsidRPr="003726D7">
        <w:rPr>
          <w:rFonts w:asciiTheme="minorHAnsi" w:hAnsiTheme="minorHAnsi" w:cs="Calibri"/>
          <w:sz w:val="20"/>
          <w:szCs w:val="20"/>
        </w:rPr>
        <w:t xml:space="preserve">. For example, an Australian university may have campuses in one or more countries outside Australia, or offer courses via distance education, online learning or correspondence. International students may be enrolled </w:t>
      </w:r>
      <w:r w:rsidR="0049797E">
        <w:rPr>
          <w:rFonts w:asciiTheme="minorHAnsi" w:hAnsiTheme="minorHAnsi" w:cs="Calibri"/>
          <w:sz w:val="20"/>
          <w:szCs w:val="20"/>
        </w:rPr>
        <w:t>in partnership programs managed by an Australian university and a foreign partner which may be delivered at that foreign university campus. This snapshot analyses the provision of transnational education in the higher education sector up to the year 2015.</w:t>
      </w:r>
      <w:r w:rsidR="00462AA8">
        <w:rPr>
          <w:rFonts w:asciiTheme="minorHAnsi" w:hAnsiTheme="minorHAnsi" w:cs="Calibri"/>
          <w:sz w:val="20"/>
          <w:szCs w:val="20"/>
        </w:rPr>
        <w:t xml:space="preserve"> </w:t>
      </w:r>
    </w:p>
    <w:p w:rsidR="00C7401C" w:rsidRDefault="00C02261" w:rsidP="00F349B4">
      <w:pPr>
        <w:pStyle w:val="Default"/>
        <w:tabs>
          <w:tab w:val="left" w:pos="5954"/>
          <w:tab w:val="left" w:pos="6096"/>
          <w:tab w:val="left" w:pos="10773"/>
        </w:tabs>
        <w:spacing w:after="120"/>
        <w:jc w:val="both"/>
        <w:rPr>
          <w:rFonts w:asciiTheme="minorHAnsi" w:hAnsiTheme="minorHAnsi" w:cs="Calibri"/>
          <w:noProof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3420110</wp:posOffset>
            </wp:positionH>
            <wp:positionV relativeFrom="paragraph">
              <wp:posOffset>483870</wp:posOffset>
            </wp:positionV>
            <wp:extent cx="3472180" cy="2441575"/>
            <wp:effectExtent l="0" t="0" r="0" b="0"/>
            <wp:wrapSquare wrapText="bothSides"/>
            <wp:docPr id="6" name="Picture 6" descr="A pie chart shows the transnational students by level of study:&#10;&#10;Bachelors Degree, 66.9%&#10;Master's by course work, 20.1%&#10;Advanced Dipl/Dipl, 4.4%&#10;Doctrate, 2.4%&#10;Graduate Diploma &amp; Certificate, 2.4%&#10;Master's by Research, 0.3%&#10;Other, 2.9%" title="Figure 1: Transnational students by level of study, 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2180" cy="2441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1271" w:rsidRPr="00045CF5">
        <w:rPr>
          <w:rFonts w:asciiTheme="minorHAnsi" w:hAnsiTheme="minorHAnsi" w:cs="Calibri"/>
          <w:sz w:val="20"/>
          <w:szCs w:val="20"/>
        </w:rPr>
        <w:t>There were</w:t>
      </w:r>
      <w:r w:rsidR="008258C1" w:rsidRPr="00045CF5">
        <w:rPr>
          <w:rFonts w:asciiTheme="minorHAnsi" w:hAnsiTheme="minorHAnsi" w:cs="Calibri"/>
          <w:sz w:val="20"/>
          <w:szCs w:val="20"/>
        </w:rPr>
        <w:t xml:space="preserve"> </w:t>
      </w:r>
      <w:r w:rsidR="00045CF5" w:rsidRPr="00045CF5">
        <w:rPr>
          <w:rFonts w:asciiTheme="minorHAnsi" w:hAnsiTheme="minorHAnsi" w:cs="Calibri"/>
          <w:sz w:val="20"/>
          <w:szCs w:val="20"/>
        </w:rPr>
        <w:t>363,298</w:t>
      </w:r>
      <w:r w:rsidR="008258C1" w:rsidRPr="00045CF5">
        <w:rPr>
          <w:rFonts w:asciiTheme="minorHAnsi" w:hAnsiTheme="minorHAnsi" w:cs="Calibri"/>
          <w:sz w:val="20"/>
          <w:szCs w:val="20"/>
        </w:rPr>
        <w:t xml:space="preserve"> international students studying in Australian higher education institutions</w:t>
      </w:r>
      <w:r w:rsidR="002B6B23" w:rsidRPr="00045CF5">
        <w:rPr>
          <w:rFonts w:asciiTheme="minorHAnsi" w:hAnsiTheme="minorHAnsi" w:cs="Calibri"/>
          <w:sz w:val="20"/>
          <w:szCs w:val="20"/>
        </w:rPr>
        <w:t xml:space="preserve"> in 201</w:t>
      </w:r>
      <w:r w:rsidR="00045CF5" w:rsidRPr="00045CF5">
        <w:rPr>
          <w:rFonts w:asciiTheme="minorHAnsi" w:hAnsiTheme="minorHAnsi" w:cs="Calibri"/>
          <w:sz w:val="20"/>
          <w:szCs w:val="20"/>
        </w:rPr>
        <w:t>5</w:t>
      </w:r>
      <w:r w:rsidR="00CC0A7D">
        <w:rPr>
          <w:rFonts w:asciiTheme="minorHAnsi" w:hAnsiTheme="minorHAnsi" w:cs="Calibri"/>
          <w:sz w:val="20"/>
          <w:szCs w:val="20"/>
        </w:rPr>
        <w:t xml:space="preserve">. </w:t>
      </w:r>
      <w:r w:rsidR="00144B0D">
        <w:rPr>
          <w:rFonts w:asciiTheme="minorHAnsi" w:hAnsiTheme="minorHAnsi" w:cs="Calibri"/>
          <w:sz w:val="20"/>
          <w:szCs w:val="20"/>
        </w:rPr>
        <w:t xml:space="preserve">Just over a quarter </w:t>
      </w:r>
      <w:r w:rsidR="00E41271" w:rsidRPr="00933FEF">
        <w:rPr>
          <w:rFonts w:asciiTheme="minorHAnsi" w:hAnsiTheme="minorHAnsi" w:cs="Calibri"/>
          <w:sz w:val="20"/>
          <w:szCs w:val="20"/>
        </w:rPr>
        <w:t xml:space="preserve">of these </w:t>
      </w:r>
      <w:r w:rsidR="00144B0D">
        <w:rPr>
          <w:rFonts w:asciiTheme="minorHAnsi" w:hAnsiTheme="minorHAnsi" w:cs="Calibri"/>
          <w:sz w:val="20"/>
          <w:szCs w:val="20"/>
        </w:rPr>
        <w:t xml:space="preserve">were </w:t>
      </w:r>
      <w:r w:rsidR="00144B0D" w:rsidRPr="00045CF5">
        <w:rPr>
          <w:rFonts w:asciiTheme="minorHAnsi" w:hAnsiTheme="minorHAnsi" w:cs="Calibri"/>
          <w:sz w:val="20"/>
          <w:szCs w:val="20"/>
        </w:rPr>
        <w:t>enrolled</w:t>
      </w:r>
      <w:r w:rsidR="008258C1" w:rsidRPr="00045CF5">
        <w:rPr>
          <w:rFonts w:asciiTheme="minorHAnsi" w:hAnsiTheme="minorHAnsi" w:cs="Calibri"/>
          <w:sz w:val="20"/>
          <w:szCs w:val="20"/>
        </w:rPr>
        <w:t xml:space="preserve"> </w:t>
      </w:r>
      <w:r w:rsidR="0094028A">
        <w:rPr>
          <w:rFonts w:asciiTheme="minorHAnsi" w:hAnsiTheme="minorHAnsi" w:cs="Calibri"/>
          <w:sz w:val="20"/>
          <w:szCs w:val="20"/>
        </w:rPr>
        <w:t>in</w:t>
      </w:r>
      <w:r w:rsidR="008258C1" w:rsidRPr="00045CF5">
        <w:rPr>
          <w:rFonts w:asciiTheme="minorHAnsi" w:hAnsiTheme="minorHAnsi" w:cs="Calibri"/>
          <w:sz w:val="20"/>
          <w:szCs w:val="20"/>
        </w:rPr>
        <w:t xml:space="preserve"> </w:t>
      </w:r>
      <w:r w:rsidR="008258C1" w:rsidRPr="00617207">
        <w:rPr>
          <w:rFonts w:asciiTheme="minorHAnsi" w:hAnsiTheme="minorHAnsi" w:cs="Calibri"/>
          <w:sz w:val="20"/>
          <w:szCs w:val="20"/>
        </w:rPr>
        <w:t xml:space="preserve">offshore </w:t>
      </w:r>
      <w:r w:rsidR="0094028A">
        <w:rPr>
          <w:rFonts w:asciiTheme="minorHAnsi" w:hAnsiTheme="minorHAnsi" w:cs="Calibri"/>
          <w:sz w:val="20"/>
          <w:szCs w:val="20"/>
        </w:rPr>
        <w:t>program</w:t>
      </w:r>
      <w:r w:rsidR="008258C1" w:rsidRPr="00617207">
        <w:rPr>
          <w:rFonts w:asciiTheme="minorHAnsi" w:hAnsiTheme="minorHAnsi" w:cs="Calibri"/>
          <w:sz w:val="20"/>
          <w:szCs w:val="20"/>
        </w:rPr>
        <w:t>s</w:t>
      </w:r>
      <w:r w:rsidR="00144B0D">
        <w:rPr>
          <w:rFonts w:asciiTheme="minorHAnsi" w:hAnsiTheme="minorHAnsi" w:cs="Calibri"/>
          <w:sz w:val="20"/>
          <w:szCs w:val="20"/>
        </w:rPr>
        <w:t xml:space="preserve">, and a further 13,537 were </w:t>
      </w:r>
      <w:r w:rsidR="00F349B4">
        <w:rPr>
          <w:rFonts w:asciiTheme="minorHAnsi" w:hAnsiTheme="minorHAnsi" w:cs="Calibri"/>
          <w:sz w:val="20"/>
          <w:szCs w:val="20"/>
        </w:rPr>
        <w:t xml:space="preserve">offshore </w:t>
      </w:r>
      <w:r w:rsidR="00144B0D">
        <w:rPr>
          <w:rFonts w:asciiTheme="minorHAnsi" w:hAnsiTheme="minorHAnsi" w:cs="Calibri"/>
          <w:sz w:val="20"/>
          <w:szCs w:val="20"/>
        </w:rPr>
        <w:t>distance education students</w:t>
      </w:r>
      <w:r w:rsidR="00F349B4">
        <w:rPr>
          <w:rFonts w:asciiTheme="minorHAnsi" w:hAnsiTheme="minorHAnsi" w:cs="Calibri"/>
          <w:sz w:val="20"/>
          <w:szCs w:val="20"/>
        </w:rPr>
        <w:t xml:space="preserve"> </w:t>
      </w:r>
      <w:r w:rsidR="00C7401C" w:rsidRPr="00617207">
        <w:rPr>
          <w:rFonts w:asciiTheme="minorHAnsi" w:hAnsiTheme="minorHAnsi" w:cs="Calibri"/>
          <w:sz w:val="20"/>
          <w:szCs w:val="20"/>
        </w:rPr>
        <w:t>(see table).</w:t>
      </w:r>
      <w:r w:rsidR="00C7401C" w:rsidRPr="00617207">
        <w:rPr>
          <w:rFonts w:asciiTheme="minorHAnsi" w:hAnsiTheme="minorHAnsi" w:cs="Calibri"/>
          <w:noProof/>
          <w:sz w:val="20"/>
          <w:szCs w:val="20"/>
        </w:rPr>
        <w:t xml:space="preserve"> </w:t>
      </w:r>
      <w:r w:rsidR="00F349B4">
        <w:rPr>
          <w:rFonts w:asciiTheme="minorHAnsi" w:hAnsiTheme="minorHAnsi" w:cs="Calibri"/>
          <w:noProof/>
          <w:sz w:val="20"/>
          <w:szCs w:val="20"/>
        </w:rPr>
        <w:t xml:space="preserve"> In total, 109,541 transnational students represent 30.2% of all higher education international students in 2015.</w:t>
      </w:r>
    </w:p>
    <w:p w:rsidR="00CC2C01" w:rsidRDefault="001367F8" w:rsidP="00366382">
      <w:pPr>
        <w:pStyle w:val="Default"/>
        <w:ind w:right="68"/>
        <w:jc w:val="both"/>
        <w:rPr>
          <w:rFonts w:asciiTheme="minorHAnsi" w:hAnsiTheme="minorHAnsi" w:cs="Calibri"/>
          <w:b/>
          <w:noProof/>
          <w:sz w:val="20"/>
          <w:szCs w:val="20"/>
        </w:rPr>
      </w:pPr>
      <w:r>
        <w:rPr>
          <w:rFonts w:asciiTheme="minorHAnsi" w:hAnsiTheme="minorHAnsi" w:cs="Calibri"/>
          <w:b/>
          <w:noProof/>
          <w:sz w:val="20"/>
          <w:szCs w:val="20"/>
        </w:rPr>
        <w:t>Level of s</w:t>
      </w:r>
      <w:r w:rsidR="00CC2C01" w:rsidRPr="00CC2C01">
        <w:rPr>
          <w:rFonts w:asciiTheme="minorHAnsi" w:hAnsiTheme="minorHAnsi" w:cs="Calibri"/>
          <w:b/>
          <w:noProof/>
          <w:sz w:val="20"/>
          <w:szCs w:val="20"/>
        </w:rPr>
        <w:t>tudy and field of education</w:t>
      </w:r>
    </w:p>
    <w:p w:rsidR="00E25FCA" w:rsidRDefault="00386C9E" w:rsidP="005E29DD">
      <w:pPr>
        <w:pStyle w:val="Default"/>
        <w:tabs>
          <w:tab w:val="left" w:pos="5812"/>
          <w:tab w:val="left" w:pos="5954"/>
        </w:tabs>
        <w:spacing w:after="120"/>
        <w:jc w:val="both"/>
        <w:rPr>
          <w:noProof/>
        </w:rPr>
      </w:pPr>
      <w:r w:rsidRPr="00843715">
        <w:rPr>
          <w:rFonts w:asciiTheme="minorHAnsi" w:hAnsiTheme="minorHAnsi" w:cs="Calibri"/>
          <w:noProof/>
          <w:sz w:val="20"/>
          <w:szCs w:val="20"/>
        </w:rPr>
        <w:t>In 201</w:t>
      </w:r>
      <w:r w:rsidR="00C331FE" w:rsidRPr="00843715">
        <w:rPr>
          <w:rFonts w:asciiTheme="minorHAnsi" w:hAnsiTheme="minorHAnsi" w:cs="Calibri"/>
          <w:noProof/>
          <w:sz w:val="20"/>
          <w:szCs w:val="20"/>
        </w:rPr>
        <w:t>5</w:t>
      </w:r>
      <w:r w:rsidRPr="00843715">
        <w:rPr>
          <w:rFonts w:asciiTheme="minorHAnsi" w:hAnsiTheme="minorHAnsi" w:cs="Calibri"/>
          <w:noProof/>
          <w:sz w:val="20"/>
          <w:szCs w:val="20"/>
        </w:rPr>
        <w:t>, t</w:t>
      </w:r>
      <w:r w:rsidR="00545C0B" w:rsidRPr="00843715">
        <w:rPr>
          <w:rFonts w:asciiTheme="minorHAnsi" w:hAnsiTheme="minorHAnsi" w:cs="Calibri"/>
          <w:noProof/>
          <w:sz w:val="20"/>
          <w:szCs w:val="20"/>
        </w:rPr>
        <w:t xml:space="preserve">he top levels of study </w:t>
      </w:r>
      <w:r w:rsidR="001B3657" w:rsidRPr="00843715">
        <w:rPr>
          <w:rFonts w:asciiTheme="minorHAnsi" w:hAnsiTheme="minorHAnsi" w:cs="Calibri"/>
          <w:noProof/>
          <w:sz w:val="20"/>
          <w:szCs w:val="20"/>
        </w:rPr>
        <w:t xml:space="preserve">for transnational students </w:t>
      </w:r>
      <w:r w:rsidR="00545C0B" w:rsidRPr="00843715">
        <w:rPr>
          <w:rFonts w:asciiTheme="minorHAnsi" w:hAnsiTheme="minorHAnsi" w:cs="Calibri"/>
          <w:noProof/>
          <w:sz w:val="20"/>
          <w:szCs w:val="20"/>
        </w:rPr>
        <w:t>were Bachelor</w:t>
      </w:r>
      <w:r w:rsidR="0004376A" w:rsidRPr="00843715">
        <w:rPr>
          <w:rFonts w:asciiTheme="minorHAnsi" w:hAnsiTheme="minorHAnsi" w:cs="Calibri"/>
          <w:noProof/>
          <w:sz w:val="20"/>
          <w:szCs w:val="20"/>
        </w:rPr>
        <w:t>s</w:t>
      </w:r>
      <w:r w:rsidR="00545C0B" w:rsidRPr="00843715">
        <w:rPr>
          <w:rFonts w:asciiTheme="minorHAnsi" w:hAnsiTheme="minorHAnsi" w:cs="Calibri"/>
          <w:noProof/>
          <w:sz w:val="20"/>
          <w:szCs w:val="20"/>
        </w:rPr>
        <w:t xml:space="preserve"> degree (</w:t>
      </w:r>
      <w:r w:rsidR="00843715" w:rsidRPr="00843715">
        <w:rPr>
          <w:rFonts w:asciiTheme="minorHAnsi" w:hAnsiTheme="minorHAnsi" w:cs="Calibri"/>
          <w:noProof/>
          <w:sz w:val="20"/>
          <w:szCs w:val="20"/>
        </w:rPr>
        <w:t>66.9</w:t>
      </w:r>
      <w:r w:rsidR="001B3657" w:rsidRPr="00843715">
        <w:rPr>
          <w:rFonts w:asciiTheme="minorHAnsi" w:hAnsiTheme="minorHAnsi" w:cs="Calibri"/>
          <w:noProof/>
          <w:sz w:val="20"/>
          <w:szCs w:val="20"/>
        </w:rPr>
        <w:t>%</w:t>
      </w:r>
      <w:r w:rsidR="00545C0B" w:rsidRPr="00843715">
        <w:rPr>
          <w:rFonts w:asciiTheme="minorHAnsi" w:hAnsiTheme="minorHAnsi" w:cs="Calibri"/>
          <w:noProof/>
          <w:sz w:val="20"/>
          <w:szCs w:val="20"/>
        </w:rPr>
        <w:t xml:space="preserve">) </w:t>
      </w:r>
      <w:r w:rsidR="00500B2A" w:rsidRPr="00843715">
        <w:rPr>
          <w:rFonts w:asciiTheme="minorHAnsi" w:hAnsiTheme="minorHAnsi" w:cs="Calibri"/>
          <w:noProof/>
          <w:sz w:val="20"/>
          <w:szCs w:val="20"/>
        </w:rPr>
        <w:t xml:space="preserve">and </w:t>
      </w:r>
      <w:r w:rsidR="00AE2E2B" w:rsidRPr="00843715">
        <w:rPr>
          <w:rFonts w:asciiTheme="minorHAnsi" w:hAnsiTheme="minorHAnsi" w:cs="Calibri"/>
          <w:noProof/>
          <w:sz w:val="20"/>
          <w:szCs w:val="20"/>
        </w:rPr>
        <w:t>M</w:t>
      </w:r>
      <w:r w:rsidR="001B3657" w:rsidRPr="00843715">
        <w:rPr>
          <w:rFonts w:asciiTheme="minorHAnsi" w:hAnsiTheme="minorHAnsi" w:cs="Calibri"/>
          <w:noProof/>
          <w:sz w:val="20"/>
          <w:szCs w:val="20"/>
        </w:rPr>
        <w:t xml:space="preserve">asters degree </w:t>
      </w:r>
      <w:r w:rsidR="00545C0B" w:rsidRPr="00843715">
        <w:rPr>
          <w:rFonts w:asciiTheme="minorHAnsi" w:hAnsiTheme="minorHAnsi" w:cs="Calibri"/>
          <w:noProof/>
          <w:sz w:val="20"/>
          <w:szCs w:val="20"/>
        </w:rPr>
        <w:t xml:space="preserve">by </w:t>
      </w:r>
      <w:r w:rsidR="001B3657" w:rsidRPr="00843715">
        <w:rPr>
          <w:rFonts w:asciiTheme="minorHAnsi" w:hAnsiTheme="minorHAnsi" w:cs="Calibri"/>
          <w:noProof/>
          <w:sz w:val="20"/>
          <w:szCs w:val="20"/>
        </w:rPr>
        <w:t>coursework (2</w:t>
      </w:r>
      <w:r w:rsidR="00843715" w:rsidRPr="00843715">
        <w:rPr>
          <w:rFonts w:asciiTheme="minorHAnsi" w:hAnsiTheme="minorHAnsi" w:cs="Calibri"/>
          <w:noProof/>
          <w:sz w:val="20"/>
          <w:szCs w:val="20"/>
        </w:rPr>
        <w:t>0</w:t>
      </w:r>
      <w:r w:rsidR="001B3657" w:rsidRPr="00843715">
        <w:rPr>
          <w:rFonts w:asciiTheme="minorHAnsi" w:hAnsiTheme="minorHAnsi" w:cs="Calibri"/>
          <w:noProof/>
          <w:sz w:val="20"/>
          <w:szCs w:val="20"/>
        </w:rPr>
        <w:t>.1%)</w:t>
      </w:r>
      <w:r w:rsidR="00545C0B" w:rsidRPr="00843715">
        <w:rPr>
          <w:rFonts w:asciiTheme="minorHAnsi" w:hAnsiTheme="minorHAnsi" w:cs="Calibri"/>
          <w:noProof/>
          <w:sz w:val="20"/>
          <w:szCs w:val="20"/>
        </w:rPr>
        <w:t xml:space="preserve"> </w:t>
      </w:r>
      <w:r w:rsidR="001B3657" w:rsidRPr="00843715">
        <w:rPr>
          <w:rFonts w:asciiTheme="minorHAnsi" w:hAnsiTheme="minorHAnsi" w:cs="Calibri"/>
          <w:noProof/>
          <w:sz w:val="20"/>
          <w:szCs w:val="20"/>
        </w:rPr>
        <w:t xml:space="preserve"> (</w:t>
      </w:r>
      <w:r w:rsidR="001B3657" w:rsidRPr="00394C63">
        <w:rPr>
          <w:rFonts w:asciiTheme="minorHAnsi" w:hAnsiTheme="minorHAnsi" w:cs="Calibri"/>
          <w:noProof/>
          <w:sz w:val="20"/>
          <w:szCs w:val="20"/>
        </w:rPr>
        <w:t xml:space="preserve">Figure 1). </w:t>
      </w:r>
      <w:r w:rsidR="00581468">
        <w:rPr>
          <w:rFonts w:asciiTheme="minorHAnsi" w:hAnsiTheme="minorHAnsi" w:cs="Calibri"/>
          <w:noProof/>
          <w:sz w:val="20"/>
          <w:szCs w:val="20"/>
        </w:rPr>
        <w:t>Among transnational students t</w:t>
      </w:r>
      <w:r w:rsidR="001B3657" w:rsidRPr="00394C63">
        <w:rPr>
          <w:rFonts w:asciiTheme="minorHAnsi" w:hAnsiTheme="minorHAnsi" w:cs="Calibri"/>
          <w:noProof/>
          <w:sz w:val="20"/>
          <w:szCs w:val="20"/>
        </w:rPr>
        <w:t xml:space="preserve">he </w:t>
      </w:r>
      <w:r w:rsidR="00777713" w:rsidRPr="00394C63">
        <w:rPr>
          <w:rFonts w:asciiTheme="minorHAnsi" w:hAnsiTheme="minorHAnsi" w:cs="Calibri"/>
          <w:noProof/>
          <w:sz w:val="20"/>
          <w:szCs w:val="20"/>
        </w:rPr>
        <w:t>most popular</w:t>
      </w:r>
      <w:r w:rsidR="001B3657" w:rsidRPr="00394C63">
        <w:rPr>
          <w:rFonts w:asciiTheme="minorHAnsi" w:hAnsiTheme="minorHAnsi" w:cs="Calibri"/>
          <w:noProof/>
          <w:sz w:val="20"/>
          <w:szCs w:val="20"/>
        </w:rPr>
        <w:t xml:space="preserve"> fields of education were: Management and Commerce</w:t>
      </w:r>
      <w:r w:rsidR="006C657A" w:rsidRPr="00394C63">
        <w:rPr>
          <w:rFonts w:asciiTheme="minorHAnsi" w:hAnsiTheme="minorHAnsi" w:cs="Calibri"/>
          <w:noProof/>
          <w:sz w:val="20"/>
          <w:szCs w:val="20"/>
        </w:rPr>
        <w:t xml:space="preserve"> (5</w:t>
      </w:r>
      <w:r w:rsidR="00AE2E2B" w:rsidRPr="00394C63">
        <w:rPr>
          <w:rFonts w:asciiTheme="minorHAnsi" w:hAnsiTheme="minorHAnsi" w:cs="Calibri"/>
          <w:noProof/>
          <w:sz w:val="20"/>
          <w:szCs w:val="20"/>
        </w:rPr>
        <w:t>8.</w:t>
      </w:r>
      <w:r w:rsidR="00394C63" w:rsidRPr="00394C63">
        <w:rPr>
          <w:rFonts w:asciiTheme="minorHAnsi" w:hAnsiTheme="minorHAnsi" w:cs="Calibri"/>
          <w:noProof/>
          <w:sz w:val="20"/>
          <w:szCs w:val="20"/>
        </w:rPr>
        <w:t>5</w:t>
      </w:r>
      <w:r w:rsidR="00AE2E2B" w:rsidRPr="00394C63">
        <w:rPr>
          <w:rFonts w:asciiTheme="minorHAnsi" w:hAnsiTheme="minorHAnsi" w:cs="Calibri"/>
          <w:noProof/>
          <w:sz w:val="20"/>
          <w:szCs w:val="20"/>
        </w:rPr>
        <w:t>%), Engineering and R</w:t>
      </w:r>
      <w:r w:rsidR="00777713" w:rsidRPr="00394C63">
        <w:rPr>
          <w:rFonts w:asciiTheme="minorHAnsi" w:hAnsiTheme="minorHAnsi" w:cs="Calibri"/>
          <w:noProof/>
          <w:sz w:val="20"/>
          <w:szCs w:val="20"/>
        </w:rPr>
        <w:t>elated T</w:t>
      </w:r>
      <w:r w:rsidR="006C657A" w:rsidRPr="00394C63">
        <w:rPr>
          <w:rFonts w:asciiTheme="minorHAnsi" w:hAnsiTheme="minorHAnsi" w:cs="Calibri"/>
          <w:noProof/>
          <w:sz w:val="20"/>
          <w:szCs w:val="20"/>
        </w:rPr>
        <w:t>echnologies (8.</w:t>
      </w:r>
      <w:r w:rsidR="00394C63" w:rsidRPr="00394C63">
        <w:rPr>
          <w:rFonts w:asciiTheme="minorHAnsi" w:hAnsiTheme="minorHAnsi" w:cs="Calibri"/>
          <w:noProof/>
          <w:sz w:val="20"/>
          <w:szCs w:val="20"/>
        </w:rPr>
        <w:t>9</w:t>
      </w:r>
      <w:r w:rsidR="006C657A" w:rsidRPr="00394C63">
        <w:rPr>
          <w:rFonts w:asciiTheme="minorHAnsi" w:hAnsiTheme="minorHAnsi" w:cs="Calibri"/>
          <w:noProof/>
          <w:sz w:val="20"/>
          <w:szCs w:val="20"/>
        </w:rPr>
        <w:t>%), Society and Culture (7.</w:t>
      </w:r>
      <w:r w:rsidR="00394C63" w:rsidRPr="00394C63">
        <w:rPr>
          <w:rFonts w:asciiTheme="minorHAnsi" w:hAnsiTheme="minorHAnsi" w:cs="Calibri"/>
          <w:noProof/>
          <w:sz w:val="20"/>
          <w:szCs w:val="20"/>
        </w:rPr>
        <w:t>8</w:t>
      </w:r>
      <w:r w:rsidR="006C657A" w:rsidRPr="00394C63">
        <w:rPr>
          <w:rFonts w:asciiTheme="minorHAnsi" w:hAnsiTheme="minorHAnsi" w:cs="Calibri"/>
          <w:noProof/>
          <w:sz w:val="20"/>
          <w:szCs w:val="20"/>
        </w:rPr>
        <w:t>%), Information Technology (6.</w:t>
      </w:r>
      <w:r w:rsidR="00394C63" w:rsidRPr="00394C63">
        <w:rPr>
          <w:rFonts w:asciiTheme="minorHAnsi" w:hAnsiTheme="minorHAnsi" w:cs="Calibri"/>
          <w:noProof/>
          <w:sz w:val="20"/>
          <w:szCs w:val="20"/>
        </w:rPr>
        <w:t>4</w:t>
      </w:r>
      <w:r w:rsidR="00581468">
        <w:rPr>
          <w:rFonts w:asciiTheme="minorHAnsi" w:hAnsiTheme="minorHAnsi" w:cs="Calibri"/>
          <w:noProof/>
          <w:sz w:val="20"/>
          <w:szCs w:val="20"/>
        </w:rPr>
        <w:t>%)</w:t>
      </w:r>
      <w:r w:rsidR="006C657A" w:rsidRPr="00394C63">
        <w:rPr>
          <w:rFonts w:asciiTheme="minorHAnsi" w:hAnsiTheme="minorHAnsi" w:cs="Calibri"/>
          <w:noProof/>
          <w:sz w:val="20"/>
          <w:szCs w:val="20"/>
        </w:rPr>
        <w:t xml:space="preserve"> and Health (</w:t>
      </w:r>
      <w:r w:rsidR="00394C63" w:rsidRPr="00394C63">
        <w:rPr>
          <w:rFonts w:asciiTheme="minorHAnsi" w:hAnsiTheme="minorHAnsi" w:cs="Calibri"/>
          <w:noProof/>
          <w:sz w:val="20"/>
          <w:szCs w:val="20"/>
        </w:rPr>
        <w:t>5.3</w:t>
      </w:r>
      <w:r w:rsidR="006C657A" w:rsidRPr="00394C63">
        <w:rPr>
          <w:rFonts w:asciiTheme="minorHAnsi" w:hAnsiTheme="minorHAnsi" w:cs="Calibri"/>
          <w:noProof/>
          <w:sz w:val="20"/>
          <w:szCs w:val="20"/>
        </w:rPr>
        <w:t>%).</w:t>
      </w:r>
      <w:r w:rsidR="00C4731C" w:rsidRPr="00C4731C">
        <w:rPr>
          <w:noProof/>
        </w:rPr>
        <w:t xml:space="preserve"> </w:t>
      </w:r>
    </w:p>
    <w:p w:rsidR="00E25FCA" w:rsidRDefault="006C657A" w:rsidP="00366382">
      <w:pPr>
        <w:pStyle w:val="Default"/>
        <w:ind w:right="68"/>
        <w:jc w:val="both"/>
        <w:rPr>
          <w:rFonts w:asciiTheme="minorHAnsi" w:hAnsiTheme="minorHAnsi" w:cs="Calibri"/>
          <w:b/>
          <w:sz w:val="20"/>
          <w:szCs w:val="20"/>
        </w:rPr>
      </w:pPr>
      <w:r w:rsidRPr="006C657A">
        <w:rPr>
          <w:rFonts w:asciiTheme="minorHAnsi" w:hAnsiTheme="minorHAnsi" w:cs="Calibri"/>
          <w:b/>
          <w:sz w:val="20"/>
          <w:szCs w:val="20"/>
        </w:rPr>
        <w:t>Age</w:t>
      </w:r>
      <w:r w:rsidR="00462AA8">
        <w:rPr>
          <w:rFonts w:asciiTheme="minorHAnsi" w:hAnsiTheme="minorHAnsi" w:cs="Calibri"/>
          <w:b/>
          <w:sz w:val="20"/>
          <w:szCs w:val="20"/>
        </w:rPr>
        <w:t xml:space="preserve"> </w:t>
      </w:r>
    </w:p>
    <w:p w:rsidR="00E25FCA" w:rsidRPr="00E25FCA" w:rsidRDefault="00C02261" w:rsidP="00366382">
      <w:pPr>
        <w:pStyle w:val="Default"/>
        <w:spacing w:after="120"/>
        <w:ind w:right="68"/>
        <w:jc w:val="both"/>
        <w:rPr>
          <w:rFonts w:asciiTheme="minorHAnsi" w:hAnsiTheme="minorHAnsi" w:cs="Calibri"/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3421380</wp:posOffset>
            </wp:positionH>
            <wp:positionV relativeFrom="paragraph">
              <wp:posOffset>501650</wp:posOffset>
            </wp:positionV>
            <wp:extent cx="3467100" cy="2307590"/>
            <wp:effectExtent l="0" t="0" r="0" b="0"/>
            <wp:wrapSquare wrapText="bothSides"/>
            <wp:docPr id="4" name="Picture 4" descr="The figure illustartes  the changing patterns of transnational students in the top five countries in 2015. The top five countries were: Singapore, China, Malaysia, Vietnam and Hong Kong." title="Figure2: Transnational students by country (2010-201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7100" cy="2307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7994" w:rsidRPr="002143AC">
        <w:rPr>
          <w:rFonts w:asciiTheme="minorHAnsi" w:hAnsiTheme="minorHAnsi" w:cs="Calibri"/>
          <w:sz w:val="20"/>
          <w:szCs w:val="20"/>
        </w:rPr>
        <w:t>T</w:t>
      </w:r>
      <w:r w:rsidR="000668AE" w:rsidRPr="002143AC">
        <w:rPr>
          <w:rFonts w:asciiTheme="minorHAnsi" w:hAnsiTheme="minorHAnsi" w:cs="Calibri"/>
          <w:sz w:val="20"/>
          <w:szCs w:val="20"/>
        </w:rPr>
        <w:t xml:space="preserve">he most common age range for transnational students </w:t>
      </w:r>
      <w:r w:rsidR="00A07994" w:rsidRPr="002143AC">
        <w:rPr>
          <w:rFonts w:asciiTheme="minorHAnsi" w:hAnsiTheme="minorHAnsi" w:cs="Calibri"/>
          <w:sz w:val="20"/>
          <w:szCs w:val="20"/>
        </w:rPr>
        <w:t>in 201</w:t>
      </w:r>
      <w:r w:rsidR="002143AC" w:rsidRPr="002143AC">
        <w:rPr>
          <w:rFonts w:asciiTheme="minorHAnsi" w:hAnsiTheme="minorHAnsi" w:cs="Calibri"/>
          <w:sz w:val="20"/>
          <w:szCs w:val="20"/>
        </w:rPr>
        <w:t>5</w:t>
      </w:r>
      <w:r w:rsidR="00A07994" w:rsidRPr="002143AC">
        <w:rPr>
          <w:rFonts w:asciiTheme="minorHAnsi" w:hAnsiTheme="minorHAnsi" w:cs="Calibri"/>
          <w:sz w:val="20"/>
          <w:szCs w:val="20"/>
        </w:rPr>
        <w:t xml:space="preserve"> </w:t>
      </w:r>
      <w:r w:rsidR="000668AE" w:rsidRPr="002143AC">
        <w:rPr>
          <w:rFonts w:asciiTheme="minorHAnsi" w:hAnsiTheme="minorHAnsi" w:cs="Calibri"/>
          <w:sz w:val="20"/>
          <w:szCs w:val="20"/>
        </w:rPr>
        <w:t>was</w:t>
      </w:r>
      <w:r w:rsidR="00500B2A" w:rsidRPr="002143AC">
        <w:rPr>
          <w:rFonts w:asciiTheme="minorHAnsi" w:hAnsiTheme="minorHAnsi" w:cs="Calibri"/>
          <w:sz w:val="20"/>
          <w:szCs w:val="20"/>
        </w:rPr>
        <w:t xml:space="preserve"> between 19 and 22</w:t>
      </w:r>
      <w:r w:rsidR="002141F9" w:rsidRPr="002143AC">
        <w:rPr>
          <w:rFonts w:asciiTheme="minorHAnsi" w:hAnsiTheme="minorHAnsi" w:cs="Calibri"/>
          <w:sz w:val="20"/>
          <w:szCs w:val="20"/>
        </w:rPr>
        <w:t xml:space="preserve"> years</w:t>
      </w:r>
      <w:r w:rsidR="002143AC" w:rsidRPr="002143AC">
        <w:rPr>
          <w:rFonts w:asciiTheme="minorHAnsi" w:hAnsiTheme="minorHAnsi" w:cs="Calibri"/>
          <w:sz w:val="20"/>
          <w:szCs w:val="20"/>
        </w:rPr>
        <w:t xml:space="preserve"> (46.7%)</w:t>
      </w:r>
      <w:r w:rsidR="00500B2A" w:rsidRPr="002143AC">
        <w:rPr>
          <w:rFonts w:asciiTheme="minorHAnsi" w:hAnsiTheme="minorHAnsi" w:cs="Calibri"/>
          <w:sz w:val="20"/>
          <w:szCs w:val="20"/>
        </w:rPr>
        <w:t xml:space="preserve">. </w:t>
      </w:r>
      <w:r w:rsidR="000668AE" w:rsidRPr="002143AC">
        <w:rPr>
          <w:rFonts w:asciiTheme="minorHAnsi" w:hAnsiTheme="minorHAnsi" w:cs="Calibri"/>
          <w:sz w:val="20"/>
          <w:szCs w:val="20"/>
        </w:rPr>
        <w:t xml:space="preserve">International students studying in Australia tended to be slightly older, with </w:t>
      </w:r>
      <w:r w:rsidR="002141F9" w:rsidRPr="002143AC">
        <w:rPr>
          <w:rFonts w:asciiTheme="minorHAnsi" w:hAnsiTheme="minorHAnsi" w:cs="Calibri"/>
          <w:sz w:val="20"/>
          <w:szCs w:val="20"/>
        </w:rPr>
        <w:t xml:space="preserve">the </w:t>
      </w:r>
      <w:r w:rsidR="002143AC" w:rsidRPr="002143AC">
        <w:rPr>
          <w:rFonts w:asciiTheme="minorHAnsi" w:hAnsiTheme="minorHAnsi" w:cs="Calibri"/>
          <w:sz w:val="20"/>
          <w:szCs w:val="20"/>
        </w:rPr>
        <w:t xml:space="preserve">half of them </w:t>
      </w:r>
      <w:r w:rsidR="000668AE" w:rsidRPr="002143AC">
        <w:rPr>
          <w:rFonts w:asciiTheme="minorHAnsi" w:hAnsiTheme="minorHAnsi" w:cs="Calibri"/>
          <w:sz w:val="20"/>
          <w:szCs w:val="20"/>
        </w:rPr>
        <w:t>aged between</w:t>
      </w:r>
      <w:r w:rsidR="00500B2A" w:rsidRPr="002143AC">
        <w:rPr>
          <w:rFonts w:asciiTheme="minorHAnsi" w:hAnsiTheme="minorHAnsi" w:cs="Calibri"/>
          <w:sz w:val="20"/>
          <w:szCs w:val="20"/>
        </w:rPr>
        <w:t xml:space="preserve"> 20</w:t>
      </w:r>
      <w:r w:rsidR="000D5513" w:rsidRPr="002143AC">
        <w:rPr>
          <w:rFonts w:asciiTheme="minorHAnsi" w:hAnsiTheme="minorHAnsi" w:cs="Calibri"/>
          <w:sz w:val="20"/>
          <w:szCs w:val="20"/>
        </w:rPr>
        <w:t xml:space="preserve"> and 24</w:t>
      </w:r>
      <w:r w:rsidR="002143AC">
        <w:rPr>
          <w:rFonts w:asciiTheme="minorHAnsi" w:hAnsiTheme="minorHAnsi" w:cs="Calibri"/>
          <w:sz w:val="20"/>
          <w:szCs w:val="20"/>
        </w:rPr>
        <w:t xml:space="preserve"> (</w:t>
      </w:r>
      <w:r w:rsidR="00ED4E6C">
        <w:rPr>
          <w:rFonts w:asciiTheme="minorHAnsi" w:hAnsiTheme="minorHAnsi" w:cs="Calibri"/>
          <w:sz w:val="20"/>
          <w:szCs w:val="20"/>
        </w:rPr>
        <w:t>53.7</w:t>
      </w:r>
      <w:r w:rsidR="002143AC">
        <w:rPr>
          <w:rFonts w:asciiTheme="minorHAnsi" w:hAnsiTheme="minorHAnsi" w:cs="Calibri"/>
          <w:sz w:val="20"/>
          <w:szCs w:val="20"/>
        </w:rPr>
        <w:t>%)</w:t>
      </w:r>
      <w:r w:rsidR="00976EA5">
        <w:rPr>
          <w:rFonts w:asciiTheme="minorHAnsi" w:hAnsiTheme="minorHAnsi" w:cs="Calibri"/>
          <w:sz w:val="20"/>
          <w:szCs w:val="20"/>
        </w:rPr>
        <w:t>.</w:t>
      </w:r>
      <w:r w:rsidR="000D5513">
        <w:rPr>
          <w:rFonts w:asciiTheme="minorHAnsi" w:hAnsiTheme="minorHAnsi" w:cs="Calibri"/>
          <w:sz w:val="20"/>
          <w:szCs w:val="20"/>
        </w:rPr>
        <w:t xml:space="preserve"> </w:t>
      </w:r>
    </w:p>
    <w:p w:rsidR="006C657A" w:rsidRDefault="006C657A" w:rsidP="00366382">
      <w:pPr>
        <w:pStyle w:val="Default"/>
        <w:ind w:right="68"/>
        <w:jc w:val="both"/>
        <w:rPr>
          <w:rFonts w:asciiTheme="minorHAnsi" w:hAnsiTheme="minorHAnsi" w:cs="Calibri"/>
          <w:b/>
          <w:sz w:val="20"/>
          <w:szCs w:val="20"/>
        </w:rPr>
      </w:pPr>
      <w:r>
        <w:rPr>
          <w:rFonts w:asciiTheme="minorHAnsi" w:hAnsiTheme="minorHAnsi" w:cs="Calibri"/>
          <w:b/>
          <w:sz w:val="20"/>
          <w:szCs w:val="20"/>
        </w:rPr>
        <w:t>Nationality and Gender</w:t>
      </w:r>
    </w:p>
    <w:p w:rsidR="00366382" w:rsidRPr="00482F6F" w:rsidRDefault="003137A6" w:rsidP="00366382">
      <w:pPr>
        <w:pStyle w:val="Default"/>
        <w:spacing w:after="120"/>
        <w:ind w:right="68"/>
        <w:jc w:val="both"/>
        <w:rPr>
          <w:rFonts w:asciiTheme="minorHAnsi" w:hAnsiTheme="minorHAnsi" w:cs="Calibri"/>
          <w:sz w:val="20"/>
          <w:szCs w:val="20"/>
        </w:rPr>
      </w:pPr>
      <w:r w:rsidRPr="00B44B18">
        <w:rPr>
          <w:rFonts w:asciiTheme="minorHAnsi" w:hAnsiTheme="minorHAnsi" w:cs="Calibri"/>
          <w:sz w:val="20"/>
          <w:szCs w:val="20"/>
        </w:rPr>
        <w:t>Figure 2</w:t>
      </w:r>
      <w:r w:rsidR="00645ECA" w:rsidRPr="00B44B18">
        <w:rPr>
          <w:rFonts w:asciiTheme="minorHAnsi" w:hAnsiTheme="minorHAnsi" w:cs="Calibri"/>
          <w:sz w:val="20"/>
          <w:szCs w:val="20"/>
        </w:rPr>
        <w:t xml:space="preserve"> </w:t>
      </w:r>
      <w:r w:rsidRPr="00B44B18">
        <w:rPr>
          <w:rFonts w:asciiTheme="minorHAnsi" w:hAnsiTheme="minorHAnsi" w:cs="Calibri"/>
          <w:sz w:val="20"/>
          <w:szCs w:val="20"/>
        </w:rPr>
        <w:t xml:space="preserve">illustrates the </w:t>
      </w:r>
      <w:r w:rsidR="00AD5448" w:rsidRPr="00B44B18">
        <w:rPr>
          <w:rFonts w:asciiTheme="minorHAnsi" w:hAnsiTheme="minorHAnsi" w:cs="Calibri"/>
          <w:sz w:val="20"/>
          <w:szCs w:val="20"/>
        </w:rPr>
        <w:t>changing</w:t>
      </w:r>
      <w:r w:rsidRPr="00B44B18">
        <w:rPr>
          <w:rFonts w:asciiTheme="minorHAnsi" w:hAnsiTheme="minorHAnsi" w:cs="Calibri"/>
          <w:sz w:val="20"/>
          <w:szCs w:val="20"/>
        </w:rPr>
        <w:t xml:space="preserve"> </w:t>
      </w:r>
      <w:r w:rsidR="00695A16" w:rsidRPr="00B44B18">
        <w:rPr>
          <w:rFonts w:asciiTheme="minorHAnsi" w:hAnsiTheme="minorHAnsi" w:cs="Calibri"/>
          <w:sz w:val="20"/>
          <w:szCs w:val="20"/>
        </w:rPr>
        <w:t>patterns</w:t>
      </w:r>
      <w:r w:rsidR="00645ECA" w:rsidRPr="00B44B18">
        <w:rPr>
          <w:rFonts w:asciiTheme="minorHAnsi" w:hAnsiTheme="minorHAnsi" w:cs="Calibri"/>
          <w:sz w:val="20"/>
          <w:szCs w:val="20"/>
        </w:rPr>
        <w:t xml:space="preserve"> </w:t>
      </w:r>
      <w:r w:rsidRPr="00B44B18">
        <w:rPr>
          <w:rFonts w:asciiTheme="minorHAnsi" w:hAnsiTheme="minorHAnsi" w:cs="Calibri"/>
          <w:sz w:val="20"/>
          <w:szCs w:val="20"/>
        </w:rPr>
        <w:t xml:space="preserve">of </w:t>
      </w:r>
      <w:r w:rsidR="006A38E4" w:rsidRPr="00B44B18">
        <w:rPr>
          <w:rFonts w:asciiTheme="minorHAnsi" w:hAnsiTheme="minorHAnsi" w:cs="Calibri"/>
          <w:sz w:val="20"/>
          <w:szCs w:val="20"/>
        </w:rPr>
        <w:t xml:space="preserve">transnational </w:t>
      </w:r>
      <w:r w:rsidR="00AD5448" w:rsidRPr="00B44B18">
        <w:rPr>
          <w:rFonts w:asciiTheme="minorHAnsi" w:hAnsiTheme="minorHAnsi" w:cs="Calibri"/>
          <w:sz w:val="20"/>
          <w:szCs w:val="20"/>
        </w:rPr>
        <w:t>student</w:t>
      </w:r>
      <w:r w:rsidR="002B6B23" w:rsidRPr="00B44B18">
        <w:rPr>
          <w:rFonts w:asciiTheme="minorHAnsi" w:hAnsiTheme="minorHAnsi" w:cs="Calibri"/>
          <w:sz w:val="20"/>
          <w:szCs w:val="20"/>
        </w:rPr>
        <w:t>s</w:t>
      </w:r>
      <w:r w:rsidR="006A38E4" w:rsidRPr="00B44B18">
        <w:rPr>
          <w:rFonts w:asciiTheme="minorHAnsi" w:hAnsiTheme="minorHAnsi" w:cs="Calibri"/>
          <w:sz w:val="20"/>
          <w:szCs w:val="20"/>
        </w:rPr>
        <w:t xml:space="preserve"> </w:t>
      </w:r>
      <w:r w:rsidR="00136D62" w:rsidRPr="00B44B18">
        <w:rPr>
          <w:rFonts w:asciiTheme="minorHAnsi" w:hAnsiTheme="minorHAnsi" w:cs="Calibri"/>
          <w:sz w:val="20"/>
          <w:szCs w:val="20"/>
        </w:rPr>
        <w:t>in</w:t>
      </w:r>
      <w:r w:rsidR="00386C9E" w:rsidRPr="00B44B18">
        <w:rPr>
          <w:rFonts w:asciiTheme="minorHAnsi" w:hAnsiTheme="minorHAnsi" w:cs="Calibri"/>
          <w:sz w:val="20"/>
          <w:szCs w:val="20"/>
        </w:rPr>
        <w:t xml:space="preserve"> the top five countries</w:t>
      </w:r>
      <w:r w:rsidR="008C144B" w:rsidRPr="00B44B18">
        <w:rPr>
          <w:rFonts w:asciiTheme="minorHAnsi" w:hAnsiTheme="minorHAnsi" w:cs="Calibri"/>
          <w:sz w:val="20"/>
          <w:szCs w:val="20"/>
        </w:rPr>
        <w:t xml:space="preserve"> in 201</w:t>
      </w:r>
      <w:r w:rsidR="00B44B18" w:rsidRPr="00B44B18">
        <w:rPr>
          <w:rFonts w:asciiTheme="minorHAnsi" w:hAnsiTheme="minorHAnsi" w:cs="Calibri"/>
          <w:sz w:val="20"/>
          <w:szCs w:val="20"/>
        </w:rPr>
        <w:t>5</w:t>
      </w:r>
      <w:r w:rsidR="00386C9E" w:rsidRPr="00B44B18">
        <w:rPr>
          <w:rFonts w:asciiTheme="minorHAnsi" w:hAnsiTheme="minorHAnsi" w:cs="Calibri"/>
          <w:sz w:val="20"/>
          <w:szCs w:val="20"/>
        </w:rPr>
        <w:t xml:space="preserve">. </w:t>
      </w:r>
      <w:r w:rsidR="002B6B23" w:rsidRPr="00B44B18">
        <w:rPr>
          <w:rFonts w:asciiTheme="minorHAnsi" w:hAnsiTheme="minorHAnsi" w:cs="Calibri"/>
          <w:sz w:val="20"/>
          <w:szCs w:val="20"/>
        </w:rPr>
        <w:t>Th</w:t>
      </w:r>
      <w:r w:rsidR="000F6E15" w:rsidRPr="00B44B18">
        <w:rPr>
          <w:rFonts w:asciiTheme="minorHAnsi" w:hAnsiTheme="minorHAnsi" w:cs="Calibri"/>
          <w:sz w:val="20"/>
          <w:szCs w:val="20"/>
        </w:rPr>
        <w:t>ese</w:t>
      </w:r>
      <w:r w:rsidR="002B6B23" w:rsidRPr="00B44B18">
        <w:rPr>
          <w:rFonts w:asciiTheme="minorHAnsi" w:hAnsiTheme="minorHAnsi" w:cs="Calibri"/>
          <w:sz w:val="20"/>
          <w:szCs w:val="20"/>
        </w:rPr>
        <w:t xml:space="preserve"> countries </w:t>
      </w:r>
      <w:r w:rsidR="001757A4" w:rsidRPr="00B44B18">
        <w:rPr>
          <w:rFonts w:asciiTheme="minorHAnsi" w:hAnsiTheme="minorHAnsi" w:cs="Calibri"/>
          <w:sz w:val="20"/>
          <w:szCs w:val="20"/>
        </w:rPr>
        <w:t>reflect the nationality of students</w:t>
      </w:r>
      <w:r w:rsidR="00136D62" w:rsidRPr="00B44B18">
        <w:rPr>
          <w:rFonts w:asciiTheme="minorHAnsi" w:hAnsiTheme="minorHAnsi" w:cs="Calibri"/>
          <w:sz w:val="20"/>
          <w:szCs w:val="20"/>
        </w:rPr>
        <w:t xml:space="preserve"> a</w:t>
      </w:r>
      <w:r w:rsidR="002B6B23" w:rsidRPr="00B44B18">
        <w:rPr>
          <w:rFonts w:asciiTheme="minorHAnsi" w:hAnsiTheme="minorHAnsi" w:cs="Calibri"/>
          <w:sz w:val="20"/>
          <w:szCs w:val="20"/>
        </w:rPr>
        <w:t xml:space="preserve">nd not necessarily where they </w:t>
      </w:r>
      <w:r w:rsidR="002B6B23" w:rsidRPr="00482F6F">
        <w:rPr>
          <w:rFonts w:asciiTheme="minorHAnsi" w:hAnsiTheme="minorHAnsi" w:cs="Calibri"/>
          <w:sz w:val="20"/>
          <w:szCs w:val="20"/>
        </w:rPr>
        <w:t xml:space="preserve">studied. </w:t>
      </w:r>
      <w:r w:rsidR="00136D62" w:rsidRPr="00482F6F">
        <w:rPr>
          <w:rFonts w:asciiTheme="minorHAnsi" w:hAnsiTheme="minorHAnsi" w:cs="Calibri"/>
          <w:sz w:val="20"/>
          <w:szCs w:val="20"/>
        </w:rPr>
        <w:t>In</w:t>
      </w:r>
      <w:r w:rsidR="002B6B23" w:rsidRPr="00482F6F">
        <w:rPr>
          <w:rFonts w:asciiTheme="minorHAnsi" w:hAnsiTheme="minorHAnsi" w:cs="Calibri"/>
          <w:sz w:val="20"/>
          <w:szCs w:val="20"/>
        </w:rPr>
        <w:t xml:space="preserve"> Australian </w:t>
      </w:r>
      <w:r w:rsidR="0015484D" w:rsidRPr="00482F6F">
        <w:rPr>
          <w:rFonts w:asciiTheme="minorHAnsi" w:hAnsiTheme="minorHAnsi" w:cs="Calibri"/>
          <w:sz w:val="20"/>
          <w:szCs w:val="20"/>
        </w:rPr>
        <w:t>university</w:t>
      </w:r>
      <w:r w:rsidR="002B6B23" w:rsidRPr="00482F6F">
        <w:rPr>
          <w:rFonts w:asciiTheme="minorHAnsi" w:hAnsiTheme="minorHAnsi" w:cs="Calibri"/>
          <w:sz w:val="20"/>
          <w:szCs w:val="20"/>
        </w:rPr>
        <w:t xml:space="preserve"> </w:t>
      </w:r>
      <w:r w:rsidR="002E7B44">
        <w:rPr>
          <w:rFonts w:asciiTheme="minorHAnsi" w:hAnsiTheme="minorHAnsi" w:cs="Calibri"/>
          <w:sz w:val="20"/>
          <w:szCs w:val="20"/>
        </w:rPr>
        <w:t>programs</w:t>
      </w:r>
      <w:r w:rsidR="002B6B23" w:rsidRPr="00482F6F">
        <w:rPr>
          <w:rFonts w:asciiTheme="minorHAnsi" w:hAnsiTheme="minorHAnsi" w:cs="Calibri"/>
          <w:sz w:val="20"/>
          <w:szCs w:val="20"/>
        </w:rPr>
        <w:t xml:space="preserve"> in Singapore</w:t>
      </w:r>
      <w:r w:rsidR="00136D62" w:rsidRPr="00482F6F">
        <w:rPr>
          <w:rFonts w:asciiTheme="minorHAnsi" w:hAnsiTheme="minorHAnsi" w:cs="Calibri"/>
          <w:sz w:val="20"/>
          <w:szCs w:val="20"/>
        </w:rPr>
        <w:t xml:space="preserve"> for example, </w:t>
      </w:r>
      <w:r w:rsidR="000E54E3" w:rsidRPr="00482F6F">
        <w:rPr>
          <w:rFonts w:asciiTheme="minorHAnsi" w:hAnsiTheme="minorHAnsi" w:cs="Calibri"/>
          <w:sz w:val="20"/>
          <w:szCs w:val="20"/>
        </w:rPr>
        <w:t>67.7%</w:t>
      </w:r>
      <w:r w:rsidR="00136D62" w:rsidRPr="00482F6F">
        <w:rPr>
          <w:rFonts w:asciiTheme="minorHAnsi" w:hAnsiTheme="minorHAnsi" w:cs="Calibri"/>
          <w:sz w:val="20"/>
          <w:szCs w:val="20"/>
        </w:rPr>
        <w:t xml:space="preserve"> of students were permanent residents of Singapore, the remaining students were residents of other countries.</w:t>
      </w:r>
      <w:r w:rsidR="002B6B23" w:rsidRPr="00482F6F">
        <w:rPr>
          <w:rFonts w:asciiTheme="minorHAnsi" w:hAnsiTheme="minorHAnsi" w:cs="Calibri"/>
          <w:sz w:val="20"/>
          <w:szCs w:val="20"/>
        </w:rPr>
        <w:t xml:space="preserve"> </w:t>
      </w:r>
    </w:p>
    <w:p w:rsidR="00E25FCA" w:rsidRDefault="00AE667E" w:rsidP="00366382">
      <w:pPr>
        <w:pStyle w:val="Default"/>
        <w:spacing w:after="120"/>
        <w:ind w:right="68"/>
        <w:jc w:val="both"/>
        <w:rPr>
          <w:rFonts w:asciiTheme="minorHAnsi" w:hAnsiTheme="minorHAnsi" w:cs="Calibri"/>
          <w:sz w:val="20"/>
          <w:szCs w:val="20"/>
        </w:rPr>
      </w:pPr>
      <w:r w:rsidRPr="008A1DB9">
        <w:rPr>
          <w:rFonts w:asciiTheme="minorHAnsi" w:hAnsiTheme="minorHAnsi" w:cs="Calibri"/>
          <w:sz w:val="20"/>
          <w:szCs w:val="20"/>
        </w:rPr>
        <w:t>Sl</w:t>
      </w:r>
      <w:r w:rsidR="00210EA6" w:rsidRPr="008A1DB9">
        <w:rPr>
          <w:rFonts w:asciiTheme="minorHAnsi" w:hAnsiTheme="minorHAnsi" w:cs="Calibri"/>
          <w:sz w:val="20"/>
          <w:szCs w:val="20"/>
        </w:rPr>
        <w:t xml:space="preserve">ightly more </w:t>
      </w:r>
      <w:r w:rsidRPr="008A1DB9">
        <w:rPr>
          <w:rFonts w:asciiTheme="minorHAnsi" w:hAnsiTheme="minorHAnsi" w:cs="Calibri"/>
          <w:sz w:val="20"/>
          <w:szCs w:val="20"/>
        </w:rPr>
        <w:t xml:space="preserve">transnational students were </w:t>
      </w:r>
      <w:r w:rsidR="00210EA6" w:rsidRPr="008A1DB9">
        <w:rPr>
          <w:rFonts w:asciiTheme="minorHAnsi" w:hAnsiTheme="minorHAnsi" w:cs="Calibri"/>
          <w:sz w:val="20"/>
          <w:szCs w:val="20"/>
        </w:rPr>
        <w:t>female</w:t>
      </w:r>
      <w:r w:rsidR="008A1DB9" w:rsidRPr="008A1DB9">
        <w:rPr>
          <w:rFonts w:asciiTheme="minorHAnsi" w:hAnsiTheme="minorHAnsi" w:cs="Calibri"/>
          <w:sz w:val="20"/>
          <w:szCs w:val="20"/>
        </w:rPr>
        <w:t>s</w:t>
      </w:r>
      <w:r w:rsidR="00210EA6" w:rsidRPr="008A1DB9">
        <w:rPr>
          <w:rFonts w:asciiTheme="minorHAnsi" w:hAnsiTheme="minorHAnsi" w:cs="Calibri"/>
          <w:sz w:val="20"/>
          <w:szCs w:val="20"/>
        </w:rPr>
        <w:t xml:space="preserve"> (50.</w:t>
      </w:r>
      <w:r w:rsidR="008A1DB9" w:rsidRPr="008A1DB9">
        <w:rPr>
          <w:rFonts w:asciiTheme="minorHAnsi" w:hAnsiTheme="minorHAnsi" w:cs="Calibri"/>
          <w:sz w:val="20"/>
          <w:szCs w:val="20"/>
        </w:rPr>
        <w:t>7</w:t>
      </w:r>
      <w:r w:rsidR="00210EA6" w:rsidRPr="008A1DB9">
        <w:rPr>
          <w:rFonts w:asciiTheme="minorHAnsi" w:hAnsiTheme="minorHAnsi" w:cs="Calibri"/>
          <w:sz w:val="20"/>
          <w:szCs w:val="20"/>
        </w:rPr>
        <w:t>%)</w:t>
      </w:r>
      <w:r w:rsidR="005A793B" w:rsidRPr="008A1DB9">
        <w:rPr>
          <w:rFonts w:asciiTheme="minorHAnsi" w:hAnsiTheme="minorHAnsi" w:cs="Calibri"/>
          <w:sz w:val="20"/>
          <w:szCs w:val="20"/>
        </w:rPr>
        <w:t xml:space="preserve"> </w:t>
      </w:r>
      <w:r w:rsidR="00210EA6" w:rsidRPr="008A1DB9">
        <w:rPr>
          <w:rFonts w:asciiTheme="minorHAnsi" w:hAnsiTheme="minorHAnsi" w:cs="Calibri"/>
          <w:sz w:val="20"/>
          <w:szCs w:val="20"/>
        </w:rPr>
        <w:t>than male</w:t>
      </w:r>
      <w:r w:rsidR="007B5CA0" w:rsidRPr="008A1DB9">
        <w:rPr>
          <w:rFonts w:asciiTheme="minorHAnsi" w:hAnsiTheme="minorHAnsi" w:cs="Calibri"/>
          <w:sz w:val="20"/>
          <w:szCs w:val="20"/>
        </w:rPr>
        <w:t xml:space="preserve"> (49.</w:t>
      </w:r>
      <w:r w:rsidR="008A1DB9" w:rsidRPr="008A1DB9">
        <w:rPr>
          <w:rFonts w:asciiTheme="minorHAnsi" w:hAnsiTheme="minorHAnsi" w:cs="Calibri"/>
          <w:sz w:val="20"/>
          <w:szCs w:val="20"/>
        </w:rPr>
        <w:t>3</w:t>
      </w:r>
      <w:r w:rsidR="007B5CA0" w:rsidRPr="008A1DB9">
        <w:rPr>
          <w:rFonts w:asciiTheme="minorHAnsi" w:hAnsiTheme="minorHAnsi" w:cs="Calibri"/>
          <w:sz w:val="20"/>
          <w:szCs w:val="20"/>
        </w:rPr>
        <w:t>%)</w:t>
      </w:r>
      <w:r w:rsidR="0062095C" w:rsidRPr="008A1DB9">
        <w:rPr>
          <w:rFonts w:asciiTheme="minorHAnsi" w:hAnsiTheme="minorHAnsi" w:cs="Calibri"/>
          <w:sz w:val="20"/>
          <w:szCs w:val="20"/>
        </w:rPr>
        <w:t xml:space="preserve">. </w:t>
      </w:r>
      <w:r w:rsidR="002141F9" w:rsidRPr="008A1DB9">
        <w:rPr>
          <w:rFonts w:asciiTheme="minorHAnsi" w:hAnsiTheme="minorHAnsi" w:cs="Calibri"/>
          <w:sz w:val="20"/>
          <w:szCs w:val="20"/>
        </w:rPr>
        <w:t xml:space="preserve">Conversely, </w:t>
      </w:r>
      <w:r w:rsidR="002E7B44">
        <w:rPr>
          <w:rFonts w:asciiTheme="minorHAnsi" w:hAnsiTheme="minorHAnsi" w:cs="Calibri"/>
          <w:sz w:val="20"/>
          <w:szCs w:val="20"/>
        </w:rPr>
        <w:t>more male international students</w:t>
      </w:r>
      <w:r w:rsidR="00F66B7F" w:rsidRPr="008A1DB9">
        <w:rPr>
          <w:rFonts w:asciiTheme="minorHAnsi" w:hAnsiTheme="minorHAnsi" w:cs="Calibri"/>
          <w:sz w:val="20"/>
          <w:szCs w:val="20"/>
        </w:rPr>
        <w:t xml:space="preserve"> </w:t>
      </w:r>
      <w:r w:rsidR="000668AE" w:rsidRPr="008A1DB9">
        <w:rPr>
          <w:rFonts w:asciiTheme="minorHAnsi" w:hAnsiTheme="minorHAnsi" w:cs="Calibri"/>
          <w:sz w:val="20"/>
          <w:szCs w:val="20"/>
        </w:rPr>
        <w:t xml:space="preserve">were studying in Australia </w:t>
      </w:r>
      <w:r w:rsidR="0062095C" w:rsidRPr="008A1DB9">
        <w:rPr>
          <w:rFonts w:asciiTheme="minorHAnsi" w:hAnsiTheme="minorHAnsi" w:cs="Calibri"/>
          <w:sz w:val="20"/>
          <w:szCs w:val="20"/>
        </w:rPr>
        <w:t>than females</w:t>
      </w:r>
      <w:r w:rsidR="002141F9" w:rsidRPr="008A1DB9">
        <w:rPr>
          <w:rFonts w:asciiTheme="minorHAnsi" w:hAnsiTheme="minorHAnsi" w:cs="Calibri"/>
          <w:sz w:val="20"/>
          <w:szCs w:val="20"/>
        </w:rPr>
        <w:t xml:space="preserve"> (53.1% and </w:t>
      </w:r>
      <w:r w:rsidR="0062095C" w:rsidRPr="008A1DB9">
        <w:rPr>
          <w:rFonts w:asciiTheme="minorHAnsi" w:hAnsiTheme="minorHAnsi" w:cs="Calibri"/>
          <w:sz w:val="20"/>
          <w:szCs w:val="20"/>
        </w:rPr>
        <w:t>46.9%</w:t>
      </w:r>
      <w:r w:rsidR="002141F9" w:rsidRPr="008A1DB9">
        <w:rPr>
          <w:rFonts w:asciiTheme="minorHAnsi" w:hAnsiTheme="minorHAnsi" w:cs="Calibri"/>
          <w:sz w:val="20"/>
          <w:szCs w:val="20"/>
        </w:rPr>
        <w:t xml:space="preserve"> respectively</w:t>
      </w:r>
      <w:r w:rsidR="0062095C" w:rsidRPr="008A1DB9">
        <w:rPr>
          <w:rFonts w:asciiTheme="minorHAnsi" w:hAnsiTheme="minorHAnsi" w:cs="Calibri"/>
          <w:sz w:val="20"/>
          <w:szCs w:val="20"/>
        </w:rPr>
        <w:t>)</w:t>
      </w:r>
      <w:r w:rsidR="002141F9" w:rsidRPr="008A1DB9">
        <w:rPr>
          <w:rFonts w:asciiTheme="minorHAnsi" w:hAnsiTheme="minorHAnsi" w:cs="Calibri"/>
          <w:sz w:val="20"/>
          <w:szCs w:val="20"/>
        </w:rPr>
        <w:t>.</w:t>
      </w:r>
      <w:r w:rsidR="0062095C">
        <w:rPr>
          <w:rFonts w:asciiTheme="minorHAnsi" w:hAnsiTheme="minorHAnsi" w:cs="Calibri"/>
          <w:sz w:val="20"/>
          <w:szCs w:val="20"/>
        </w:rPr>
        <w:t xml:space="preserve"> </w:t>
      </w:r>
    </w:p>
    <w:p w:rsidR="006C657A" w:rsidRDefault="006C657A" w:rsidP="00366382">
      <w:pPr>
        <w:pStyle w:val="Default"/>
        <w:ind w:right="68"/>
        <w:jc w:val="both"/>
        <w:rPr>
          <w:rFonts w:asciiTheme="minorHAnsi" w:hAnsiTheme="minorHAnsi" w:cs="Calibri"/>
          <w:b/>
          <w:sz w:val="20"/>
          <w:szCs w:val="20"/>
        </w:rPr>
      </w:pPr>
      <w:r>
        <w:rPr>
          <w:rFonts w:asciiTheme="minorHAnsi" w:hAnsiTheme="minorHAnsi" w:cs="Calibri"/>
          <w:b/>
          <w:sz w:val="20"/>
          <w:szCs w:val="20"/>
        </w:rPr>
        <w:t>Type of attendance</w:t>
      </w:r>
    </w:p>
    <w:p w:rsidR="00BE65BA" w:rsidRPr="001726D1" w:rsidRDefault="00976EA5" w:rsidP="001726D1">
      <w:pPr>
        <w:pStyle w:val="Default"/>
        <w:spacing w:after="120"/>
        <w:ind w:right="142"/>
        <w:jc w:val="both"/>
        <w:rPr>
          <w:rFonts w:asciiTheme="minorHAnsi" w:hAnsiTheme="minorHAnsi" w:cs="Calibri"/>
          <w:sz w:val="20"/>
          <w:szCs w:val="20"/>
        </w:rPr>
      </w:pPr>
      <w:r w:rsidRPr="008A1DB9">
        <w:rPr>
          <w:rFonts w:asciiTheme="minorHAnsi" w:hAnsiTheme="minorHAnsi" w:cs="Calibri"/>
          <w:sz w:val="20"/>
          <w:szCs w:val="20"/>
        </w:rPr>
        <w:t>T</w:t>
      </w:r>
      <w:r w:rsidR="00101A1B" w:rsidRPr="008A1DB9">
        <w:rPr>
          <w:rFonts w:asciiTheme="minorHAnsi" w:hAnsiTheme="minorHAnsi" w:cs="Calibri"/>
          <w:sz w:val="20"/>
          <w:szCs w:val="20"/>
        </w:rPr>
        <w:t xml:space="preserve">ransnational students' </w:t>
      </w:r>
      <w:r w:rsidR="000A3FE8" w:rsidRPr="008A1DB9">
        <w:rPr>
          <w:rFonts w:asciiTheme="minorHAnsi" w:hAnsiTheme="minorHAnsi" w:cs="Calibri"/>
          <w:sz w:val="20"/>
          <w:szCs w:val="20"/>
        </w:rPr>
        <w:t xml:space="preserve">type of </w:t>
      </w:r>
      <w:r w:rsidR="00101A1B" w:rsidRPr="008A1DB9">
        <w:rPr>
          <w:rFonts w:asciiTheme="minorHAnsi" w:hAnsiTheme="minorHAnsi" w:cs="Calibri"/>
          <w:sz w:val="20"/>
          <w:szCs w:val="20"/>
        </w:rPr>
        <w:t xml:space="preserve">attendance </w:t>
      </w:r>
      <w:r w:rsidR="000A3FE8" w:rsidRPr="008A1DB9">
        <w:rPr>
          <w:rFonts w:asciiTheme="minorHAnsi" w:hAnsiTheme="minorHAnsi" w:cs="Calibri"/>
          <w:sz w:val="20"/>
          <w:szCs w:val="20"/>
        </w:rPr>
        <w:t xml:space="preserve">was more diverse </w:t>
      </w:r>
      <w:r w:rsidR="00A560BE" w:rsidRPr="008A1DB9">
        <w:rPr>
          <w:rFonts w:asciiTheme="minorHAnsi" w:hAnsiTheme="minorHAnsi" w:cs="Calibri"/>
          <w:sz w:val="20"/>
          <w:szCs w:val="20"/>
        </w:rPr>
        <w:t>than onshore international students, who are primarily full time students. In 201</w:t>
      </w:r>
      <w:r w:rsidR="008A1DB9" w:rsidRPr="008A1DB9">
        <w:rPr>
          <w:rFonts w:asciiTheme="minorHAnsi" w:hAnsiTheme="minorHAnsi" w:cs="Calibri"/>
          <w:sz w:val="20"/>
          <w:szCs w:val="20"/>
        </w:rPr>
        <w:t>5</w:t>
      </w:r>
      <w:r w:rsidR="00A560BE" w:rsidRPr="008A1DB9">
        <w:rPr>
          <w:rFonts w:asciiTheme="minorHAnsi" w:hAnsiTheme="minorHAnsi" w:cs="Calibri"/>
          <w:sz w:val="20"/>
          <w:szCs w:val="20"/>
        </w:rPr>
        <w:t xml:space="preserve">, </w:t>
      </w:r>
      <w:r w:rsidR="008A1DB9" w:rsidRPr="008A1DB9">
        <w:rPr>
          <w:rFonts w:asciiTheme="minorHAnsi" w:hAnsiTheme="minorHAnsi" w:cs="Calibri"/>
          <w:sz w:val="20"/>
          <w:szCs w:val="20"/>
        </w:rPr>
        <w:t>73.9</w:t>
      </w:r>
      <w:r w:rsidRPr="008A1DB9">
        <w:rPr>
          <w:rFonts w:asciiTheme="minorHAnsi" w:hAnsiTheme="minorHAnsi" w:cs="Calibri"/>
          <w:sz w:val="20"/>
          <w:szCs w:val="20"/>
        </w:rPr>
        <w:t xml:space="preserve">% </w:t>
      </w:r>
      <w:r w:rsidR="00A560BE" w:rsidRPr="008A1DB9">
        <w:rPr>
          <w:rFonts w:asciiTheme="minorHAnsi" w:hAnsiTheme="minorHAnsi" w:cs="Calibri"/>
          <w:sz w:val="20"/>
          <w:szCs w:val="20"/>
        </w:rPr>
        <w:t xml:space="preserve">of transnational students </w:t>
      </w:r>
      <w:r w:rsidR="003137A6" w:rsidRPr="008A1DB9">
        <w:rPr>
          <w:rFonts w:asciiTheme="minorHAnsi" w:hAnsiTheme="minorHAnsi" w:cs="Calibri"/>
          <w:sz w:val="20"/>
          <w:szCs w:val="20"/>
        </w:rPr>
        <w:t>stud</w:t>
      </w:r>
      <w:r w:rsidR="00777713" w:rsidRPr="008A1DB9">
        <w:rPr>
          <w:rFonts w:asciiTheme="minorHAnsi" w:hAnsiTheme="minorHAnsi" w:cs="Calibri"/>
          <w:sz w:val="20"/>
          <w:szCs w:val="20"/>
        </w:rPr>
        <w:t xml:space="preserve">ied </w:t>
      </w:r>
      <w:r w:rsidR="003137A6" w:rsidRPr="008A1DB9">
        <w:rPr>
          <w:rFonts w:asciiTheme="minorHAnsi" w:hAnsiTheme="minorHAnsi" w:cs="Calibri"/>
          <w:sz w:val="20"/>
          <w:szCs w:val="20"/>
        </w:rPr>
        <w:t xml:space="preserve">full time and </w:t>
      </w:r>
      <w:r w:rsidR="008A1DB9" w:rsidRPr="008A1DB9">
        <w:rPr>
          <w:rFonts w:asciiTheme="minorHAnsi" w:hAnsiTheme="minorHAnsi" w:cs="Calibri"/>
          <w:sz w:val="20"/>
          <w:szCs w:val="20"/>
        </w:rPr>
        <w:t>26.1</w:t>
      </w:r>
      <w:r w:rsidR="003137A6" w:rsidRPr="008A1DB9">
        <w:rPr>
          <w:rFonts w:asciiTheme="minorHAnsi" w:hAnsiTheme="minorHAnsi" w:cs="Calibri"/>
          <w:sz w:val="20"/>
          <w:szCs w:val="20"/>
        </w:rPr>
        <w:t>%</w:t>
      </w:r>
      <w:r w:rsidR="00777713" w:rsidRPr="008A1DB9">
        <w:rPr>
          <w:rFonts w:asciiTheme="minorHAnsi" w:hAnsiTheme="minorHAnsi" w:cs="Calibri"/>
          <w:sz w:val="20"/>
          <w:szCs w:val="20"/>
        </w:rPr>
        <w:t xml:space="preserve"> studied part-time.</w:t>
      </w:r>
      <w:r w:rsidR="00DF14D6">
        <w:rPr>
          <w:rFonts w:asciiTheme="minorHAnsi" w:hAnsiTheme="minorHAnsi" w:cs="Calibri"/>
          <w:sz w:val="20"/>
          <w:szCs w:val="20"/>
        </w:rPr>
        <w:t xml:space="preserve"> </w:t>
      </w:r>
    </w:p>
    <w:sectPr w:rsidR="00BE65BA" w:rsidRPr="001726D1" w:rsidSect="00462AA8">
      <w:footerReference w:type="default" r:id="rId13"/>
      <w:pgSz w:w="11906" w:h="16838" w:code="9"/>
      <w:pgMar w:top="142" w:right="424" w:bottom="567" w:left="567" w:header="567" w:footer="105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7F4" w:rsidRDefault="00F957F4">
      <w:r>
        <w:separator/>
      </w:r>
    </w:p>
  </w:endnote>
  <w:endnote w:type="continuationSeparator" w:id="0">
    <w:p w:rsidR="00F957F4" w:rsidRDefault="00F95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BB5" w:rsidRPr="00101A1B" w:rsidRDefault="00422BB5" w:rsidP="007F502E">
    <w:pPr>
      <w:spacing w:before="120"/>
      <w:rPr>
        <w:rFonts w:asciiTheme="minorHAnsi" w:hAnsiTheme="minorHAnsi" w:cs="Calibri"/>
        <w:color w:val="000000"/>
        <w:sz w:val="16"/>
        <w:szCs w:val="16"/>
      </w:rPr>
    </w:pPr>
    <w:r w:rsidRPr="00101A1B">
      <w:rPr>
        <w:rFonts w:asciiTheme="minorHAnsi" w:hAnsiTheme="minorHAnsi" w:cs="Calibri"/>
        <w:color w:val="000000"/>
        <w:sz w:val="16"/>
        <w:szCs w:val="16"/>
      </w:rPr>
      <w:t xml:space="preserve">This snapshot uses unpublished data from the </w:t>
    </w:r>
    <w:r w:rsidRPr="00101A1B">
      <w:rPr>
        <w:rFonts w:asciiTheme="minorHAnsi" w:hAnsiTheme="minorHAnsi" w:cs="Calibri"/>
        <w:i/>
        <w:color w:val="000000"/>
        <w:sz w:val="16"/>
        <w:szCs w:val="16"/>
      </w:rPr>
      <w:t>Student 201</w:t>
    </w:r>
    <w:r w:rsidR="00764857">
      <w:rPr>
        <w:rFonts w:asciiTheme="minorHAnsi" w:hAnsiTheme="minorHAnsi" w:cs="Calibri"/>
        <w:i/>
        <w:color w:val="000000"/>
        <w:sz w:val="16"/>
        <w:szCs w:val="16"/>
      </w:rPr>
      <w:t>5</w:t>
    </w:r>
    <w:r w:rsidRPr="00101A1B">
      <w:rPr>
        <w:rFonts w:asciiTheme="minorHAnsi" w:hAnsiTheme="minorHAnsi" w:cs="Calibri"/>
        <w:i/>
        <w:color w:val="000000"/>
        <w:sz w:val="16"/>
        <w:szCs w:val="16"/>
      </w:rPr>
      <w:t xml:space="preserve"> Full Year</w:t>
    </w:r>
    <w:r w:rsidR="006C657A" w:rsidRPr="00101A1B">
      <w:rPr>
        <w:rFonts w:asciiTheme="minorHAnsi" w:hAnsiTheme="minorHAnsi" w:cs="Calibri"/>
        <w:i/>
        <w:color w:val="000000"/>
        <w:sz w:val="16"/>
        <w:szCs w:val="16"/>
      </w:rPr>
      <w:t>:</w:t>
    </w:r>
    <w:r w:rsidRPr="00101A1B">
      <w:rPr>
        <w:rFonts w:asciiTheme="minorHAnsi" w:hAnsiTheme="minorHAnsi" w:cs="Calibri"/>
        <w:i/>
        <w:color w:val="000000"/>
        <w:sz w:val="16"/>
        <w:szCs w:val="16"/>
      </w:rPr>
      <w:t xml:space="preserve"> Selected Higher Education Statistics, Department of Education and Training</w:t>
    </w:r>
    <w:r w:rsidR="00A77B27" w:rsidRPr="00101A1B">
      <w:rPr>
        <w:rFonts w:asciiTheme="minorHAnsi" w:hAnsiTheme="minorHAnsi" w:cs="Calibri"/>
        <w:i/>
        <w:color w:val="000000"/>
        <w:sz w:val="16"/>
        <w:szCs w:val="16"/>
      </w:rPr>
      <w:t xml:space="preserve"> </w:t>
    </w:r>
    <w:r w:rsidR="00A77B27" w:rsidRPr="00101A1B">
      <w:rPr>
        <w:rFonts w:asciiTheme="minorHAnsi" w:hAnsiTheme="minorHAnsi" w:cs="Calibri"/>
        <w:color w:val="000000"/>
        <w:sz w:val="16"/>
        <w:szCs w:val="16"/>
      </w:rPr>
      <w:t xml:space="preserve">sourced from the </w:t>
    </w:r>
    <w:r w:rsidR="00A77B27" w:rsidRPr="00764857">
      <w:rPr>
        <w:rFonts w:asciiTheme="minorHAnsi" w:hAnsiTheme="minorHAnsi" w:cs="Calibri"/>
        <w:color w:val="000000"/>
        <w:sz w:val="16"/>
        <w:szCs w:val="16"/>
      </w:rPr>
      <w:t>University S</w:t>
    </w:r>
    <w:r w:rsidR="00A77B27" w:rsidRPr="00101A1B">
      <w:rPr>
        <w:rFonts w:asciiTheme="minorHAnsi" w:hAnsiTheme="minorHAnsi" w:cs="Calibri"/>
        <w:color w:val="000000"/>
        <w:sz w:val="16"/>
        <w:szCs w:val="16"/>
      </w:rPr>
      <w:t xml:space="preserve">tatistics Unit at: </w:t>
    </w:r>
    <w:hyperlink r:id="rId1" w:history="1">
      <w:r w:rsidR="00A77B27" w:rsidRPr="00101A1B">
        <w:rPr>
          <w:rStyle w:val="Hyperlink"/>
          <w:rFonts w:asciiTheme="minorHAnsi" w:hAnsiTheme="minorHAnsi" w:cs="Calibri"/>
          <w:sz w:val="16"/>
          <w:szCs w:val="16"/>
        </w:rPr>
        <w:t>university-statistics@education.gov.au</w:t>
      </w:r>
    </w:hyperlink>
    <w:r w:rsidR="0038546D" w:rsidRPr="00101A1B">
      <w:rPr>
        <w:rStyle w:val="Hyperlink"/>
        <w:rFonts w:asciiTheme="minorHAnsi" w:hAnsiTheme="minorHAnsi" w:cs="Calibri"/>
        <w:sz w:val="16"/>
        <w:szCs w:val="16"/>
      </w:rPr>
      <w:t>.</w:t>
    </w:r>
    <w:r w:rsidR="0038546D" w:rsidRPr="00101A1B">
      <w:rPr>
        <w:rStyle w:val="Hyperlink"/>
        <w:rFonts w:asciiTheme="minorHAnsi" w:hAnsiTheme="minorHAnsi" w:cs="Calibri"/>
        <w:sz w:val="16"/>
        <w:szCs w:val="16"/>
        <w:u w:val="none"/>
      </w:rPr>
      <w:t xml:space="preserve"> </w:t>
    </w:r>
    <w:r w:rsidR="0038546D" w:rsidRPr="00101A1B">
      <w:rPr>
        <w:rFonts w:asciiTheme="minorHAnsi" w:hAnsiTheme="minorHAnsi" w:cs="Calibri"/>
        <w:color w:val="000000"/>
        <w:sz w:val="16"/>
        <w:szCs w:val="16"/>
      </w:rPr>
      <w:t xml:space="preserve">A comprehensive set of data tables from the series covering domestic and overseas students are published at: </w:t>
    </w:r>
    <w:hyperlink r:id="rId2" w:history="1"/>
    <w:hyperlink r:id="rId3" w:history="1">
      <w:r w:rsidR="00764857" w:rsidRPr="00764857">
        <w:rPr>
          <w:rStyle w:val="Hyperlink"/>
          <w:rFonts w:asciiTheme="minorHAnsi" w:hAnsiTheme="minorHAnsi" w:cstheme="minorHAnsi"/>
          <w:sz w:val="16"/>
          <w:szCs w:val="16"/>
        </w:rPr>
        <w:t>https://www.education.gov.au/selected-higher-education-statistics-2015-student-data</w:t>
      </w:r>
    </w:hyperlink>
    <w:r w:rsidR="00764857">
      <w:t xml:space="preserve"> </w:t>
    </w:r>
  </w:p>
  <w:p w:rsidR="00F662C9" w:rsidRPr="00101A1B" w:rsidRDefault="00101A1B" w:rsidP="007F502E">
    <w:pPr>
      <w:spacing w:before="120"/>
      <w:rPr>
        <w:rFonts w:asciiTheme="minorHAnsi" w:hAnsiTheme="minorHAnsi" w:cs="Calibri"/>
        <w:sz w:val="16"/>
        <w:szCs w:val="16"/>
      </w:rPr>
    </w:pPr>
    <w:r>
      <w:rPr>
        <w:rFonts w:asciiTheme="minorHAnsi" w:hAnsiTheme="minorHAnsi" w:cs="Calibri"/>
        <w:color w:val="000000"/>
        <w:sz w:val="16"/>
        <w:szCs w:val="16"/>
      </w:rPr>
      <w:t>F</w:t>
    </w:r>
    <w:r w:rsidR="00F662C9" w:rsidRPr="00101A1B">
      <w:rPr>
        <w:rFonts w:asciiTheme="minorHAnsi" w:hAnsiTheme="minorHAnsi" w:cs="Calibri"/>
        <w:color w:val="000000"/>
        <w:sz w:val="16"/>
        <w:szCs w:val="16"/>
      </w:rPr>
      <w:t xml:space="preserve">or further information about this research Snapshot Series contact the International Research and Analysis Unit by email: </w:t>
    </w:r>
    <w:hyperlink r:id="rId4" w:history="1">
      <w:r w:rsidR="002D031D" w:rsidRPr="00101A1B">
        <w:rPr>
          <w:rStyle w:val="Hyperlink"/>
          <w:rFonts w:asciiTheme="minorHAnsi" w:hAnsiTheme="minorHAnsi" w:cs="Calibri"/>
          <w:sz w:val="16"/>
          <w:szCs w:val="16"/>
        </w:rPr>
        <w:t>IEResearch@education.gov.au</w:t>
      </w:r>
    </w:hyperlink>
    <w:r w:rsidR="002D031D" w:rsidRPr="00101A1B">
      <w:rPr>
        <w:rFonts w:asciiTheme="minorHAnsi" w:hAnsiTheme="minorHAnsi" w:cs="Calibri"/>
        <w:sz w:val="16"/>
        <w:szCs w:val="16"/>
      </w:rPr>
      <w:t xml:space="preserve">. </w:t>
    </w:r>
  </w:p>
  <w:p w:rsidR="00E7314D" w:rsidRPr="00101A1B" w:rsidRDefault="002D031D" w:rsidP="007F502E">
    <w:pPr>
      <w:rPr>
        <w:rStyle w:val="Hyperlink"/>
        <w:rFonts w:cs="Arial"/>
        <w:i/>
        <w:iCs/>
        <w:color w:val="000000"/>
        <w:sz w:val="16"/>
        <w:szCs w:val="16"/>
        <w:u w:val="none"/>
        <w:lang w:eastAsia="en-AU"/>
      </w:rPr>
    </w:pPr>
    <w:r w:rsidRPr="00101A1B">
      <w:rPr>
        <w:rFonts w:asciiTheme="minorHAnsi" w:hAnsiTheme="minorHAnsi" w:cs="Calibri"/>
        <w:sz w:val="16"/>
        <w:szCs w:val="16"/>
      </w:rPr>
      <w:t xml:space="preserve">The Research Snapshot series can be accessed from </w:t>
    </w:r>
    <w:hyperlink r:id="rId5" w:history="1">
      <w:r w:rsidRPr="00101A1B">
        <w:rPr>
          <w:rStyle w:val="Hyperlink"/>
          <w:rFonts w:asciiTheme="minorHAnsi" w:hAnsiTheme="minorHAnsi" w:cs="Calibri"/>
          <w:sz w:val="16"/>
          <w:szCs w:val="16"/>
        </w:rPr>
        <w:t>https://internationaleducation.gov.au/research/research-snapshots/pages/default.aspx</w:t>
      </w:r>
    </w:hyperlink>
    <w:r w:rsidR="00F662C9" w:rsidRPr="00101A1B">
      <w:rPr>
        <w:rStyle w:val="Hyperlink"/>
        <w:rFonts w:asciiTheme="minorHAnsi" w:hAnsiTheme="minorHAnsi" w:cs="Calibri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7F4" w:rsidRDefault="00F957F4">
      <w:r>
        <w:separator/>
      </w:r>
    </w:p>
  </w:footnote>
  <w:footnote w:type="continuationSeparator" w:id="0">
    <w:p w:rsidR="00F957F4" w:rsidRDefault="00F957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F90780"/>
    <w:multiLevelType w:val="hybridMultilevel"/>
    <w:tmpl w:val="B55638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334DCB"/>
    <w:multiLevelType w:val="hybridMultilevel"/>
    <w:tmpl w:val="198C6E4A"/>
    <w:lvl w:ilvl="0" w:tplc="1510490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8B7"/>
    <w:rsid w:val="0000134E"/>
    <w:rsid w:val="0000392D"/>
    <w:rsid w:val="00006D7A"/>
    <w:rsid w:val="000076C9"/>
    <w:rsid w:val="00010D51"/>
    <w:rsid w:val="00015C60"/>
    <w:rsid w:val="00015D21"/>
    <w:rsid w:val="00016FA6"/>
    <w:rsid w:val="00025F80"/>
    <w:rsid w:val="00031338"/>
    <w:rsid w:val="000324C0"/>
    <w:rsid w:val="00033829"/>
    <w:rsid w:val="00034F54"/>
    <w:rsid w:val="00035FE5"/>
    <w:rsid w:val="0003779B"/>
    <w:rsid w:val="00040D90"/>
    <w:rsid w:val="00041B86"/>
    <w:rsid w:val="00042EED"/>
    <w:rsid w:val="0004376A"/>
    <w:rsid w:val="00045CF5"/>
    <w:rsid w:val="00050720"/>
    <w:rsid w:val="00052C4B"/>
    <w:rsid w:val="000559F5"/>
    <w:rsid w:val="00056D7B"/>
    <w:rsid w:val="00056E16"/>
    <w:rsid w:val="000579A6"/>
    <w:rsid w:val="00061DFB"/>
    <w:rsid w:val="0006363D"/>
    <w:rsid w:val="00064849"/>
    <w:rsid w:val="00065418"/>
    <w:rsid w:val="00065AB2"/>
    <w:rsid w:val="000668AE"/>
    <w:rsid w:val="000715AE"/>
    <w:rsid w:val="00074272"/>
    <w:rsid w:val="00074C0C"/>
    <w:rsid w:val="00074D35"/>
    <w:rsid w:val="00083860"/>
    <w:rsid w:val="000860A7"/>
    <w:rsid w:val="00090DB0"/>
    <w:rsid w:val="000941CE"/>
    <w:rsid w:val="0009572B"/>
    <w:rsid w:val="00096E42"/>
    <w:rsid w:val="000A06FE"/>
    <w:rsid w:val="000A3FE8"/>
    <w:rsid w:val="000B005D"/>
    <w:rsid w:val="000B3A2D"/>
    <w:rsid w:val="000C2E42"/>
    <w:rsid w:val="000D12E2"/>
    <w:rsid w:val="000D1A0F"/>
    <w:rsid w:val="000D26AD"/>
    <w:rsid w:val="000D5513"/>
    <w:rsid w:val="000D61E3"/>
    <w:rsid w:val="000D667E"/>
    <w:rsid w:val="000D7D65"/>
    <w:rsid w:val="000E083D"/>
    <w:rsid w:val="000E2B20"/>
    <w:rsid w:val="000E427C"/>
    <w:rsid w:val="000E54E3"/>
    <w:rsid w:val="000E5FAB"/>
    <w:rsid w:val="000E7111"/>
    <w:rsid w:val="000E7E67"/>
    <w:rsid w:val="000F1E61"/>
    <w:rsid w:val="000F2A82"/>
    <w:rsid w:val="000F549D"/>
    <w:rsid w:val="000F61E8"/>
    <w:rsid w:val="000F6496"/>
    <w:rsid w:val="000F6E15"/>
    <w:rsid w:val="000F76D0"/>
    <w:rsid w:val="00101A1B"/>
    <w:rsid w:val="00103020"/>
    <w:rsid w:val="001030C3"/>
    <w:rsid w:val="00105D93"/>
    <w:rsid w:val="00110952"/>
    <w:rsid w:val="001166F1"/>
    <w:rsid w:val="00116985"/>
    <w:rsid w:val="001169B5"/>
    <w:rsid w:val="00116C2B"/>
    <w:rsid w:val="00120C87"/>
    <w:rsid w:val="001218CA"/>
    <w:rsid w:val="00124E7A"/>
    <w:rsid w:val="00124EFA"/>
    <w:rsid w:val="00127E38"/>
    <w:rsid w:val="00131D4C"/>
    <w:rsid w:val="001367F8"/>
    <w:rsid w:val="00136AE8"/>
    <w:rsid w:val="00136D62"/>
    <w:rsid w:val="001413F8"/>
    <w:rsid w:val="00141E0F"/>
    <w:rsid w:val="00142132"/>
    <w:rsid w:val="00142837"/>
    <w:rsid w:val="0014444A"/>
    <w:rsid w:val="00144B0D"/>
    <w:rsid w:val="00146391"/>
    <w:rsid w:val="00150F17"/>
    <w:rsid w:val="0015484D"/>
    <w:rsid w:val="001621C9"/>
    <w:rsid w:val="001632C2"/>
    <w:rsid w:val="00167405"/>
    <w:rsid w:val="00170567"/>
    <w:rsid w:val="00171815"/>
    <w:rsid w:val="001726D1"/>
    <w:rsid w:val="001727A2"/>
    <w:rsid w:val="001735B2"/>
    <w:rsid w:val="0017472E"/>
    <w:rsid w:val="001757A4"/>
    <w:rsid w:val="00176503"/>
    <w:rsid w:val="001775B3"/>
    <w:rsid w:val="00184D7C"/>
    <w:rsid w:val="001873C7"/>
    <w:rsid w:val="0019380E"/>
    <w:rsid w:val="00194B44"/>
    <w:rsid w:val="00195F6E"/>
    <w:rsid w:val="00197F6D"/>
    <w:rsid w:val="001A081F"/>
    <w:rsid w:val="001A19C4"/>
    <w:rsid w:val="001A5293"/>
    <w:rsid w:val="001A67DA"/>
    <w:rsid w:val="001B15C2"/>
    <w:rsid w:val="001B3114"/>
    <w:rsid w:val="001B3657"/>
    <w:rsid w:val="001B46ED"/>
    <w:rsid w:val="001C7434"/>
    <w:rsid w:val="001C77DF"/>
    <w:rsid w:val="001C7F41"/>
    <w:rsid w:val="001D250B"/>
    <w:rsid w:val="001D2BBC"/>
    <w:rsid w:val="001D60E0"/>
    <w:rsid w:val="001E15E7"/>
    <w:rsid w:val="001E59B3"/>
    <w:rsid w:val="001E7993"/>
    <w:rsid w:val="001F0592"/>
    <w:rsid w:val="001F0AA6"/>
    <w:rsid w:val="002011FE"/>
    <w:rsid w:val="002029F8"/>
    <w:rsid w:val="002049E4"/>
    <w:rsid w:val="00205882"/>
    <w:rsid w:val="00210EA6"/>
    <w:rsid w:val="002141F9"/>
    <w:rsid w:val="002143AC"/>
    <w:rsid w:val="00217475"/>
    <w:rsid w:val="00220553"/>
    <w:rsid w:val="00221FE0"/>
    <w:rsid w:val="002222FA"/>
    <w:rsid w:val="00225063"/>
    <w:rsid w:val="002272BE"/>
    <w:rsid w:val="0023282F"/>
    <w:rsid w:val="00232CB1"/>
    <w:rsid w:val="002366D5"/>
    <w:rsid w:val="002369F4"/>
    <w:rsid w:val="002373AC"/>
    <w:rsid w:val="002505B3"/>
    <w:rsid w:val="00250DEA"/>
    <w:rsid w:val="00252223"/>
    <w:rsid w:val="00252322"/>
    <w:rsid w:val="00253C56"/>
    <w:rsid w:val="0025460D"/>
    <w:rsid w:val="00254BEC"/>
    <w:rsid w:val="0026026F"/>
    <w:rsid w:val="0026157C"/>
    <w:rsid w:val="00262411"/>
    <w:rsid w:val="002674E7"/>
    <w:rsid w:val="00273A02"/>
    <w:rsid w:val="00276799"/>
    <w:rsid w:val="002803EA"/>
    <w:rsid w:val="00280D4C"/>
    <w:rsid w:val="00283D41"/>
    <w:rsid w:val="0029065F"/>
    <w:rsid w:val="002911E6"/>
    <w:rsid w:val="002914A7"/>
    <w:rsid w:val="0029290C"/>
    <w:rsid w:val="002943B1"/>
    <w:rsid w:val="0029620B"/>
    <w:rsid w:val="002A2F76"/>
    <w:rsid w:val="002A57F3"/>
    <w:rsid w:val="002B11C4"/>
    <w:rsid w:val="002B5A00"/>
    <w:rsid w:val="002B634D"/>
    <w:rsid w:val="002B6A6A"/>
    <w:rsid w:val="002B6B23"/>
    <w:rsid w:val="002C181D"/>
    <w:rsid w:val="002D0229"/>
    <w:rsid w:val="002D031D"/>
    <w:rsid w:val="002D13BE"/>
    <w:rsid w:val="002D4ADC"/>
    <w:rsid w:val="002D507D"/>
    <w:rsid w:val="002D656A"/>
    <w:rsid w:val="002D7B5D"/>
    <w:rsid w:val="002E1255"/>
    <w:rsid w:val="002E1E82"/>
    <w:rsid w:val="002E25C3"/>
    <w:rsid w:val="002E433A"/>
    <w:rsid w:val="002E7B44"/>
    <w:rsid w:val="002F262A"/>
    <w:rsid w:val="002F2910"/>
    <w:rsid w:val="002F43B3"/>
    <w:rsid w:val="002F6C5A"/>
    <w:rsid w:val="00300C87"/>
    <w:rsid w:val="0030176F"/>
    <w:rsid w:val="00305026"/>
    <w:rsid w:val="00307E64"/>
    <w:rsid w:val="00310C0C"/>
    <w:rsid w:val="00311A93"/>
    <w:rsid w:val="003137A6"/>
    <w:rsid w:val="00322C12"/>
    <w:rsid w:val="00323D29"/>
    <w:rsid w:val="00323FEC"/>
    <w:rsid w:val="00325183"/>
    <w:rsid w:val="00325381"/>
    <w:rsid w:val="0032703B"/>
    <w:rsid w:val="00330106"/>
    <w:rsid w:val="003321AC"/>
    <w:rsid w:val="0033440D"/>
    <w:rsid w:val="00334E02"/>
    <w:rsid w:val="00335C17"/>
    <w:rsid w:val="00337EF4"/>
    <w:rsid w:val="0034024C"/>
    <w:rsid w:val="003408D4"/>
    <w:rsid w:val="00340EF8"/>
    <w:rsid w:val="0034209B"/>
    <w:rsid w:val="00342B2E"/>
    <w:rsid w:val="00347AE4"/>
    <w:rsid w:val="003557A9"/>
    <w:rsid w:val="00357776"/>
    <w:rsid w:val="00362500"/>
    <w:rsid w:val="0036377B"/>
    <w:rsid w:val="00364904"/>
    <w:rsid w:val="00366382"/>
    <w:rsid w:val="003674B1"/>
    <w:rsid w:val="003677E6"/>
    <w:rsid w:val="00370892"/>
    <w:rsid w:val="0037152D"/>
    <w:rsid w:val="003726D7"/>
    <w:rsid w:val="00377F34"/>
    <w:rsid w:val="00382CA1"/>
    <w:rsid w:val="0038546D"/>
    <w:rsid w:val="00386C9E"/>
    <w:rsid w:val="00390937"/>
    <w:rsid w:val="00391124"/>
    <w:rsid w:val="00394C63"/>
    <w:rsid w:val="003A1B55"/>
    <w:rsid w:val="003B7FB4"/>
    <w:rsid w:val="003C0D9D"/>
    <w:rsid w:val="003C14D4"/>
    <w:rsid w:val="003C391C"/>
    <w:rsid w:val="003C5188"/>
    <w:rsid w:val="003C560B"/>
    <w:rsid w:val="003C6DF8"/>
    <w:rsid w:val="003D0DD6"/>
    <w:rsid w:val="003D2681"/>
    <w:rsid w:val="003D36DE"/>
    <w:rsid w:val="003D3728"/>
    <w:rsid w:val="003D6094"/>
    <w:rsid w:val="003D7D24"/>
    <w:rsid w:val="003E1CF7"/>
    <w:rsid w:val="003E579B"/>
    <w:rsid w:val="003E5F26"/>
    <w:rsid w:val="003F066F"/>
    <w:rsid w:val="003F134A"/>
    <w:rsid w:val="003F1C27"/>
    <w:rsid w:val="003F31C1"/>
    <w:rsid w:val="003F3BFA"/>
    <w:rsid w:val="003F52C7"/>
    <w:rsid w:val="003F7D2B"/>
    <w:rsid w:val="004008A5"/>
    <w:rsid w:val="00406A43"/>
    <w:rsid w:val="00406CA9"/>
    <w:rsid w:val="004078C7"/>
    <w:rsid w:val="00412290"/>
    <w:rsid w:val="00414BCF"/>
    <w:rsid w:val="00417C5D"/>
    <w:rsid w:val="00422BB5"/>
    <w:rsid w:val="00432A8B"/>
    <w:rsid w:val="00432EB5"/>
    <w:rsid w:val="004361BD"/>
    <w:rsid w:val="00436CDF"/>
    <w:rsid w:val="00440FB8"/>
    <w:rsid w:val="00441FC8"/>
    <w:rsid w:val="00444A50"/>
    <w:rsid w:val="00444F7E"/>
    <w:rsid w:val="0045411D"/>
    <w:rsid w:val="0045634D"/>
    <w:rsid w:val="0045661C"/>
    <w:rsid w:val="00457A89"/>
    <w:rsid w:val="00461948"/>
    <w:rsid w:val="00462AA8"/>
    <w:rsid w:val="004641BE"/>
    <w:rsid w:val="004652B6"/>
    <w:rsid w:val="0046717E"/>
    <w:rsid w:val="004674D4"/>
    <w:rsid w:val="004717D2"/>
    <w:rsid w:val="004723EC"/>
    <w:rsid w:val="004757EE"/>
    <w:rsid w:val="00477620"/>
    <w:rsid w:val="00482F6F"/>
    <w:rsid w:val="0048450D"/>
    <w:rsid w:val="00485F01"/>
    <w:rsid w:val="00486AFF"/>
    <w:rsid w:val="00490B54"/>
    <w:rsid w:val="0049445B"/>
    <w:rsid w:val="00494B27"/>
    <w:rsid w:val="00494BF7"/>
    <w:rsid w:val="00496F73"/>
    <w:rsid w:val="0049797E"/>
    <w:rsid w:val="00497A56"/>
    <w:rsid w:val="004A064E"/>
    <w:rsid w:val="004A3598"/>
    <w:rsid w:val="004B073A"/>
    <w:rsid w:val="004B1B86"/>
    <w:rsid w:val="004B1B94"/>
    <w:rsid w:val="004B1EEB"/>
    <w:rsid w:val="004B4D62"/>
    <w:rsid w:val="004B6B5A"/>
    <w:rsid w:val="004C1FF6"/>
    <w:rsid w:val="004C3D2B"/>
    <w:rsid w:val="004C61B6"/>
    <w:rsid w:val="004D3512"/>
    <w:rsid w:val="004D5C7D"/>
    <w:rsid w:val="004D6179"/>
    <w:rsid w:val="004E017A"/>
    <w:rsid w:val="004E04B5"/>
    <w:rsid w:val="004E1E63"/>
    <w:rsid w:val="004E36DC"/>
    <w:rsid w:val="004E5CEE"/>
    <w:rsid w:val="004E70D9"/>
    <w:rsid w:val="004F126E"/>
    <w:rsid w:val="004F3EE3"/>
    <w:rsid w:val="004F4458"/>
    <w:rsid w:val="00500B2A"/>
    <w:rsid w:val="00511DA3"/>
    <w:rsid w:val="005138AF"/>
    <w:rsid w:val="00513D78"/>
    <w:rsid w:val="005141AF"/>
    <w:rsid w:val="005143C1"/>
    <w:rsid w:val="005162A2"/>
    <w:rsid w:val="00520616"/>
    <w:rsid w:val="00522136"/>
    <w:rsid w:val="005240C9"/>
    <w:rsid w:val="0052579E"/>
    <w:rsid w:val="00525DF7"/>
    <w:rsid w:val="00525E6F"/>
    <w:rsid w:val="005262E9"/>
    <w:rsid w:val="00532ABD"/>
    <w:rsid w:val="0054317E"/>
    <w:rsid w:val="00544260"/>
    <w:rsid w:val="00544D96"/>
    <w:rsid w:val="00545C0B"/>
    <w:rsid w:val="00545F1A"/>
    <w:rsid w:val="005471AB"/>
    <w:rsid w:val="0054756E"/>
    <w:rsid w:val="005502B1"/>
    <w:rsid w:val="005661DF"/>
    <w:rsid w:val="005751E5"/>
    <w:rsid w:val="00576B0E"/>
    <w:rsid w:val="00581468"/>
    <w:rsid w:val="00583450"/>
    <w:rsid w:val="00583726"/>
    <w:rsid w:val="00590839"/>
    <w:rsid w:val="00594FA2"/>
    <w:rsid w:val="005965AD"/>
    <w:rsid w:val="00596C11"/>
    <w:rsid w:val="005978DB"/>
    <w:rsid w:val="005A1885"/>
    <w:rsid w:val="005A18FE"/>
    <w:rsid w:val="005A2D8C"/>
    <w:rsid w:val="005A3326"/>
    <w:rsid w:val="005A37AF"/>
    <w:rsid w:val="005A6A78"/>
    <w:rsid w:val="005A793B"/>
    <w:rsid w:val="005B0E1F"/>
    <w:rsid w:val="005B29FD"/>
    <w:rsid w:val="005B583C"/>
    <w:rsid w:val="005B688C"/>
    <w:rsid w:val="005C1016"/>
    <w:rsid w:val="005C176C"/>
    <w:rsid w:val="005C5639"/>
    <w:rsid w:val="005C6BE7"/>
    <w:rsid w:val="005C7040"/>
    <w:rsid w:val="005D236C"/>
    <w:rsid w:val="005D420D"/>
    <w:rsid w:val="005D6B0D"/>
    <w:rsid w:val="005E1F8D"/>
    <w:rsid w:val="005E29DD"/>
    <w:rsid w:val="005E35AF"/>
    <w:rsid w:val="005E5517"/>
    <w:rsid w:val="005E5E3A"/>
    <w:rsid w:val="005F0695"/>
    <w:rsid w:val="005F44A1"/>
    <w:rsid w:val="005F4DEC"/>
    <w:rsid w:val="005F7571"/>
    <w:rsid w:val="005F76A2"/>
    <w:rsid w:val="005F7BAD"/>
    <w:rsid w:val="006005AD"/>
    <w:rsid w:val="006029F4"/>
    <w:rsid w:val="00602CFA"/>
    <w:rsid w:val="006044F8"/>
    <w:rsid w:val="00604E7B"/>
    <w:rsid w:val="00607840"/>
    <w:rsid w:val="00607E56"/>
    <w:rsid w:val="006107F3"/>
    <w:rsid w:val="00610964"/>
    <w:rsid w:val="00610A7B"/>
    <w:rsid w:val="006113FB"/>
    <w:rsid w:val="006116CC"/>
    <w:rsid w:val="006170D3"/>
    <w:rsid w:val="00617207"/>
    <w:rsid w:val="00617C9B"/>
    <w:rsid w:val="0062095C"/>
    <w:rsid w:val="00625D3E"/>
    <w:rsid w:val="00626723"/>
    <w:rsid w:val="00630018"/>
    <w:rsid w:val="0063009F"/>
    <w:rsid w:val="006318FA"/>
    <w:rsid w:val="00634E4A"/>
    <w:rsid w:val="006359C7"/>
    <w:rsid w:val="00636364"/>
    <w:rsid w:val="0063761C"/>
    <w:rsid w:val="00637726"/>
    <w:rsid w:val="0064174B"/>
    <w:rsid w:val="00645ECA"/>
    <w:rsid w:val="00652B52"/>
    <w:rsid w:val="00654BF1"/>
    <w:rsid w:val="0066015A"/>
    <w:rsid w:val="00660952"/>
    <w:rsid w:val="00660BB4"/>
    <w:rsid w:val="0066736A"/>
    <w:rsid w:val="00667455"/>
    <w:rsid w:val="006721C5"/>
    <w:rsid w:val="00672C6D"/>
    <w:rsid w:val="00673272"/>
    <w:rsid w:val="00675A8A"/>
    <w:rsid w:val="00676110"/>
    <w:rsid w:val="00676A88"/>
    <w:rsid w:val="006806AA"/>
    <w:rsid w:val="0068113D"/>
    <w:rsid w:val="006812D9"/>
    <w:rsid w:val="00681CC4"/>
    <w:rsid w:val="00683086"/>
    <w:rsid w:val="00683833"/>
    <w:rsid w:val="00683EBD"/>
    <w:rsid w:val="0068604C"/>
    <w:rsid w:val="00687798"/>
    <w:rsid w:val="00687D58"/>
    <w:rsid w:val="006913C7"/>
    <w:rsid w:val="0069305A"/>
    <w:rsid w:val="00695A16"/>
    <w:rsid w:val="00695CC3"/>
    <w:rsid w:val="00696828"/>
    <w:rsid w:val="00697988"/>
    <w:rsid w:val="006A0001"/>
    <w:rsid w:val="006A27A2"/>
    <w:rsid w:val="006A38E4"/>
    <w:rsid w:val="006A4A5B"/>
    <w:rsid w:val="006A740B"/>
    <w:rsid w:val="006B01B1"/>
    <w:rsid w:val="006B0D3B"/>
    <w:rsid w:val="006B36DD"/>
    <w:rsid w:val="006B3AAB"/>
    <w:rsid w:val="006B4B87"/>
    <w:rsid w:val="006C1365"/>
    <w:rsid w:val="006C4306"/>
    <w:rsid w:val="006C4659"/>
    <w:rsid w:val="006C657A"/>
    <w:rsid w:val="006D0B98"/>
    <w:rsid w:val="006D3C80"/>
    <w:rsid w:val="006D4395"/>
    <w:rsid w:val="006D56FA"/>
    <w:rsid w:val="006D5DEF"/>
    <w:rsid w:val="006D7A55"/>
    <w:rsid w:val="006E2195"/>
    <w:rsid w:val="006E4372"/>
    <w:rsid w:val="006E481C"/>
    <w:rsid w:val="006E49AE"/>
    <w:rsid w:val="006F4CC1"/>
    <w:rsid w:val="0070470A"/>
    <w:rsid w:val="007065BA"/>
    <w:rsid w:val="007072A5"/>
    <w:rsid w:val="00707FB2"/>
    <w:rsid w:val="00710E5E"/>
    <w:rsid w:val="007123D4"/>
    <w:rsid w:val="0071482C"/>
    <w:rsid w:val="00723413"/>
    <w:rsid w:val="00724F16"/>
    <w:rsid w:val="00726470"/>
    <w:rsid w:val="00727E5F"/>
    <w:rsid w:val="00730B16"/>
    <w:rsid w:val="00730C7C"/>
    <w:rsid w:val="00732AD8"/>
    <w:rsid w:val="00733232"/>
    <w:rsid w:val="00737677"/>
    <w:rsid w:val="00737AB0"/>
    <w:rsid w:val="00752669"/>
    <w:rsid w:val="00755D9C"/>
    <w:rsid w:val="0075711C"/>
    <w:rsid w:val="007620B0"/>
    <w:rsid w:val="00763F9B"/>
    <w:rsid w:val="00764857"/>
    <w:rsid w:val="00764913"/>
    <w:rsid w:val="00765EC1"/>
    <w:rsid w:val="00766523"/>
    <w:rsid w:val="00772D54"/>
    <w:rsid w:val="00772E99"/>
    <w:rsid w:val="00774231"/>
    <w:rsid w:val="00775F01"/>
    <w:rsid w:val="00777713"/>
    <w:rsid w:val="0078159C"/>
    <w:rsid w:val="007855A2"/>
    <w:rsid w:val="00785996"/>
    <w:rsid w:val="007859C6"/>
    <w:rsid w:val="007928BF"/>
    <w:rsid w:val="00792963"/>
    <w:rsid w:val="00795EC1"/>
    <w:rsid w:val="0079629A"/>
    <w:rsid w:val="007A11F8"/>
    <w:rsid w:val="007A6E10"/>
    <w:rsid w:val="007A6F7D"/>
    <w:rsid w:val="007B0DCC"/>
    <w:rsid w:val="007B53B7"/>
    <w:rsid w:val="007B5CA0"/>
    <w:rsid w:val="007B71E3"/>
    <w:rsid w:val="007C0099"/>
    <w:rsid w:val="007C1E3C"/>
    <w:rsid w:val="007C2140"/>
    <w:rsid w:val="007C229C"/>
    <w:rsid w:val="007C6296"/>
    <w:rsid w:val="007C6A9F"/>
    <w:rsid w:val="007C7029"/>
    <w:rsid w:val="007C7C7D"/>
    <w:rsid w:val="007D2B55"/>
    <w:rsid w:val="007D3D96"/>
    <w:rsid w:val="007D48F4"/>
    <w:rsid w:val="007D5019"/>
    <w:rsid w:val="007E0B88"/>
    <w:rsid w:val="007E2751"/>
    <w:rsid w:val="007E616F"/>
    <w:rsid w:val="007F01B1"/>
    <w:rsid w:val="007F0A9A"/>
    <w:rsid w:val="007F0C61"/>
    <w:rsid w:val="007F1A58"/>
    <w:rsid w:val="007F2A88"/>
    <w:rsid w:val="007F3EBC"/>
    <w:rsid w:val="007F502E"/>
    <w:rsid w:val="007F65D8"/>
    <w:rsid w:val="007F6DC4"/>
    <w:rsid w:val="00803FFC"/>
    <w:rsid w:val="00804A7A"/>
    <w:rsid w:val="008051D2"/>
    <w:rsid w:val="00805DCE"/>
    <w:rsid w:val="00807CCF"/>
    <w:rsid w:val="008139A6"/>
    <w:rsid w:val="00814888"/>
    <w:rsid w:val="00814CC0"/>
    <w:rsid w:val="00815837"/>
    <w:rsid w:val="0081637F"/>
    <w:rsid w:val="00816769"/>
    <w:rsid w:val="00823112"/>
    <w:rsid w:val="008258C1"/>
    <w:rsid w:val="00827C4D"/>
    <w:rsid w:val="00834E6C"/>
    <w:rsid w:val="00834F05"/>
    <w:rsid w:val="00843715"/>
    <w:rsid w:val="00843ADD"/>
    <w:rsid w:val="00844283"/>
    <w:rsid w:val="00844D67"/>
    <w:rsid w:val="00846DFF"/>
    <w:rsid w:val="00847E61"/>
    <w:rsid w:val="00850D9A"/>
    <w:rsid w:val="00851FC2"/>
    <w:rsid w:val="00852155"/>
    <w:rsid w:val="00853AC7"/>
    <w:rsid w:val="00854EF3"/>
    <w:rsid w:val="00857532"/>
    <w:rsid w:val="00860C5B"/>
    <w:rsid w:val="0086393C"/>
    <w:rsid w:val="00865D94"/>
    <w:rsid w:val="00867846"/>
    <w:rsid w:val="00871471"/>
    <w:rsid w:val="00871C34"/>
    <w:rsid w:val="00871E8F"/>
    <w:rsid w:val="008730D2"/>
    <w:rsid w:val="008743AC"/>
    <w:rsid w:val="008812F9"/>
    <w:rsid w:val="0088551B"/>
    <w:rsid w:val="0088589C"/>
    <w:rsid w:val="00896DB1"/>
    <w:rsid w:val="008A1DB9"/>
    <w:rsid w:val="008A25B0"/>
    <w:rsid w:val="008A2EC2"/>
    <w:rsid w:val="008A60AC"/>
    <w:rsid w:val="008B159F"/>
    <w:rsid w:val="008B2561"/>
    <w:rsid w:val="008B5B4E"/>
    <w:rsid w:val="008C144B"/>
    <w:rsid w:val="008C1DD2"/>
    <w:rsid w:val="008C5294"/>
    <w:rsid w:val="008C64B9"/>
    <w:rsid w:val="008D1AB0"/>
    <w:rsid w:val="008D38F4"/>
    <w:rsid w:val="008D486D"/>
    <w:rsid w:val="008D63CF"/>
    <w:rsid w:val="008D7644"/>
    <w:rsid w:val="008E066B"/>
    <w:rsid w:val="008E185A"/>
    <w:rsid w:val="008E3C74"/>
    <w:rsid w:val="008E52FE"/>
    <w:rsid w:val="008E74BF"/>
    <w:rsid w:val="008E7A82"/>
    <w:rsid w:val="008F2BD9"/>
    <w:rsid w:val="008F336A"/>
    <w:rsid w:val="008F59C2"/>
    <w:rsid w:val="008F641E"/>
    <w:rsid w:val="00906614"/>
    <w:rsid w:val="00906E7A"/>
    <w:rsid w:val="009104A8"/>
    <w:rsid w:val="00911B7D"/>
    <w:rsid w:val="009153DA"/>
    <w:rsid w:val="00916292"/>
    <w:rsid w:val="00923994"/>
    <w:rsid w:val="0092421D"/>
    <w:rsid w:val="00925858"/>
    <w:rsid w:val="00927334"/>
    <w:rsid w:val="00927973"/>
    <w:rsid w:val="009279A0"/>
    <w:rsid w:val="00931D3F"/>
    <w:rsid w:val="00933F56"/>
    <w:rsid w:val="00933FEF"/>
    <w:rsid w:val="009349A1"/>
    <w:rsid w:val="0094028A"/>
    <w:rsid w:val="009414BA"/>
    <w:rsid w:val="00942372"/>
    <w:rsid w:val="00943A74"/>
    <w:rsid w:val="00944A8F"/>
    <w:rsid w:val="00944BA7"/>
    <w:rsid w:val="00945EC3"/>
    <w:rsid w:val="009465ED"/>
    <w:rsid w:val="0095122E"/>
    <w:rsid w:val="00951F6C"/>
    <w:rsid w:val="00953B39"/>
    <w:rsid w:val="00955FA2"/>
    <w:rsid w:val="00956014"/>
    <w:rsid w:val="009628F3"/>
    <w:rsid w:val="00963E39"/>
    <w:rsid w:val="00965C1F"/>
    <w:rsid w:val="00965FD4"/>
    <w:rsid w:val="009674CA"/>
    <w:rsid w:val="00970C82"/>
    <w:rsid w:val="00974EE4"/>
    <w:rsid w:val="00976383"/>
    <w:rsid w:val="00976A47"/>
    <w:rsid w:val="00976AA0"/>
    <w:rsid w:val="00976EA5"/>
    <w:rsid w:val="009771BA"/>
    <w:rsid w:val="009779F3"/>
    <w:rsid w:val="00977C69"/>
    <w:rsid w:val="0098064F"/>
    <w:rsid w:val="009806CB"/>
    <w:rsid w:val="00982016"/>
    <w:rsid w:val="00983B31"/>
    <w:rsid w:val="0098564F"/>
    <w:rsid w:val="00985C24"/>
    <w:rsid w:val="00986F46"/>
    <w:rsid w:val="00991AB5"/>
    <w:rsid w:val="00993CF5"/>
    <w:rsid w:val="00993F75"/>
    <w:rsid w:val="00995948"/>
    <w:rsid w:val="0099624E"/>
    <w:rsid w:val="00997BBA"/>
    <w:rsid w:val="009A1E73"/>
    <w:rsid w:val="009A4020"/>
    <w:rsid w:val="009A4C87"/>
    <w:rsid w:val="009A565E"/>
    <w:rsid w:val="009B10EC"/>
    <w:rsid w:val="009B18B0"/>
    <w:rsid w:val="009B2A57"/>
    <w:rsid w:val="009B4A8F"/>
    <w:rsid w:val="009C1F28"/>
    <w:rsid w:val="009C4652"/>
    <w:rsid w:val="009C6BF5"/>
    <w:rsid w:val="009C7861"/>
    <w:rsid w:val="009D1FD8"/>
    <w:rsid w:val="009D2D23"/>
    <w:rsid w:val="009D63FC"/>
    <w:rsid w:val="009D6AEF"/>
    <w:rsid w:val="009D75E4"/>
    <w:rsid w:val="009E1D15"/>
    <w:rsid w:val="009E4A5C"/>
    <w:rsid w:val="009E7EA3"/>
    <w:rsid w:val="009F0BF1"/>
    <w:rsid w:val="009F0F45"/>
    <w:rsid w:val="009F65DD"/>
    <w:rsid w:val="00A001EA"/>
    <w:rsid w:val="00A02BA4"/>
    <w:rsid w:val="00A02CD0"/>
    <w:rsid w:val="00A07994"/>
    <w:rsid w:val="00A07CDB"/>
    <w:rsid w:val="00A13C7E"/>
    <w:rsid w:val="00A16133"/>
    <w:rsid w:val="00A2191C"/>
    <w:rsid w:val="00A21E29"/>
    <w:rsid w:val="00A241C4"/>
    <w:rsid w:val="00A24D8F"/>
    <w:rsid w:val="00A264B9"/>
    <w:rsid w:val="00A330FE"/>
    <w:rsid w:val="00A34D5E"/>
    <w:rsid w:val="00A35BAC"/>
    <w:rsid w:val="00A36A94"/>
    <w:rsid w:val="00A37263"/>
    <w:rsid w:val="00A44B3C"/>
    <w:rsid w:val="00A469CD"/>
    <w:rsid w:val="00A52FF2"/>
    <w:rsid w:val="00A560BE"/>
    <w:rsid w:val="00A563A2"/>
    <w:rsid w:val="00A56780"/>
    <w:rsid w:val="00A6018D"/>
    <w:rsid w:val="00A6068D"/>
    <w:rsid w:val="00A61869"/>
    <w:rsid w:val="00A62E87"/>
    <w:rsid w:val="00A62FD1"/>
    <w:rsid w:val="00A65756"/>
    <w:rsid w:val="00A66161"/>
    <w:rsid w:val="00A71668"/>
    <w:rsid w:val="00A72944"/>
    <w:rsid w:val="00A7330F"/>
    <w:rsid w:val="00A7620D"/>
    <w:rsid w:val="00A767AA"/>
    <w:rsid w:val="00A77B27"/>
    <w:rsid w:val="00A84D44"/>
    <w:rsid w:val="00A85124"/>
    <w:rsid w:val="00A86028"/>
    <w:rsid w:val="00A92298"/>
    <w:rsid w:val="00A9641E"/>
    <w:rsid w:val="00AA2228"/>
    <w:rsid w:val="00AA34A0"/>
    <w:rsid w:val="00AA3FE2"/>
    <w:rsid w:val="00AB22FA"/>
    <w:rsid w:val="00AB2327"/>
    <w:rsid w:val="00AB3989"/>
    <w:rsid w:val="00AB39D3"/>
    <w:rsid w:val="00AB3F25"/>
    <w:rsid w:val="00AB4E58"/>
    <w:rsid w:val="00AB5668"/>
    <w:rsid w:val="00AB785F"/>
    <w:rsid w:val="00AB7D91"/>
    <w:rsid w:val="00AC35D0"/>
    <w:rsid w:val="00AC5969"/>
    <w:rsid w:val="00AC635B"/>
    <w:rsid w:val="00AD1738"/>
    <w:rsid w:val="00AD455C"/>
    <w:rsid w:val="00AD5448"/>
    <w:rsid w:val="00AE0AFC"/>
    <w:rsid w:val="00AE2E2B"/>
    <w:rsid w:val="00AE30FF"/>
    <w:rsid w:val="00AE5F33"/>
    <w:rsid w:val="00AE667E"/>
    <w:rsid w:val="00AF3448"/>
    <w:rsid w:val="00AF351C"/>
    <w:rsid w:val="00AF4207"/>
    <w:rsid w:val="00AF5093"/>
    <w:rsid w:val="00AF7717"/>
    <w:rsid w:val="00B0209B"/>
    <w:rsid w:val="00B04168"/>
    <w:rsid w:val="00B04A5C"/>
    <w:rsid w:val="00B05976"/>
    <w:rsid w:val="00B070B9"/>
    <w:rsid w:val="00B07895"/>
    <w:rsid w:val="00B07A31"/>
    <w:rsid w:val="00B14782"/>
    <w:rsid w:val="00B15628"/>
    <w:rsid w:val="00B177F5"/>
    <w:rsid w:val="00B2033C"/>
    <w:rsid w:val="00B20B7F"/>
    <w:rsid w:val="00B22004"/>
    <w:rsid w:val="00B23185"/>
    <w:rsid w:val="00B23282"/>
    <w:rsid w:val="00B3340A"/>
    <w:rsid w:val="00B34867"/>
    <w:rsid w:val="00B34C33"/>
    <w:rsid w:val="00B4410E"/>
    <w:rsid w:val="00B44B18"/>
    <w:rsid w:val="00B44DCA"/>
    <w:rsid w:val="00B45305"/>
    <w:rsid w:val="00B457D9"/>
    <w:rsid w:val="00B45C9B"/>
    <w:rsid w:val="00B46329"/>
    <w:rsid w:val="00B47399"/>
    <w:rsid w:val="00B476F0"/>
    <w:rsid w:val="00B558B7"/>
    <w:rsid w:val="00B57724"/>
    <w:rsid w:val="00B61BAA"/>
    <w:rsid w:val="00B63618"/>
    <w:rsid w:val="00B6510E"/>
    <w:rsid w:val="00B706A7"/>
    <w:rsid w:val="00B748B2"/>
    <w:rsid w:val="00B778FF"/>
    <w:rsid w:val="00B8164B"/>
    <w:rsid w:val="00B81EA4"/>
    <w:rsid w:val="00B85A9D"/>
    <w:rsid w:val="00B864DF"/>
    <w:rsid w:val="00B866A1"/>
    <w:rsid w:val="00B86E76"/>
    <w:rsid w:val="00B90F92"/>
    <w:rsid w:val="00B91F5C"/>
    <w:rsid w:val="00B948FC"/>
    <w:rsid w:val="00B970C0"/>
    <w:rsid w:val="00BA30DF"/>
    <w:rsid w:val="00BA4DB0"/>
    <w:rsid w:val="00BA5B05"/>
    <w:rsid w:val="00BA7791"/>
    <w:rsid w:val="00BA7A6A"/>
    <w:rsid w:val="00BA7E86"/>
    <w:rsid w:val="00BB1269"/>
    <w:rsid w:val="00BB13A1"/>
    <w:rsid w:val="00BB2486"/>
    <w:rsid w:val="00BB3BDE"/>
    <w:rsid w:val="00BB67A9"/>
    <w:rsid w:val="00BB74E9"/>
    <w:rsid w:val="00BC2323"/>
    <w:rsid w:val="00BD0BB9"/>
    <w:rsid w:val="00BD0F4D"/>
    <w:rsid w:val="00BD4BEB"/>
    <w:rsid w:val="00BE0EA3"/>
    <w:rsid w:val="00BE18BE"/>
    <w:rsid w:val="00BE3E24"/>
    <w:rsid w:val="00BE65BA"/>
    <w:rsid w:val="00BE7F65"/>
    <w:rsid w:val="00BF09EE"/>
    <w:rsid w:val="00BF713C"/>
    <w:rsid w:val="00C01237"/>
    <w:rsid w:val="00C019A9"/>
    <w:rsid w:val="00C02048"/>
    <w:rsid w:val="00C02261"/>
    <w:rsid w:val="00C03933"/>
    <w:rsid w:val="00C03C2C"/>
    <w:rsid w:val="00C061C4"/>
    <w:rsid w:val="00C07B60"/>
    <w:rsid w:val="00C22071"/>
    <w:rsid w:val="00C24021"/>
    <w:rsid w:val="00C2525C"/>
    <w:rsid w:val="00C31DB1"/>
    <w:rsid w:val="00C32E7D"/>
    <w:rsid w:val="00C32EDA"/>
    <w:rsid w:val="00C331FE"/>
    <w:rsid w:val="00C33944"/>
    <w:rsid w:val="00C349D8"/>
    <w:rsid w:val="00C42852"/>
    <w:rsid w:val="00C449FE"/>
    <w:rsid w:val="00C45258"/>
    <w:rsid w:val="00C457CA"/>
    <w:rsid w:val="00C45CEE"/>
    <w:rsid w:val="00C4731C"/>
    <w:rsid w:val="00C511A1"/>
    <w:rsid w:val="00C515EB"/>
    <w:rsid w:val="00C526BF"/>
    <w:rsid w:val="00C55142"/>
    <w:rsid w:val="00C6180A"/>
    <w:rsid w:val="00C62325"/>
    <w:rsid w:val="00C62C58"/>
    <w:rsid w:val="00C63937"/>
    <w:rsid w:val="00C6455C"/>
    <w:rsid w:val="00C647DA"/>
    <w:rsid w:val="00C66440"/>
    <w:rsid w:val="00C67A2B"/>
    <w:rsid w:val="00C71BC7"/>
    <w:rsid w:val="00C73ACF"/>
    <w:rsid w:val="00C7401C"/>
    <w:rsid w:val="00C75E24"/>
    <w:rsid w:val="00C80D8A"/>
    <w:rsid w:val="00C83F16"/>
    <w:rsid w:val="00C873DF"/>
    <w:rsid w:val="00C879C7"/>
    <w:rsid w:val="00C9099E"/>
    <w:rsid w:val="00C915FD"/>
    <w:rsid w:val="00C956E1"/>
    <w:rsid w:val="00C96248"/>
    <w:rsid w:val="00C966D0"/>
    <w:rsid w:val="00CA299E"/>
    <w:rsid w:val="00CA3C4E"/>
    <w:rsid w:val="00CA4A6C"/>
    <w:rsid w:val="00CA703F"/>
    <w:rsid w:val="00CB0DCE"/>
    <w:rsid w:val="00CB2EFE"/>
    <w:rsid w:val="00CB4FBE"/>
    <w:rsid w:val="00CB657C"/>
    <w:rsid w:val="00CC0135"/>
    <w:rsid w:val="00CC0343"/>
    <w:rsid w:val="00CC0A7D"/>
    <w:rsid w:val="00CC2939"/>
    <w:rsid w:val="00CC2C01"/>
    <w:rsid w:val="00CD14FC"/>
    <w:rsid w:val="00CD3F40"/>
    <w:rsid w:val="00CD459F"/>
    <w:rsid w:val="00CD4CF3"/>
    <w:rsid w:val="00CE0B53"/>
    <w:rsid w:val="00CE484D"/>
    <w:rsid w:val="00CF3B4D"/>
    <w:rsid w:val="00CF4872"/>
    <w:rsid w:val="00CF5494"/>
    <w:rsid w:val="00CF7F82"/>
    <w:rsid w:val="00D01384"/>
    <w:rsid w:val="00D0156A"/>
    <w:rsid w:val="00D05C68"/>
    <w:rsid w:val="00D12A6A"/>
    <w:rsid w:val="00D13196"/>
    <w:rsid w:val="00D16342"/>
    <w:rsid w:val="00D17E18"/>
    <w:rsid w:val="00D22BF0"/>
    <w:rsid w:val="00D30B77"/>
    <w:rsid w:val="00D377A3"/>
    <w:rsid w:val="00D42025"/>
    <w:rsid w:val="00D44A8F"/>
    <w:rsid w:val="00D46E5E"/>
    <w:rsid w:val="00D50B59"/>
    <w:rsid w:val="00D5216D"/>
    <w:rsid w:val="00D5300B"/>
    <w:rsid w:val="00D5622F"/>
    <w:rsid w:val="00D572DD"/>
    <w:rsid w:val="00D7068C"/>
    <w:rsid w:val="00D7475C"/>
    <w:rsid w:val="00D76778"/>
    <w:rsid w:val="00D771E7"/>
    <w:rsid w:val="00D814F3"/>
    <w:rsid w:val="00D82913"/>
    <w:rsid w:val="00D8412C"/>
    <w:rsid w:val="00D87DBE"/>
    <w:rsid w:val="00D95289"/>
    <w:rsid w:val="00D9667E"/>
    <w:rsid w:val="00D9786A"/>
    <w:rsid w:val="00DA049A"/>
    <w:rsid w:val="00DA08B4"/>
    <w:rsid w:val="00DA105A"/>
    <w:rsid w:val="00DA15D1"/>
    <w:rsid w:val="00DA2043"/>
    <w:rsid w:val="00DA3600"/>
    <w:rsid w:val="00DA5F09"/>
    <w:rsid w:val="00DA6B7A"/>
    <w:rsid w:val="00DB13D5"/>
    <w:rsid w:val="00DB1767"/>
    <w:rsid w:val="00DB2939"/>
    <w:rsid w:val="00DB3C4A"/>
    <w:rsid w:val="00DB3EE2"/>
    <w:rsid w:val="00DB4F18"/>
    <w:rsid w:val="00DB5988"/>
    <w:rsid w:val="00DC4777"/>
    <w:rsid w:val="00DC48D8"/>
    <w:rsid w:val="00DC61F9"/>
    <w:rsid w:val="00DC669C"/>
    <w:rsid w:val="00DD2EB2"/>
    <w:rsid w:val="00DD2ECF"/>
    <w:rsid w:val="00DD4070"/>
    <w:rsid w:val="00DD5BFA"/>
    <w:rsid w:val="00DD63DC"/>
    <w:rsid w:val="00DD649F"/>
    <w:rsid w:val="00DD7C3B"/>
    <w:rsid w:val="00DE0972"/>
    <w:rsid w:val="00DE1983"/>
    <w:rsid w:val="00DE2EFD"/>
    <w:rsid w:val="00DE4177"/>
    <w:rsid w:val="00DE497E"/>
    <w:rsid w:val="00DE507D"/>
    <w:rsid w:val="00DE6F86"/>
    <w:rsid w:val="00DF0C21"/>
    <w:rsid w:val="00DF14D6"/>
    <w:rsid w:val="00DF4131"/>
    <w:rsid w:val="00DF64CE"/>
    <w:rsid w:val="00DF6BEC"/>
    <w:rsid w:val="00E025BF"/>
    <w:rsid w:val="00E02A36"/>
    <w:rsid w:val="00E03B91"/>
    <w:rsid w:val="00E04569"/>
    <w:rsid w:val="00E0553D"/>
    <w:rsid w:val="00E0569B"/>
    <w:rsid w:val="00E1146F"/>
    <w:rsid w:val="00E119C6"/>
    <w:rsid w:val="00E119E9"/>
    <w:rsid w:val="00E13063"/>
    <w:rsid w:val="00E139D8"/>
    <w:rsid w:val="00E156EA"/>
    <w:rsid w:val="00E172BD"/>
    <w:rsid w:val="00E2022A"/>
    <w:rsid w:val="00E25C19"/>
    <w:rsid w:val="00E25FCA"/>
    <w:rsid w:val="00E34D30"/>
    <w:rsid w:val="00E3770A"/>
    <w:rsid w:val="00E37B65"/>
    <w:rsid w:val="00E41271"/>
    <w:rsid w:val="00E420C5"/>
    <w:rsid w:val="00E42763"/>
    <w:rsid w:val="00E42D18"/>
    <w:rsid w:val="00E442CA"/>
    <w:rsid w:val="00E46559"/>
    <w:rsid w:val="00E46F1E"/>
    <w:rsid w:val="00E47A61"/>
    <w:rsid w:val="00E51A99"/>
    <w:rsid w:val="00E51B02"/>
    <w:rsid w:val="00E522AD"/>
    <w:rsid w:val="00E52A83"/>
    <w:rsid w:val="00E52DDC"/>
    <w:rsid w:val="00E53290"/>
    <w:rsid w:val="00E5354D"/>
    <w:rsid w:val="00E5384C"/>
    <w:rsid w:val="00E53DD2"/>
    <w:rsid w:val="00E54E28"/>
    <w:rsid w:val="00E55587"/>
    <w:rsid w:val="00E6074F"/>
    <w:rsid w:val="00E625E0"/>
    <w:rsid w:val="00E6496A"/>
    <w:rsid w:val="00E65DE5"/>
    <w:rsid w:val="00E700E2"/>
    <w:rsid w:val="00E71636"/>
    <w:rsid w:val="00E73005"/>
    <w:rsid w:val="00E7314D"/>
    <w:rsid w:val="00E73448"/>
    <w:rsid w:val="00E73FC0"/>
    <w:rsid w:val="00E7457E"/>
    <w:rsid w:val="00E77898"/>
    <w:rsid w:val="00E8018A"/>
    <w:rsid w:val="00E81492"/>
    <w:rsid w:val="00E86995"/>
    <w:rsid w:val="00E92C58"/>
    <w:rsid w:val="00E95E1C"/>
    <w:rsid w:val="00E96E2B"/>
    <w:rsid w:val="00E979D1"/>
    <w:rsid w:val="00EA0E43"/>
    <w:rsid w:val="00EA301C"/>
    <w:rsid w:val="00EA5592"/>
    <w:rsid w:val="00EC127B"/>
    <w:rsid w:val="00EC5D3A"/>
    <w:rsid w:val="00EC6572"/>
    <w:rsid w:val="00EC6B22"/>
    <w:rsid w:val="00ED0304"/>
    <w:rsid w:val="00ED4E6C"/>
    <w:rsid w:val="00EE0E2B"/>
    <w:rsid w:val="00EE3371"/>
    <w:rsid w:val="00EE3D50"/>
    <w:rsid w:val="00EE5919"/>
    <w:rsid w:val="00EE5B09"/>
    <w:rsid w:val="00EE5DC5"/>
    <w:rsid w:val="00EF3B05"/>
    <w:rsid w:val="00EF3E83"/>
    <w:rsid w:val="00EF7FAF"/>
    <w:rsid w:val="00F03B3C"/>
    <w:rsid w:val="00F041F3"/>
    <w:rsid w:val="00F06EF5"/>
    <w:rsid w:val="00F117AF"/>
    <w:rsid w:val="00F13F55"/>
    <w:rsid w:val="00F1645A"/>
    <w:rsid w:val="00F173D1"/>
    <w:rsid w:val="00F174B2"/>
    <w:rsid w:val="00F17E5F"/>
    <w:rsid w:val="00F21166"/>
    <w:rsid w:val="00F21DD6"/>
    <w:rsid w:val="00F2579B"/>
    <w:rsid w:val="00F304D8"/>
    <w:rsid w:val="00F30823"/>
    <w:rsid w:val="00F3092B"/>
    <w:rsid w:val="00F33EDD"/>
    <w:rsid w:val="00F349B4"/>
    <w:rsid w:val="00F41D9F"/>
    <w:rsid w:val="00F47901"/>
    <w:rsid w:val="00F501EB"/>
    <w:rsid w:val="00F51BFA"/>
    <w:rsid w:val="00F54BED"/>
    <w:rsid w:val="00F54FAF"/>
    <w:rsid w:val="00F55E6C"/>
    <w:rsid w:val="00F564C8"/>
    <w:rsid w:val="00F568CA"/>
    <w:rsid w:val="00F573E0"/>
    <w:rsid w:val="00F57E19"/>
    <w:rsid w:val="00F57F4D"/>
    <w:rsid w:val="00F60743"/>
    <w:rsid w:val="00F662C9"/>
    <w:rsid w:val="00F66B7F"/>
    <w:rsid w:val="00F66E88"/>
    <w:rsid w:val="00F6769A"/>
    <w:rsid w:val="00F679DF"/>
    <w:rsid w:val="00F72599"/>
    <w:rsid w:val="00F73A1D"/>
    <w:rsid w:val="00F7453E"/>
    <w:rsid w:val="00F7500A"/>
    <w:rsid w:val="00F7552B"/>
    <w:rsid w:val="00F76C82"/>
    <w:rsid w:val="00F76EDB"/>
    <w:rsid w:val="00F772BE"/>
    <w:rsid w:val="00F77581"/>
    <w:rsid w:val="00F847F8"/>
    <w:rsid w:val="00F85C44"/>
    <w:rsid w:val="00F9206E"/>
    <w:rsid w:val="00F94572"/>
    <w:rsid w:val="00F957F4"/>
    <w:rsid w:val="00F95D9A"/>
    <w:rsid w:val="00F970EB"/>
    <w:rsid w:val="00FA2657"/>
    <w:rsid w:val="00FA34AF"/>
    <w:rsid w:val="00FA4B88"/>
    <w:rsid w:val="00FA6322"/>
    <w:rsid w:val="00FA73C3"/>
    <w:rsid w:val="00FB01D1"/>
    <w:rsid w:val="00FB45AA"/>
    <w:rsid w:val="00FB4F6D"/>
    <w:rsid w:val="00FB7B23"/>
    <w:rsid w:val="00FC6ABD"/>
    <w:rsid w:val="00FC73F5"/>
    <w:rsid w:val="00FD16BC"/>
    <w:rsid w:val="00FD643F"/>
    <w:rsid w:val="00FD7507"/>
    <w:rsid w:val="00FE4E8F"/>
    <w:rsid w:val="00FE5DEB"/>
    <w:rsid w:val="00FE7398"/>
    <w:rsid w:val="00FF169E"/>
    <w:rsid w:val="00FF4026"/>
    <w:rsid w:val="00FF72B1"/>
    <w:rsid w:val="00FF761A"/>
    <w:rsid w:val="00FF7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6717E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D16BC"/>
    <w:pPr>
      <w:keepNext/>
      <w:spacing w:before="240" w:after="60"/>
      <w:outlineLvl w:val="0"/>
    </w:pPr>
    <w:rPr>
      <w:rFonts w:eastAsia="Batang" w:cs="Arial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FD16BC"/>
    <w:pPr>
      <w:keepNext/>
      <w:spacing w:before="240" w:after="60"/>
      <w:outlineLvl w:val="1"/>
    </w:pPr>
    <w:rPr>
      <w:rFonts w:cs="Arial"/>
      <w:b/>
      <w:bCs/>
      <w:iCs/>
      <w:sz w:val="26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FD16BC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heading10">
    <w:name w:val="__heading 1"/>
    <w:basedOn w:val="Normal"/>
    <w:rsid w:val="00AB22FA"/>
    <w:pPr>
      <w:jc w:val="center"/>
    </w:pPr>
    <w:rPr>
      <w:rFonts w:cs="Arial"/>
      <w:b/>
      <w:color w:val="333399"/>
      <w:sz w:val="32"/>
      <w:szCs w:val="32"/>
      <w:lang w:eastAsia="en-AU"/>
    </w:rPr>
  </w:style>
  <w:style w:type="character" w:styleId="Hyperlink">
    <w:name w:val="Hyperlink"/>
    <w:basedOn w:val="DefaultParagraphFont"/>
    <w:uiPriority w:val="99"/>
    <w:rsid w:val="00CF5494"/>
    <w:rPr>
      <w:rFonts w:cs="Times New Roman"/>
      <w:color w:val="0000FF"/>
      <w:u w:val="single"/>
    </w:rPr>
  </w:style>
  <w:style w:type="paragraph" w:customStyle="1" w:styleId="Tableheading">
    <w:name w:val="Table heading"/>
    <w:basedOn w:val="Normal"/>
    <w:rsid w:val="007F1A58"/>
    <w:pPr>
      <w:spacing w:before="60" w:after="120"/>
    </w:pPr>
    <w:rPr>
      <w:rFonts w:ascii="Book Antiqua" w:hAnsi="Book Antiqua"/>
      <w:b/>
    </w:rPr>
  </w:style>
  <w:style w:type="paragraph" w:styleId="Header">
    <w:name w:val="header"/>
    <w:basedOn w:val="Normal"/>
    <w:link w:val="HeaderChar"/>
    <w:uiPriority w:val="99"/>
    <w:rsid w:val="00CF549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Arial" w:hAnsi="Arial"/>
      <w:sz w:val="22"/>
      <w:lang w:eastAsia="en-US"/>
    </w:rPr>
  </w:style>
  <w:style w:type="paragraph" w:styleId="Footer">
    <w:name w:val="footer"/>
    <w:basedOn w:val="Normal"/>
    <w:link w:val="FooterChar"/>
    <w:uiPriority w:val="99"/>
    <w:rsid w:val="00CF549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Arial" w:hAnsi="Arial"/>
      <w:sz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687D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9674CA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9674CA"/>
    <w:rPr>
      <w:rFonts w:cs="Times New Roman"/>
      <w:vertAlign w:val="superscript"/>
    </w:rPr>
  </w:style>
  <w:style w:type="table" w:styleId="TableGrid">
    <w:name w:val="Table Grid"/>
    <w:basedOn w:val="TableNormal"/>
    <w:uiPriority w:val="59"/>
    <w:rsid w:val="006806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rsid w:val="00AE5F33"/>
    <w:rPr>
      <w:rFonts w:cs="Times New Roman"/>
      <w:color w:val="800080"/>
      <w:u w:val="single"/>
    </w:rPr>
  </w:style>
  <w:style w:type="character" w:customStyle="1" w:styleId="EmailStyle251">
    <w:name w:val="EmailStyle251"/>
    <w:basedOn w:val="DefaultParagraphFont"/>
    <w:semiHidden/>
    <w:rsid w:val="00A2191C"/>
    <w:rPr>
      <w:rFonts w:ascii="Arial" w:hAnsi="Arial" w:cs="Arial"/>
      <w:color w:val="auto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46717E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Default">
    <w:name w:val="Default"/>
    <w:rsid w:val="004C3D2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6717E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D16BC"/>
    <w:pPr>
      <w:keepNext/>
      <w:spacing w:before="240" w:after="60"/>
      <w:outlineLvl w:val="0"/>
    </w:pPr>
    <w:rPr>
      <w:rFonts w:eastAsia="Batang" w:cs="Arial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FD16BC"/>
    <w:pPr>
      <w:keepNext/>
      <w:spacing w:before="240" w:after="60"/>
      <w:outlineLvl w:val="1"/>
    </w:pPr>
    <w:rPr>
      <w:rFonts w:cs="Arial"/>
      <w:b/>
      <w:bCs/>
      <w:iCs/>
      <w:sz w:val="26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FD16BC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heading10">
    <w:name w:val="__heading 1"/>
    <w:basedOn w:val="Normal"/>
    <w:rsid w:val="00AB22FA"/>
    <w:pPr>
      <w:jc w:val="center"/>
    </w:pPr>
    <w:rPr>
      <w:rFonts w:cs="Arial"/>
      <w:b/>
      <w:color w:val="333399"/>
      <w:sz w:val="32"/>
      <w:szCs w:val="32"/>
      <w:lang w:eastAsia="en-AU"/>
    </w:rPr>
  </w:style>
  <w:style w:type="character" w:styleId="Hyperlink">
    <w:name w:val="Hyperlink"/>
    <w:basedOn w:val="DefaultParagraphFont"/>
    <w:uiPriority w:val="99"/>
    <w:rsid w:val="00CF5494"/>
    <w:rPr>
      <w:rFonts w:cs="Times New Roman"/>
      <w:color w:val="0000FF"/>
      <w:u w:val="single"/>
    </w:rPr>
  </w:style>
  <w:style w:type="paragraph" w:customStyle="1" w:styleId="Tableheading">
    <w:name w:val="Table heading"/>
    <w:basedOn w:val="Normal"/>
    <w:rsid w:val="007F1A58"/>
    <w:pPr>
      <w:spacing w:before="60" w:after="120"/>
    </w:pPr>
    <w:rPr>
      <w:rFonts w:ascii="Book Antiqua" w:hAnsi="Book Antiqua"/>
      <w:b/>
    </w:rPr>
  </w:style>
  <w:style w:type="paragraph" w:styleId="Header">
    <w:name w:val="header"/>
    <w:basedOn w:val="Normal"/>
    <w:link w:val="HeaderChar"/>
    <w:uiPriority w:val="99"/>
    <w:rsid w:val="00CF549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Arial" w:hAnsi="Arial"/>
      <w:sz w:val="22"/>
      <w:lang w:eastAsia="en-US"/>
    </w:rPr>
  </w:style>
  <w:style w:type="paragraph" w:styleId="Footer">
    <w:name w:val="footer"/>
    <w:basedOn w:val="Normal"/>
    <w:link w:val="FooterChar"/>
    <w:uiPriority w:val="99"/>
    <w:rsid w:val="00CF549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Arial" w:hAnsi="Arial"/>
      <w:sz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687D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9674CA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9674CA"/>
    <w:rPr>
      <w:rFonts w:cs="Times New Roman"/>
      <w:vertAlign w:val="superscript"/>
    </w:rPr>
  </w:style>
  <w:style w:type="table" w:styleId="TableGrid">
    <w:name w:val="Table Grid"/>
    <w:basedOn w:val="TableNormal"/>
    <w:uiPriority w:val="59"/>
    <w:rsid w:val="006806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rsid w:val="00AE5F33"/>
    <w:rPr>
      <w:rFonts w:cs="Times New Roman"/>
      <w:color w:val="800080"/>
      <w:u w:val="single"/>
    </w:rPr>
  </w:style>
  <w:style w:type="character" w:customStyle="1" w:styleId="EmailStyle251">
    <w:name w:val="EmailStyle251"/>
    <w:basedOn w:val="DefaultParagraphFont"/>
    <w:semiHidden/>
    <w:rsid w:val="00A2191C"/>
    <w:rPr>
      <w:rFonts w:ascii="Arial" w:hAnsi="Arial" w:cs="Arial"/>
      <w:color w:val="auto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46717E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Default">
    <w:name w:val="Default"/>
    <w:rsid w:val="004C3D2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8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education.gov.au/selected-higher-education-statistics-2015-student-data" TargetMode="External"/><Relationship Id="rId2" Type="http://schemas.openxmlformats.org/officeDocument/2006/relationships/hyperlink" Target="http://education.gov.au/selected-higher-education-statistics-2014-student-data" TargetMode="External"/><Relationship Id="rId1" Type="http://schemas.openxmlformats.org/officeDocument/2006/relationships/hyperlink" Target="mailto:university-statistics@education.gov.au" TargetMode="External"/><Relationship Id="rId5" Type="http://schemas.openxmlformats.org/officeDocument/2006/relationships/hyperlink" Target="https://internationaleducation.gov.au/research/research-snapshots/pages/default.aspx" TargetMode="External"/><Relationship Id="rId4" Type="http://schemas.openxmlformats.org/officeDocument/2006/relationships/hyperlink" Target="mailto:IEResearch@education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00AA97F9017A4288665729A97B1723" ma:contentTypeVersion="2" ma:contentTypeDescription="Create a new document." ma:contentTypeScope="" ma:versionID="2955017ab084fe0229d9de7084fe793a">
  <xsd:schema xmlns:xsd="http://www.w3.org/2001/XMLSchema" xmlns:xs="http://www.w3.org/2001/XMLSchema" xmlns:p="http://schemas.microsoft.com/office/2006/metadata/properties" xmlns:ns1="http://schemas.microsoft.com/sharepoint/v3" xmlns:ns2="3d08765e-ed01-46d2-8c42-9360717a49b5" targetNamespace="http://schemas.microsoft.com/office/2006/metadata/properties" ma:root="true" ma:fieldsID="9ff8b2dce9ac55920f923a13febf9c66" ns1:_="" ns2:_="">
    <xsd:import namespace="http://schemas.microsoft.com/sharepoint/v3"/>
    <xsd:import namespace="3d08765e-ed01-46d2-8c42-9360717a49b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08765e-ed01-46d2-8c42-9360717a49b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527D7C4-E7DE-4253-8DEA-A0A42A2EF4F2}"/>
</file>

<file path=customXml/itemProps2.xml><?xml version="1.0" encoding="utf-8"?>
<ds:datastoreItem xmlns:ds="http://schemas.openxmlformats.org/officeDocument/2006/customXml" ds:itemID="{F0659696-8C42-4CF6-9083-256031D568CF}"/>
</file>

<file path=customXml/itemProps3.xml><?xml version="1.0" encoding="utf-8"?>
<ds:datastoreItem xmlns:ds="http://schemas.openxmlformats.org/officeDocument/2006/customXml" ds:itemID="{266A703A-E940-4619-AC14-FF5813F145E1}"/>
</file>

<file path=customXml/itemProps4.xml><?xml version="1.0" encoding="utf-8"?>
<ds:datastoreItem xmlns:ds="http://schemas.openxmlformats.org/officeDocument/2006/customXml" ds:itemID="{B818A037-ED65-4B8A-8DB2-F2A908761D1B}"/>
</file>

<file path=docProps/app.xml><?xml version="1.0" encoding="utf-8"?>
<Properties xmlns="http://schemas.openxmlformats.org/officeDocument/2006/extended-properties" xmlns:vt="http://schemas.openxmlformats.org/officeDocument/2006/docPropsVTypes">
  <Template>A0F2F79C.dotm</Template>
  <TotalTime>0</TotalTime>
  <Pages>1</Pages>
  <Words>354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2009 Student Snapshot</vt:lpstr>
    </vt:vector>
  </TitlesOfParts>
  <Company>DEEWR</Company>
  <LinksUpToDate>false</LinksUpToDate>
  <CharactersWithSpaces>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 Student Snapshot</dc:title>
  <dc:creator>CI2200</dc:creator>
  <cp:lastModifiedBy>Sarab Basrai</cp:lastModifiedBy>
  <cp:revision>3</cp:revision>
  <cp:lastPrinted>2015-08-31T05:07:00Z</cp:lastPrinted>
  <dcterms:created xsi:type="dcterms:W3CDTF">2016-10-19T05:47:00Z</dcterms:created>
  <dcterms:modified xsi:type="dcterms:W3CDTF">2016-10-19T05:48:00Z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Number">
    <vt:i4>0</vt:i4>
  </property>
  <property fmtid="{D5CDD505-2E9C-101B-9397-08002B2CF9AE}" pid="3" name="ClassificationPty">
    <vt:lpwstr/>
  </property>
  <property fmtid="{D5CDD505-2E9C-101B-9397-08002B2CF9AE}" pid="4" name="FileNumberPty">
    <vt:lpwstr/>
  </property>
  <property fmtid="{D5CDD505-2E9C-101B-9397-08002B2CF9AE}" pid="5" name="CorporateTmplBased">
    <vt:lpwstr>No</vt:lpwstr>
  </property>
  <property fmtid="{D5CDD505-2E9C-101B-9397-08002B2CF9AE}" pid="6" name="ContentTypeId">
    <vt:lpwstr>0x010100D600AA97F9017A4288665729A97B1723</vt:lpwstr>
  </property>
  <property fmtid="{D5CDD505-2E9C-101B-9397-08002B2CF9AE}" pid="7" name="Order">
    <vt:r8>24300</vt:r8>
  </property>
  <property fmtid="{D5CDD505-2E9C-101B-9397-08002B2CF9AE}" pid="9" name="xd_ProgID">
    <vt:lpwstr/>
  </property>
  <property fmtid="{D5CDD505-2E9C-101B-9397-08002B2CF9AE}" pid="10" name="_SourceUrl">
    <vt:lpwstr/>
  </property>
  <property fmtid="{D5CDD505-2E9C-101B-9397-08002B2CF9AE}" pid="11" name="_SharedFileIndex">
    <vt:lpwstr/>
  </property>
  <property fmtid="{D5CDD505-2E9C-101B-9397-08002B2CF9AE}" pid="12" name="TemplateUrl">
    <vt:lpwstr/>
  </property>
</Properties>
</file>