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BC" w:rsidRDefault="00585A82" w:rsidP="00E65DE5">
      <w:r>
        <w:rPr>
          <w:noProof/>
          <w:lang w:eastAsia="en-AU"/>
        </w:rPr>
        <w:drawing>
          <wp:inline distT="0" distB="0" distL="0" distR="0" wp14:anchorId="17AD79B4">
            <wp:extent cx="7056780" cy="1071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780" cy="1071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2FA" w:rsidRPr="005471AB" w:rsidRDefault="00A96E5D" w:rsidP="00C47CF7">
      <w:pPr>
        <w:spacing w:before="80"/>
        <w:jc w:val="right"/>
        <w:rPr>
          <w:b/>
          <w:sz w:val="20"/>
        </w:rPr>
      </w:pPr>
      <w:r>
        <w:rPr>
          <w:b/>
          <w:sz w:val="20"/>
        </w:rPr>
        <w:t>June</w:t>
      </w:r>
      <w:r w:rsidR="008573B8">
        <w:rPr>
          <w:b/>
          <w:sz w:val="20"/>
        </w:rPr>
        <w:t xml:space="preserve"> 201</w:t>
      </w:r>
      <w:r w:rsidR="002A2736">
        <w:rPr>
          <w:b/>
          <w:sz w:val="20"/>
        </w:rPr>
        <w:t>6</w:t>
      </w:r>
    </w:p>
    <w:p w:rsidR="00744B03" w:rsidRDefault="004F5058" w:rsidP="00CE15DB">
      <w:pPr>
        <w:pStyle w:val="heading10"/>
        <w:outlineLvl w:val="0"/>
        <w:rPr>
          <w:rFonts w:asciiTheme="minorHAnsi" w:hAnsiTheme="minorHAnsi" w:cstheme="minorHAnsi"/>
          <w:sz w:val="28"/>
          <w:szCs w:val="28"/>
        </w:rPr>
      </w:pPr>
      <w:r w:rsidRPr="008573B8">
        <w:rPr>
          <w:rFonts w:asciiTheme="minorHAnsi" w:hAnsiTheme="minorHAnsi" w:cstheme="minorHAnsi"/>
          <w:sz w:val="28"/>
          <w:szCs w:val="28"/>
        </w:rPr>
        <w:t>Study Pathways of International S</w:t>
      </w:r>
      <w:r w:rsidR="00AB22FA" w:rsidRPr="008573B8">
        <w:rPr>
          <w:rFonts w:asciiTheme="minorHAnsi" w:hAnsiTheme="minorHAnsi" w:cstheme="minorHAnsi"/>
          <w:sz w:val="28"/>
          <w:szCs w:val="28"/>
        </w:rPr>
        <w:t>tudent</w:t>
      </w:r>
      <w:r w:rsidRPr="008573B8">
        <w:rPr>
          <w:rFonts w:asciiTheme="minorHAnsi" w:hAnsiTheme="minorHAnsi" w:cstheme="minorHAnsi"/>
          <w:sz w:val="28"/>
          <w:szCs w:val="28"/>
        </w:rPr>
        <w:t>s in Australia</w:t>
      </w:r>
      <w:bookmarkStart w:id="0" w:name="OLE_LINK1"/>
      <w:bookmarkEnd w:id="0"/>
      <w:r w:rsidR="00E46A7F" w:rsidRPr="008573B8">
        <w:rPr>
          <w:rFonts w:asciiTheme="minorHAnsi" w:hAnsiTheme="minorHAnsi" w:cstheme="minorHAnsi"/>
          <w:sz w:val="28"/>
          <w:szCs w:val="28"/>
        </w:rPr>
        <w:t>, 201</w:t>
      </w:r>
      <w:r w:rsidR="002A2736">
        <w:rPr>
          <w:rFonts w:asciiTheme="minorHAnsi" w:hAnsiTheme="minorHAnsi" w:cstheme="minorHAnsi"/>
          <w:sz w:val="28"/>
          <w:szCs w:val="28"/>
        </w:rPr>
        <w:t>4</w:t>
      </w:r>
      <w:r w:rsidR="00225A76" w:rsidRPr="008573B8">
        <w:rPr>
          <w:rFonts w:asciiTheme="minorHAnsi" w:hAnsiTheme="minorHAnsi" w:cstheme="minorHAnsi"/>
          <w:sz w:val="28"/>
          <w:szCs w:val="28"/>
        </w:rPr>
        <w:t>–</w:t>
      </w:r>
      <w:r w:rsidR="00005D13" w:rsidRPr="008573B8">
        <w:rPr>
          <w:rFonts w:asciiTheme="minorHAnsi" w:hAnsiTheme="minorHAnsi" w:cstheme="minorHAnsi"/>
          <w:sz w:val="28"/>
          <w:szCs w:val="28"/>
        </w:rPr>
        <w:t>20</w:t>
      </w:r>
      <w:r w:rsidR="00E46A7F" w:rsidRPr="008573B8">
        <w:rPr>
          <w:rFonts w:asciiTheme="minorHAnsi" w:hAnsiTheme="minorHAnsi" w:cstheme="minorHAnsi"/>
          <w:sz w:val="28"/>
          <w:szCs w:val="28"/>
        </w:rPr>
        <w:t>1</w:t>
      </w:r>
      <w:r w:rsidR="002A2736">
        <w:rPr>
          <w:rFonts w:asciiTheme="minorHAnsi" w:hAnsiTheme="minorHAnsi" w:cstheme="minorHAnsi"/>
          <w:sz w:val="28"/>
          <w:szCs w:val="28"/>
        </w:rPr>
        <w:t>5</w:t>
      </w:r>
    </w:p>
    <w:p w:rsidR="00CE15DB" w:rsidRDefault="00E2536B" w:rsidP="00CE15DB">
      <w:pPr>
        <w:ind w:right="23"/>
        <w:jc w:val="both"/>
        <w:rPr>
          <w:rFonts w:asciiTheme="minorHAnsi" w:hAnsiTheme="minorHAnsi" w:cstheme="minorHAnsi"/>
          <w:sz w:val="19"/>
          <w:szCs w:val="19"/>
          <w:lang w:eastAsia="en-AU"/>
        </w:rPr>
      </w:pPr>
      <w:r>
        <w:rPr>
          <w:rFonts w:asciiTheme="minorHAnsi" w:hAnsiTheme="minorHAnsi" w:cstheme="minorHAnsi"/>
          <w:noProof/>
          <w:sz w:val="19"/>
          <w:szCs w:val="19"/>
          <w:lang w:eastAsia="en-AU"/>
        </w:rPr>
        <w:drawing>
          <wp:anchor distT="0" distB="0" distL="114300" distR="114300" simplePos="0" relativeHeight="251662336" behindDoc="0" locked="0" layoutInCell="1" allowOverlap="1" wp14:anchorId="6361C84E" wp14:editId="394E4402">
            <wp:simplePos x="0" y="0"/>
            <wp:positionH relativeFrom="column">
              <wp:posOffset>4316095</wp:posOffset>
            </wp:positionH>
            <wp:positionV relativeFrom="paragraph">
              <wp:posOffset>130175</wp:posOffset>
            </wp:positionV>
            <wp:extent cx="2750820" cy="2047875"/>
            <wp:effectExtent l="0" t="0" r="0" b="9525"/>
            <wp:wrapSquare wrapText="bothSides"/>
            <wp:docPr id="4" name="Picture 4" descr="The pie chart shows the data:&#10;After completing an ELICOS course in 2014, international students  enrolled in:&#10;Higher education: 34%&#10;VET:24%&#10;Non-award: 8%&#10;Schools:3%&#10;ELICOS and no further studies 31%" title="Figure 1. Sector in which enrolled immediately after completing an ELICOS course in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EEA" w:rsidRDefault="006A5CC7" w:rsidP="00916B55">
      <w:pPr>
        <w:spacing w:after="120"/>
        <w:ind w:right="25"/>
        <w:jc w:val="both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656005">
        <w:rPr>
          <w:rFonts w:asciiTheme="minorHAnsi" w:hAnsiTheme="minorHAnsi" w:cstheme="minorHAnsi"/>
          <w:sz w:val="19"/>
          <w:szCs w:val="19"/>
          <w:lang w:eastAsia="en-AU"/>
        </w:rPr>
        <w:t xml:space="preserve">One of </w:t>
      </w:r>
      <w:r w:rsidRPr="00656005">
        <w:rPr>
          <w:rFonts w:asciiTheme="minorHAnsi" w:hAnsiTheme="minorHAnsi" w:cstheme="minorHAnsi"/>
          <w:color w:val="000000" w:themeColor="text1"/>
          <w:sz w:val="19"/>
          <w:szCs w:val="19"/>
          <w:lang w:eastAsia="en-AU"/>
        </w:rPr>
        <w:t xml:space="preserve">the strengths of Australia’s international education system is its </w:t>
      </w:r>
      <w:r w:rsidR="00C448E8" w:rsidRPr="00656005">
        <w:rPr>
          <w:rFonts w:asciiTheme="minorHAnsi" w:hAnsiTheme="minorHAnsi" w:cstheme="minorHAnsi"/>
          <w:color w:val="000000" w:themeColor="text1"/>
          <w:sz w:val="19"/>
          <w:szCs w:val="19"/>
          <w:lang w:eastAsia="en-AU"/>
        </w:rPr>
        <w:t xml:space="preserve">flexible </w:t>
      </w:r>
      <w:r w:rsidRPr="00656005">
        <w:rPr>
          <w:rFonts w:asciiTheme="minorHAnsi" w:hAnsiTheme="minorHAnsi" w:cstheme="minorHAnsi"/>
          <w:color w:val="000000" w:themeColor="text1"/>
          <w:sz w:val="19"/>
          <w:szCs w:val="19"/>
          <w:lang w:eastAsia="en-AU"/>
        </w:rPr>
        <w:t xml:space="preserve">pathways between education sectors. </w:t>
      </w:r>
      <w:r w:rsidR="00CF6944">
        <w:rPr>
          <w:rFonts w:asciiTheme="minorHAnsi" w:hAnsiTheme="minorHAnsi" w:cstheme="minorHAnsi"/>
          <w:color w:val="000000" w:themeColor="text1"/>
          <w:sz w:val="19"/>
          <w:szCs w:val="19"/>
        </w:rPr>
        <w:t>O</w:t>
      </w:r>
      <w:r w:rsidR="001D4E43">
        <w:rPr>
          <w:rFonts w:asciiTheme="minorHAnsi" w:hAnsiTheme="minorHAnsi" w:cstheme="minorHAnsi"/>
          <w:color w:val="000000" w:themeColor="text1"/>
          <w:sz w:val="19"/>
          <w:szCs w:val="19"/>
        </w:rPr>
        <w:t>ver half</w:t>
      </w:r>
      <w:r w:rsidR="002A2736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of international students undertake study in mo</w:t>
      </w:r>
      <w:r w:rsidR="00CF6944">
        <w:rPr>
          <w:rFonts w:asciiTheme="minorHAnsi" w:hAnsiTheme="minorHAnsi" w:cstheme="minorHAnsi"/>
          <w:color w:val="000000" w:themeColor="text1"/>
          <w:sz w:val="19"/>
          <w:szCs w:val="19"/>
        </w:rPr>
        <w:t>re than one educational sector d</w:t>
      </w:r>
      <w:r w:rsidR="00CF6944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uring their </w:t>
      </w:r>
      <w:r w:rsidR="00101EEA">
        <w:rPr>
          <w:rFonts w:asciiTheme="minorHAnsi" w:hAnsiTheme="minorHAnsi" w:cstheme="minorHAnsi"/>
          <w:color w:val="000000" w:themeColor="text1"/>
          <w:sz w:val="19"/>
          <w:szCs w:val="19"/>
        </w:rPr>
        <w:t>Australian education experience.</w:t>
      </w:r>
    </w:p>
    <w:p w:rsidR="00916B55" w:rsidRDefault="001D4E43" w:rsidP="00916B55">
      <w:pPr>
        <w:spacing w:after="120"/>
        <w:ind w:right="25"/>
        <w:jc w:val="both"/>
        <w:rPr>
          <w:rFonts w:asciiTheme="minorHAnsi" w:hAnsiTheme="minorHAnsi" w:cstheme="minorHAnsi"/>
          <w:sz w:val="19"/>
          <w:szCs w:val="19"/>
          <w:lang w:eastAsia="en-AU"/>
        </w:rPr>
      </w:pPr>
      <w:r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For </w:t>
      </w:r>
      <w:r w:rsidR="00C71B4D">
        <w:rPr>
          <w:rFonts w:asciiTheme="minorHAnsi" w:hAnsiTheme="minorHAnsi" w:cstheme="minorHAnsi"/>
          <w:color w:val="000000" w:themeColor="text1"/>
          <w:sz w:val="19"/>
          <w:szCs w:val="19"/>
        </w:rPr>
        <w:t>many students from non</w:t>
      </w:r>
      <w:r w:rsidR="00ED73B1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-English-speaking countries, </w:t>
      </w:r>
      <w:r w:rsidR="002A2736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>English Language Intensive Courses for Overseas Students (</w:t>
      </w:r>
      <w:proofErr w:type="spellStart"/>
      <w:r w:rsidR="002A2736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>ELICOS</w:t>
      </w:r>
      <w:proofErr w:type="spellEnd"/>
      <w:r w:rsidR="002A2736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) </w:t>
      </w:r>
      <w:r w:rsidR="00ED73B1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are </w:t>
      </w:r>
      <w:r w:rsidR="00C71B4D">
        <w:rPr>
          <w:rFonts w:asciiTheme="minorHAnsi" w:hAnsiTheme="minorHAnsi" w:cstheme="minorHAnsi"/>
          <w:color w:val="000000" w:themeColor="text1"/>
          <w:sz w:val="19"/>
          <w:szCs w:val="19"/>
        </w:rPr>
        <w:t>their first step towards further study in one of the tertiary sector</w:t>
      </w:r>
      <w:r w:rsidR="00CF6944">
        <w:rPr>
          <w:rFonts w:asciiTheme="minorHAnsi" w:hAnsiTheme="minorHAnsi" w:cstheme="minorHAnsi"/>
          <w:color w:val="000000" w:themeColor="text1"/>
          <w:sz w:val="19"/>
          <w:szCs w:val="19"/>
        </w:rPr>
        <w:t>s</w:t>
      </w:r>
      <w:r w:rsidR="00C71B4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or in Australian schools. Many students also take advantage of the Australia’s non-award foundation courses to </w:t>
      </w:r>
      <w:r w:rsidR="00916B5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assist them in meeting the entry requirements for studying higher education in Australia. </w:t>
      </w:r>
      <w:r w:rsidR="002A2736" w:rsidRPr="00656005">
        <w:rPr>
          <w:rFonts w:asciiTheme="minorHAnsi" w:hAnsiTheme="minorHAnsi" w:cstheme="minorHAnsi"/>
          <w:sz w:val="19"/>
          <w:szCs w:val="19"/>
          <w:lang w:eastAsia="en-AU"/>
        </w:rPr>
        <w:t>Many other study pathways are also available</w:t>
      </w:r>
      <w:r w:rsidR="00CF6944">
        <w:rPr>
          <w:rFonts w:asciiTheme="minorHAnsi" w:hAnsiTheme="minorHAnsi" w:cstheme="minorHAnsi"/>
          <w:sz w:val="19"/>
          <w:szCs w:val="19"/>
          <w:lang w:eastAsia="en-AU"/>
        </w:rPr>
        <w:t xml:space="preserve"> depending on students’ needs and interests.</w:t>
      </w:r>
      <w:r w:rsidR="002A2736" w:rsidRPr="00656005">
        <w:rPr>
          <w:rFonts w:asciiTheme="minorHAnsi" w:hAnsiTheme="minorHAnsi" w:cstheme="minorHAnsi"/>
          <w:sz w:val="19"/>
          <w:szCs w:val="19"/>
          <w:lang w:eastAsia="en-AU"/>
        </w:rPr>
        <w:t xml:space="preserve"> </w:t>
      </w:r>
    </w:p>
    <w:p w:rsidR="00FF47E5" w:rsidRDefault="00ED73B1" w:rsidP="00FF47E5">
      <w:pPr>
        <w:spacing w:after="120"/>
        <w:rPr>
          <w:rFonts w:asciiTheme="minorHAnsi" w:hAnsiTheme="minorHAnsi" w:cstheme="minorHAnsi"/>
          <w:b/>
          <w:color w:val="000000" w:themeColor="text1"/>
          <w:sz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lang w:eastAsia="en-AU"/>
        </w:rPr>
        <w:drawing>
          <wp:anchor distT="0" distB="0" distL="114300" distR="114300" simplePos="0" relativeHeight="251666432" behindDoc="0" locked="0" layoutInCell="1" allowOverlap="1" wp14:anchorId="549381D0" wp14:editId="39E7EB18">
            <wp:simplePos x="0" y="0"/>
            <wp:positionH relativeFrom="column">
              <wp:posOffset>4316095</wp:posOffset>
            </wp:positionH>
            <wp:positionV relativeFrom="paragraph">
              <wp:posOffset>459740</wp:posOffset>
            </wp:positionV>
            <wp:extent cx="2750820" cy="20561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05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B77" w:rsidRPr="0011577B">
        <w:rPr>
          <w:rFonts w:asciiTheme="minorHAnsi" w:hAnsiTheme="minorHAnsi" w:cstheme="minorHAnsi"/>
          <w:b/>
          <w:color w:val="000000" w:themeColor="text1"/>
          <w:sz w:val="20"/>
        </w:rPr>
        <w:t xml:space="preserve">The next step after </w:t>
      </w:r>
      <w:proofErr w:type="spellStart"/>
      <w:r w:rsidR="00E35E93" w:rsidRPr="0011577B">
        <w:rPr>
          <w:rFonts w:asciiTheme="minorHAnsi" w:hAnsiTheme="minorHAnsi" w:cstheme="minorHAnsi"/>
          <w:b/>
          <w:color w:val="000000" w:themeColor="text1"/>
          <w:sz w:val="20"/>
        </w:rPr>
        <w:t>ELICOS</w:t>
      </w:r>
      <w:proofErr w:type="spellEnd"/>
      <w:r w:rsidR="000D711E" w:rsidRPr="0011577B">
        <w:rPr>
          <w:rFonts w:asciiTheme="minorHAnsi" w:hAnsiTheme="minorHAnsi" w:cstheme="minorHAnsi"/>
          <w:b/>
          <w:color w:val="000000" w:themeColor="text1"/>
          <w:sz w:val="20"/>
        </w:rPr>
        <w:t xml:space="preserve"> and Schools</w:t>
      </w:r>
    </w:p>
    <w:p w:rsidR="006A5CC7" w:rsidRPr="00330311" w:rsidRDefault="006B295B" w:rsidP="00CF6944">
      <w:pPr>
        <w:spacing w:after="240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>Almost</w:t>
      </w:r>
      <w:r w:rsidR="006D66B1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t</w:t>
      </w:r>
      <w:r w:rsidR="006A5CC7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>wo</w:t>
      </w:r>
      <w:r w:rsidR="00C448E8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>-thirds of</w:t>
      </w:r>
      <w:r w:rsidR="006A5CC7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international students </w:t>
      </w:r>
      <w:r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on a student visa </w:t>
      </w:r>
      <w:r w:rsidR="00946D9B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who </w:t>
      </w:r>
      <w:r w:rsidR="006A5CC7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>complet</w:t>
      </w:r>
      <w:r w:rsidR="00946D9B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>ed</w:t>
      </w:r>
      <w:r w:rsidR="006A5CC7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an ELICOS course</w:t>
      </w:r>
      <w:r w:rsidR="006D66B1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6A5CC7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>in 201</w:t>
      </w:r>
      <w:r w:rsidR="002A2736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>4</w:t>
      </w:r>
      <w:r w:rsidR="006A5CC7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undertook further study in Australi</w:t>
      </w:r>
      <w:r w:rsidR="00475D89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a in another </w:t>
      </w:r>
      <w:r w:rsidR="00CF6944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education </w:t>
      </w:r>
      <w:r w:rsidR="00475D89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>sector</w:t>
      </w:r>
      <w:r w:rsidR="007222AC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F126E6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>(Figure 1)</w:t>
      </w:r>
      <w:r w:rsidR="006A5CC7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>.</w:t>
      </w:r>
      <w:r w:rsidR="002E64C8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A40910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Of the </w:t>
      </w:r>
      <w:r w:rsidR="00CF6944">
        <w:rPr>
          <w:rFonts w:asciiTheme="minorHAnsi" w:hAnsiTheme="minorHAnsi" w:cstheme="minorHAnsi"/>
          <w:color w:val="000000" w:themeColor="text1"/>
          <w:sz w:val="19"/>
          <w:szCs w:val="19"/>
        </w:rPr>
        <w:t>major</w:t>
      </w:r>
      <w:r w:rsidR="00A40910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nationalities, </w:t>
      </w:r>
      <w:r w:rsidR="002E64C8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>64</w:t>
      </w:r>
      <w:r w:rsidR="00A40910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per cent of </w:t>
      </w:r>
      <w:r w:rsidR="002E64C8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>Chin</w:t>
      </w:r>
      <w:r w:rsidR="00A40910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ese and 42 per cent of Indian </w:t>
      </w:r>
      <w:proofErr w:type="spellStart"/>
      <w:r w:rsidR="00A40910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>ELICOS</w:t>
      </w:r>
      <w:proofErr w:type="spellEnd"/>
      <w:r w:rsidR="00A40910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students </w:t>
      </w:r>
      <w:r w:rsidR="00ED73B1">
        <w:rPr>
          <w:rFonts w:asciiTheme="minorHAnsi" w:hAnsiTheme="minorHAnsi" w:cstheme="minorHAnsi"/>
          <w:color w:val="000000" w:themeColor="text1"/>
          <w:sz w:val="19"/>
          <w:szCs w:val="19"/>
        </w:rPr>
        <w:t>progressed</w:t>
      </w:r>
      <w:r w:rsidR="002E64C8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A40910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on to study in </w:t>
      </w:r>
      <w:r w:rsidR="002E64C8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higher education. </w:t>
      </w:r>
      <w:r w:rsidR="008A77E4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Two in five (42%) </w:t>
      </w:r>
      <w:r w:rsidR="00A40910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Thai </w:t>
      </w:r>
      <w:proofErr w:type="spellStart"/>
      <w:r w:rsidR="00A40910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>EL</w:t>
      </w:r>
      <w:r w:rsidR="00330311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>I</w:t>
      </w:r>
      <w:r w:rsidR="00A40910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>COS</w:t>
      </w:r>
      <w:proofErr w:type="spellEnd"/>
      <w:r w:rsidR="00A40910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students progressed to VET. </w:t>
      </w:r>
      <w:r w:rsidR="00D73E2F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8A77E4">
        <w:rPr>
          <w:rFonts w:asciiTheme="minorHAnsi" w:hAnsiTheme="minorHAnsi" w:cstheme="minorHAnsi"/>
          <w:color w:val="000000" w:themeColor="text1"/>
          <w:sz w:val="19"/>
          <w:szCs w:val="19"/>
        </w:rPr>
        <w:t>S</w:t>
      </w:r>
      <w:r w:rsidR="00CF6944">
        <w:rPr>
          <w:rFonts w:asciiTheme="minorHAnsi" w:hAnsiTheme="minorHAnsi" w:cstheme="minorHAnsi"/>
          <w:color w:val="000000" w:themeColor="text1"/>
          <w:sz w:val="19"/>
          <w:szCs w:val="19"/>
        </w:rPr>
        <w:t>tudents from Columbia (73%)</w:t>
      </w:r>
      <w:r w:rsidR="00ED73B1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and </w:t>
      </w:r>
      <w:r w:rsidR="002E64C8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>Japan (66%)</w:t>
      </w:r>
      <w:r w:rsidR="00A40910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ED73B1">
        <w:rPr>
          <w:rFonts w:asciiTheme="minorHAnsi" w:hAnsiTheme="minorHAnsi" w:cstheme="minorHAnsi"/>
          <w:color w:val="000000" w:themeColor="text1"/>
          <w:sz w:val="19"/>
          <w:szCs w:val="19"/>
        </w:rPr>
        <w:t>more often</w:t>
      </w:r>
      <w:r w:rsidR="00A40910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enrolled in </w:t>
      </w:r>
      <w:proofErr w:type="spellStart"/>
      <w:r w:rsidR="00A40910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>ELICOS</w:t>
      </w:r>
      <w:proofErr w:type="spellEnd"/>
      <w:r w:rsidR="00A40910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without undertaking </w:t>
      </w:r>
      <w:r w:rsidR="002E64C8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>any further study</w:t>
      </w:r>
      <w:r w:rsidR="002E64C8" w:rsidRPr="0011577B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0D711E" w:rsidRPr="0011577B" w:rsidRDefault="006A5CC7" w:rsidP="003D2A3E">
      <w:pPr>
        <w:ind w:right="23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For s</w:t>
      </w:r>
      <w:r w:rsidR="005A65E9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chool students</w:t>
      </w:r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6E3F6D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aged 17 or over </w:t>
      </w:r>
      <w:r w:rsidR="00946D9B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who </w:t>
      </w:r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complet</w:t>
      </w:r>
      <w:r w:rsidR="00946D9B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ed</w:t>
      </w:r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their school studies in 201</w:t>
      </w:r>
      <w:r w:rsidR="002A2736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4</w:t>
      </w:r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, </w:t>
      </w:r>
      <w:r w:rsidR="00C448E8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more than half</w:t>
      </w:r>
      <w:r w:rsidR="005850B1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progress</w:t>
      </w:r>
      <w:r w:rsidR="00C448E8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ed</w:t>
      </w:r>
      <w:r w:rsidR="005850B1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AF6CD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on </w:t>
      </w:r>
      <w:r w:rsidR="005850B1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to another </w:t>
      </w:r>
      <w:r w:rsidR="00F126E6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sector,</w:t>
      </w:r>
      <w:r w:rsidR="00475D89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C448E8" w:rsidRPr="00A24F1E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incorporating </w:t>
      </w:r>
      <w:r w:rsidR="00233F2F" w:rsidRPr="00A24F1E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almost </w:t>
      </w:r>
      <w:r w:rsidR="00AF6CD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a </w:t>
      </w:r>
      <w:r w:rsidR="006E3F6D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third</w:t>
      </w:r>
      <w:r w:rsidR="002B1078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C448E8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who </w:t>
      </w:r>
      <w:r w:rsidR="00ED73B1">
        <w:rPr>
          <w:rFonts w:asciiTheme="minorHAnsi" w:hAnsiTheme="minorHAnsi" w:cstheme="minorHAnsi"/>
          <w:color w:val="000000" w:themeColor="text1"/>
          <w:sz w:val="19"/>
          <w:szCs w:val="19"/>
        </w:rPr>
        <w:t>progressed</w:t>
      </w:r>
      <w:r w:rsidR="00C47CF7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to </w:t>
      </w:r>
      <w:r w:rsidR="00C448E8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h</w:t>
      </w:r>
      <w:r w:rsidR="00543692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igher education</w:t>
      </w:r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F126E6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(Figure 2)</w:t>
      </w:r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.</w:t>
      </w:r>
      <w:r w:rsidR="002E64C8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EA5678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The </w:t>
      </w:r>
      <w:r w:rsidR="008A77E4">
        <w:rPr>
          <w:rFonts w:asciiTheme="minorHAnsi" w:hAnsiTheme="minorHAnsi" w:cstheme="minorHAnsi"/>
          <w:color w:val="000000" w:themeColor="text1"/>
          <w:sz w:val="19"/>
          <w:szCs w:val="19"/>
        </w:rPr>
        <w:t>majority</w:t>
      </w:r>
      <w:r w:rsidR="00EA5678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(63%) of </w:t>
      </w:r>
      <w:r w:rsidR="002E64C8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Malaysian </w:t>
      </w:r>
      <w:r w:rsidR="00A40910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school </w:t>
      </w:r>
      <w:r w:rsidR="002E64C8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students </w:t>
      </w:r>
      <w:r w:rsidR="00A40910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and nearly half of </w:t>
      </w:r>
      <w:r w:rsidR="0011577B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students from Hong Kong (46%) and China (45%) progressed </w:t>
      </w:r>
      <w:r w:rsidR="00AF6CD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on </w:t>
      </w:r>
      <w:r w:rsidR="0011577B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to higher education</w:t>
      </w:r>
      <w:r w:rsidR="00EA5678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. </w:t>
      </w:r>
      <w:r w:rsidR="0011577B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Just over a quarter (26%) </w:t>
      </w:r>
      <w:r w:rsidR="008A77E4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of </w:t>
      </w:r>
      <w:r w:rsidR="0011577B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school students </w:t>
      </w:r>
      <w:r w:rsidR="00EA5678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from</w:t>
      </w:r>
      <w:r w:rsidR="0011577B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Vietnam </w:t>
      </w:r>
      <w:r w:rsidR="00AF6CDD">
        <w:rPr>
          <w:rFonts w:asciiTheme="minorHAnsi" w:hAnsiTheme="minorHAnsi" w:cstheme="minorHAnsi"/>
          <w:color w:val="000000" w:themeColor="text1"/>
          <w:sz w:val="19"/>
          <w:szCs w:val="19"/>
        </w:rPr>
        <w:t>progressed on</w:t>
      </w:r>
      <w:r w:rsidR="0011577B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to VET.  </w:t>
      </w:r>
      <w:r w:rsidR="00607BCA">
        <w:rPr>
          <w:rFonts w:asciiTheme="minorHAnsi" w:hAnsiTheme="minorHAnsi" w:cstheme="minorHAnsi"/>
          <w:color w:val="000000" w:themeColor="text1"/>
          <w:sz w:val="19"/>
          <w:szCs w:val="19"/>
        </w:rPr>
        <w:t>Most school students from Germany, Italy and Brazil</w:t>
      </w:r>
      <w:r w:rsidR="00EA5678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did not </w:t>
      </w:r>
      <w:r w:rsidR="00AF6CDD">
        <w:rPr>
          <w:rFonts w:asciiTheme="minorHAnsi" w:hAnsiTheme="minorHAnsi" w:cstheme="minorHAnsi"/>
          <w:color w:val="000000" w:themeColor="text1"/>
          <w:sz w:val="19"/>
          <w:szCs w:val="19"/>
        </w:rPr>
        <w:t>progress on</w:t>
      </w:r>
      <w:r w:rsidR="0011577B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to another sector</w:t>
      </w:r>
      <w:r w:rsidR="00EA5678" w:rsidRPr="0011577B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11577B" w:rsidRPr="0011577B" w:rsidRDefault="0011577B" w:rsidP="0011577B">
      <w:pPr>
        <w:ind w:left="142" w:right="25"/>
        <w:jc w:val="both"/>
        <w:outlineLvl w:val="0"/>
        <w:rPr>
          <w:rFonts w:cs="Arial"/>
          <w:color w:val="000000" w:themeColor="text1"/>
          <w:sz w:val="20"/>
        </w:rPr>
      </w:pPr>
    </w:p>
    <w:p w:rsidR="003D2A3E" w:rsidRDefault="00FF47E5" w:rsidP="00FF47E5">
      <w:pPr>
        <w:spacing w:after="120"/>
        <w:rPr>
          <w:rFonts w:asciiTheme="minorHAnsi" w:hAnsiTheme="minorHAnsi" w:cstheme="minorHAnsi"/>
          <w:b/>
          <w:color w:val="000000" w:themeColor="text1"/>
          <w:sz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lang w:eastAsia="en-AU"/>
        </w:rPr>
        <w:drawing>
          <wp:anchor distT="0" distB="0" distL="114300" distR="114300" simplePos="0" relativeHeight="251667456" behindDoc="0" locked="0" layoutInCell="1" allowOverlap="1" wp14:anchorId="0BF0A6A9" wp14:editId="2A365266">
            <wp:simplePos x="0" y="0"/>
            <wp:positionH relativeFrom="column">
              <wp:posOffset>4316095</wp:posOffset>
            </wp:positionH>
            <wp:positionV relativeFrom="paragraph">
              <wp:posOffset>107950</wp:posOffset>
            </wp:positionV>
            <wp:extent cx="2743200" cy="20669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8E8" w:rsidRPr="0011577B">
        <w:rPr>
          <w:rFonts w:asciiTheme="minorHAnsi" w:hAnsiTheme="minorHAnsi" w:cstheme="minorHAnsi"/>
          <w:b/>
          <w:color w:val="000000" w:themeColor="text1"/>
          <w:sz w:val="20"/>
        </w:rPr>
        <w:t>The previous step before</w:t>
      </w:r>
      <w:r w:rsidR="000D711E" w:rsidRPr="0011577B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  <w:r w:rsidR="00543692" w:rsidRPr="0011577B">
        <w:rPr>
          <w:rFonts w:asciiTheme="minorHAnsi" w:hAnsiTheme="minorHAnsi" w:cstheme="minorHAnsi"/>
          <w:b/>
          <w:color w:val="000000" w:themeColor="text1"/>
          <w:sz w:val="20"/>
        </w:rPr>
        <w:t>higher education</w:t>
      </w:r>
      <w:r w:rsidR="006A5CC7" w:rsidRPr="0011577B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  <w:r w:rsidR="000D711E" w:rsidRPr="0011577B">
        <w:rPr>
          <w:rFonts w:asciiTheme="minorHAnsi" w:hAnsiTheme="minorHAnsi" w:cstheme="minorHAnsi"/>
          <w:b/>
          <w:color w:val="000000" w:themeColor="text1"/>
          <w:sz w:val="20"/>
        </w:rPr>
        <w:t>and VET</w:t>
      </w:r>
    </w:p>
    <w:p w:rsidR="00B15345" w:rsidRDefault="009856D7" w:rsidP="003D2A3E">
      <w:pPr>
        <w:spacing w:after="120"/>
        <w:ind w:right="25"/>
        <w:jc w:val="both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In 201</w:t>
      </w:r>
      <w:r w:rsidR="002A2736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5</w:t>
      </w:r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, </w:t>
      </w:r>
      <w:r w:rsidR="00233F2F">
        <w:rPr>
          <w:rFonts w:asciiTheme="minorHAnsi" w:hAnsiTheme="minorHAnsi" w:cstheme="minorHAnsi"/>
          <w:color w:val="000000" w:themeColor="text1"/>
          <w:sz w:val="19"/>
          <w:szCs w:val="19"/>
        </w:rPr>
        <w:t>nearly</w:t>
      </w:r>
      <w:r w:rsidR="00C448E8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half</w:t>
      </w:r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o</w:t>
      </w:r>
      <w:r w:rsidR="00C47CF7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f </w:t>
      </w:r>
      <w:r w:rsidR="00AF6CD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all </w:t>
      </w:r>
      <w:r w:rsidR="006A5CC7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international students</w:t>
      </w:r>
      <w:r w:rsidR="00F126E6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who </w:t>
      </w:r>
      <w:r w:rsidR="00F126E6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commenc</w:t>
      </w:r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ed</w:t>
      </w:r>
      <w:r w:rsidR="00F126E6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a </w:t>
      </w:r>
      <w:r w:rsidR="00543692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higher education</w:t>
      </w:r>
      <w:r w:rsidR="00F126E6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343C9E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course</w:t>
      </w:r>
      <w:r w:rsidR="00C47CF7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AF6CD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had </w:t>
      </w:r>
      <w:r w:rsidR="008B2171">
        <w:rPr>
          <w:rFonts w:asciiTheme="minorHAnsi" w:hAnsiTheme="minorHAnsi" w:cstheme="minorHAnsi"/>
          <w:color w:val="000000" w:themeColor="text1"/>
          <w:sz w:val="19"/>
          <w:szCs w:val="19"/>
        </w:rPr>
        <w:t>followed</w:t>
      </w:r>
      <w:r w:rsidR="00F126E6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a </w:t>
      </w:r>
      <w:r w:rsidR="008B2171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study </w:t>
      </w:r>
      <w:r w:rsidR="00F126E6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pathway</w:t>
      </w:r>
      <w:r w:rsidR="00C47CF7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from </w:t>
      </w:r>
      <w:r w:rsidR="00AF6CD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a previous </w:t>
      </w:r>
      <w:r w:rsidR="00C47CF7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sector. </w:t>
      </w:r>
      <w:r w:rsidR="00726041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Th</w:t>
      </w:r>
      <w:r w:rsidR="008B2171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irty </w:t>
      </w:r>
      <w:r w:rsidR="003B513E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per cent </w:t>
      </w:r>
      <w:r w:rsidR="001D012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of students </w:t>
      </w:r>
      <w:r w:rsidR="00AF6CDD">
        <w:rPr>
          <w:rFonts w:asciiTheme="minorHAnsi" w:hAnsiTheme="minorHAnsi" w:cstheme="minorHAnsi"/>
          <w:color w:val="000000" w:themeColor="text1"/>
          <w:sz w:val="19"/>
          <w:szCs w:val="19"/>
        </w:rPr>
        <w:t>came</w:t>
      </w:r>
      <w:r w:rsidR="00F126E6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from </w:t>
      </w:r>
      <w:proofErr w:type="spellStart"/>
      <w:r w:rsidR="00F126E6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ELICOS</w:t>
      </w:r>
      <w:proofErr w:type="spellEnd"/>
      <w:r w:rsidR="00375AA7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into </w:t>
      </w:r>
      <w:r w:rsidR="00543692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higher education</w:t>
      </w:r>
      <w:r w:rsidR="00EA5678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. </w:t>
      </w:r>
      <w:r w:rsidR="008B2171">
        <w:rPr>
          <w:rFonts w:asciiTheme="minorHAnsi" w:hAnsiTheme="minorHAnsi" w:cstheme="minorHAnsi"/>
          <w:color w:val="000000" w:themeColor="text1"/>
          <w:sz w:val="19"/>
          <w:szCs w:val="19"/>
        </w:rPr>
        <w:t>A further seven</w:t>
      </w:r>
      <w:r w:rsidR="00382F5D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per cent</w:t>
      </w:r>
      <w:r w:rsidR="00C47CF7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8B2171">
        <w:rPr>
          <w:rFonts w:asciiTheme="minorHAnsi" w:hAnsiTheme="minorHAnsi" w:cstheme="minorHAnsi"/>
          <w:color w:val="000000" w:themeColor="text1"/>
          <w:sz w:val="19"/>
          <w:szCs w:val="19"/>
        </w:rPr>
        <w:t>came</w:t>
      </w:r>
      <w:r w:rsidR="00375AA7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382F5D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from</w:t>
      </w:r>
      <w:r w:rsidR="00375AA7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382F5D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VET and </w:t>
      </w:r>
      <w:r w:rsidR="00EA5678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eight</w:t>
      </w:r>
      <w:r w:rsidR="00382F5D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per cent from</w:t>
      </w:r>
      <w:r w:rsidR="00F126E6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non-award </w:t>
      </w:r>
      <w:r w:rsidR="00382F5D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study</w:t>
      </w:r>
      <w:r w:rsidR="00C47CF7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F126E6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(Figure 3).</w:t>
      </w:r>
      <w:r w:rsidR="006A5CC7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8B2171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Students from China and Vietnam most commonly progressed from </w:t>
      </w:r>
      <w:proofErr w:type="spellStart"/>
      <w:r w:rsidR="008B2171">
        <w:rPr>
          <w:rFonts w:asciiTheme="minorHAnsi" w:hAnsiTheme="minorHAnsi" w:cstheme="minorHAnsi"/>
          <w:color w:val="000000" w:themeColor="text1"/>
          <w:sz w:val="19"/>
          <w:szCs w:val="19"/>
        </w:rPr>
        <w:t>ELICOS</w:t>
      </w:r>
      <w:proofErr w:type="spellEnd"/>
      <w:r w:rsidR="008B2171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to higher education, while s</w:t>
      </w:r>
      <w:r w:rsidR="003F228B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tudents from Malaysia, </w:t>
      </w:r>
      <w:r w:rsidR="00233F2F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Indonesia, India and </w:t>
      </w:r>
      <w:r w:rsidR="00337D8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Nepal </w:t>
      </w:r>
      <w:r w:rsidR="003F228B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were most likely to enrol </w:t>
      </w:r>
      <w:r w:rsidR="008B2171">
        <w:rPr>
          <w:rFonts w:asciiTheme="minorHAnsi" w:hAnsiTheme="minorHAnsi" w:cstheme="minorHAnsi"/>
          <w:color w:val="000000" w:themeColor="text1"/>
          <w:sz w:val="19"/>
          <w:szCs w:val="19"/>
        </w:rPr>
        <w:t>directly in</w:t>
      </w:r>
      <w:r w:rsidR="003F228B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higher education</w:t>
      </w:r>
      <w:r w:rsidR="008B2171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without any prior pathway study</w:t>
      </w:r>
      <w:r w:rsidR="00337D8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. </w:t>
      </w:r>
    </w:p>
    <w:p w:rsidR="00F126E6" w:rsidRDefault="008B2171" w:rsidP="003D2A3E">
      <w:pPr>
        <w:spacing w:after="120"/>
        <w:ind w:right="25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19"/>
          <w:szCs w:val="19"/>
        </w:rPr>
        <w:t>Non-award study (</w:t>
      </w:r>
      <w:r w:rsidR="00AF6CDD">
        <w:rPr>
          <w:rFonts w:asciiTheme="minorHAnsi" w:hAnsiTheme="minorHAnsi" w:cstheme="minorHAnsi"/>
          <w:color w:val="000000" w:themeColor="text1"/>
          <w:sz w:val="19"/>
          <w:szCs w:val="19"/>
        </w:rPr>
        <w:t>often</w:t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involving foundation courses that enable students to meet higher ed</w:t>
      </w:r>
      <w:r w:rsidR="008A77E4">
        <w:rPr>
          <w:rFonts w:asciiTheme="minorHAnsi" w:hAnsiTheme="minorHAnsi" w:cstheme="minorHAnsi"/>
          <w:color w:val="000000" w:themeColor="text1"/>
          <w:sz w:val="19"/>
          <w:szCs w:val="19"/>
        </w:rPr>
        <w:t>ucation entry requirements) was</w:t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a more important pathway for bachelor degree students, </w:t>
      </w:r>
      <w:r w:rsidR="001D73FC">
        <w:rPr>
          <w:rFonts w:asciiTheme="minorHAnsi" w:hAnsiTheme="minorHAnsi" w:cstheme="minorHAnsi"/>
          <w:color w:val="000000" w:themeColor="text1"/>
          <w:sz w:val="19"/>
          <w:szCs w:val="19"/>
        </w:rPr>
        <w:t>with nearly on</w:t>
      </w:r>
      <w:r w:rsidR="001C1FCA">
        <w:rPr>
          <w:rFonts w:asciiTheme="minorHAnsi" w:hAnsiTheme="minorHAnsi" w:cstheme="minorHAnsi"/>
          <w:color w:val="000000" w:themeColor="text1"/>
          <w:sz w:val="19"/>
          <w:szCs w:val="19"/>
        </w:rPr>
        <w:t>e</w:t>
      </w:r>
      <w:r w:rsidR="00D155A8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1D73F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third (30%) having studied a non-award course beforehand. </w:t>
      </w:r>
      <w:r w:rsidR="00B15345">
        <w:rPr>
          <w:rFonts w:asciiTheme="minorHAnsi" w:hAnsiTheme="minorHAnsi" w:cstheme="minorHAnsi"/>
          <w:color w:val="000000" w:themeColor="text1"/>
          <w:sz w:val="20"/>
        </w:rPr>
        <w:t xml:space="preserve"> </w:t>
      </w:r>
    </w:p>
    <w:p w:rsidR="00B15345" w:rsidRPr="003F228B" w:rsidRDefault="00AE0830" w:rsidP="003D2A3E">
      <w:pPr>
        <w:spacing w:after="120"/>
        <w:ind w:right="25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drawing>
          <wp:anchor distT="0" distB="0" distL="114300" distR="114300" simplePos="0" relativeHeight="251665408" behindDoc="0" locked="0" layoutInCell="1" allowOverlap="1" wp14:anchorId="0634BA45" wp14:editId="2FDA968D">
            <wp:simplePos x="0" y="0"/>
            <wp:positionH relativeFrom="column">
              <wp:posOffset>4331970</wp:posOffset>
            </wp:positionH>
            <wp:positionV relativeFrom="paragraph">
              <wp:posOffset>205105</wp:posOffset>
            </wp:positionV>
            <wp:extent cx="2734945" cy="2026285"/>
            <wp:effectExtent l="0" t="0" r="8255" b="0"/>
            <wp:wrapSquare wrapText="bothSides"/>
            <wp:docPr id="8" name="Picture 8" descr="Before commencing a VET course in 2015, international students were studying:&#10;&#10;Pie chart shows data:&#10;&#10;VET only: 46%&#10;ELICOS: 37%&#10;Higher Education: 15%&#10;Non-award: 1%&#10;Schools: 1%" title="Figure 4. Previous sector immediately before commencing a VET course in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02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7E4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The majority (90%) of </w:t>
      </w:r>
      <w:r w:rsidR="00ED73B1">
        <w:rPr>
          <w:rFonts w:asciiTheme="minorHAnsi" w:hAnsiTheme="minorHAnsi" w:cstheme="minorHAnsi"/>
          <w:color w:val="000000" w:themeColor="text1"/>
          <w:sz w:val="19"/>
          <w:szCs w:val="19"/>
        </w:rPr>
        <w:t>international</w:t>
      </w:r>
      <w:r w:rsidR="008A77E4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postgraduate r</w:t>
      </w:r>
      <w:r w:rsidR="00B15345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esearch students did not undertake any prior study in Australia.  Of </w:t>
      </w:r>
      <w:r w:rsidR="001D73F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the small proportion </w:t>
      </w:r>
      <w:r w:rsidR="00B15345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who had undertaken prior study, 18 per cent </w:t>
      </w:r>
      <w:r w:rsidR="00AF6CDD">
        <w:rPr>
          <w:rFonts w:asciiTheme="minorHAnsi" w:hAnsiTheme="minorHAnsi" w:cstheme="minorHAnsi"/>
          <w:color w:val="000000" w:themeColor="text1"/>
          <w:sz w:val="19"/>
          <w:szCs w:val="19"/>
        </w:rPr>
        <w:t>had done</w:t>
      </w:r>
      <w:r w:rsidR="00B15345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non-award study, 11 per cent </w:t>
      </w:r>
      <w:r w:rsidR="001D73FC">
        <w:rPr>
          <w:rFonts w:asciiTheme="minorHAnsi" w:hAnsiTheme="minorHAnsi" w:cstheme="minorHAnsi"/>
          <w:color w:val="000000" w:themeColor="text1"/>
          <w:sz w:val="19"/>
          <w:szCs w:val="19"/>
        </w:rPr>
        <w:t>had studied</w:t>
      </w:r>
      <w:r w:rsidR="00B15345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AF6CD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a </w:t>
      </w:r>
      <w:proofErr w:type="spellStart"/>
      <w:r w:rsidR="00B15345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>Masters</w:t>
      </w:r>
      <w:proofErr w:type="spellEnd"/>
      <w:r w:rsidR="00B15345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AF6CD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degree </w:t>
      </w:r>
      <w:r w:rsidR="00B15345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>by coursework and 10</w:t>
      </w:r>
      <w:r w:rsidR="001D73F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per cent a</w:t>
      </w:r>
      <w:r w:rsidR="00B15345" w:rsidRPr="0065600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Bachelor’s </w:t>
      </w:r>
      <w:r w:rsidR="001D73FC">
        <w:rPr>
          <w:rFonts w:asciiTheme="minorHAnsi" w:hAnsiTheme="minorHAnsi" w:cstheme="minorHAnsi"/>
          <w:color w:val="000000" w:themeColor="text1"/>
          <w:sz w:val="19"/>
          <w:szCs w:val="19"/>
        </w:rPr>
        <w:t>degree.</w:t>
      </w:r>
    </w:p>
    <w:p w:rsidR="00082E1A" w:rsidRDefault="00343C9E" w:rsidP="003D2A3E">
      <w:pPr>
        <w:spacing w:after="200"/>
        <w:ind w:right="25"/>
        <w:jc w:val="both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Of the international students </w:t>
      </w:r>
      <w:r w:rsidR="009856D7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who </w:t>
      </w:r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commenc</w:t>
      </w:r>
      <w:r w:rsidR="009856D7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ed</w:t>
      </w:r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a VET course in 201</w:t>
      </w:r>
      <w:r w:rsidR="002A2736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5</w:t>
      </w:r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, </w:t>
      </w:r>
      <w:r w:rsidR="00C448E8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more than half</w:t>
      </w:r>
      <w:r w:rsidR="00351A2A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F126E6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did so </w:t>
      </w:r>
      <w:r w:rsidR="00351A2A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through a pathway</w:t>
      </w:r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from </w:t>
      </w:r>
      <w:r w:rsidR="00AF6CDD">
        <w:rPr>
          <w:rFonts w:asciiTheme="minorHAnsi" w:hAnsiTheme="minorHAnsi" w:cstheme="minorHAnsi"/>
          <w:color w:val="000000" w:themeColor="text1"/>
          <w:sz w:val="19"/>
          <w:szCs w:val="19"/>
        </w:rPr>
        <w:t>an</w:t>
      </w:r>
      <w:r w:rsidR="00ED73B1">
        <w:rPr>
          <w:rFonts w:asciiTheme="minorHAnsi" w:hAnsiTheme="minorHAnsi" w:cstheme="minorHAnsi"/>
          <w:color w:val="000000" w:themeColor="text1"/>
          <w:sz w:val="19"/>
          <w:szCs w:val="19"/>
        </w:rPr>
        <w:t>other sector. Of tho</w:t>
      </w:r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se </w:t>
      </w:r>
      <w:r w:rsidR="005B2D38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pathway </w:t>
      </w:r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students</w:t>
      </w:r>
      <w:r w:rsidR="00351A2A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, </w:t>
      </w:r>
      <w:r w:rsidR="00196D1B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37</w:t>
      </w:r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per cent </w:t>
      </w:r>
      <w:r w:rsidR="001D73FC">
        <w:rPr>
          <w:rFonts w:asciiTheme="minorHAnsi" w:hAnsiTheme="minorHAnsi" w:cstheme="minorHAnsi"/>
          <w:color w:val="000000" w:themeColor="text1"/>
          <w:sz w:val="19"/>
          <w:szCs w:val="19"/>
        </w:rPr>
        <w:t>had studied</w:t>
      </w:r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ELICOS</w:t>
      </w:r>
      <w:proofErr w:type="spellEnd"/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1D73FC">
        <w:rPr>
          <w:rFonts w:asciiTheme="minorHAnsi" w:hAnsiTheme="minorHAnsi" w:cstheme="minorHAnsi"/>
          <w:color w:val="000000" w:themeColor="text1"/>
          <w:sz w:val="19"/>
          <w:szCs w:val="19"/>
        </w:rPr>
        <w:t>beforehand</w:t>
      </w:r>
      <w:r w:rsidR="00C84709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(Figure 4). </w:t>
      </w:r>
    </w:p>
    <w:p w:rsidR="009062D8" w:rsidRDefault="003F228B" w:rsidP="003D2A3E">
      <w:pPr>
        <w:spacing w:after="200"/>
        <w:ind w:right="25"/>
        <w:jc w:val="both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More than half of students from </w:t>
      </w:r>
      <w:r w:rsidR="00A24F1E">
        <w:rPr>
          <w:rFonts w:asciiTheme="minorHAnsi" w:hAnsiTheme="minorHAnsi" w:cstheme="minorHAnsi"/>
          <w:color w:val="000000" w:themeColor="text1"/>
          <w:sz w:val="19"/>
          <w:szCs w:val="19"/>
        </w:rPr>
        <w:t>Italy</w:t>
      </w:r>
      <w:r w:rsidR="00AF6CD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(69%)</w:t>
      </w:r>
      <w:r w:rsidR="00A24F1E">
        <w:rPr>
          <w:rFonts w:asciiTheme="minorHAnsi" w:hAnsiTheme="minorHAnsi" w:cstheme="minorHAnsi"/>
          <w:color w:val="000000" w:themeColor="text1"/>
          <w:sz w:val="19"/>
          <w:szCs w:val="19"/>
        </w:rPr>
        <w:t>, India</w:t>
      </w:r>
      <w:r w:rsidR="00AF6CD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(57%)</w:t>
      </w:r>
      <w:r w:rsidR="00A24F1E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and Malaysia</w:t>
      </w:r>
      <w:r w:rsidR="00AF6CD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(55%)</w:t>
      </w:r>
      <w:r w:rsidR="00A24F1E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ED73B1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most </w:t>
      </w:r>
      <w:r w:rsidR="00C84709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enro</w:t>
      </w:r>
      <w:r w:rsidR="00ED73B1">
        <w:rPr>
          <w:rFonts w:asciiTheme="minorHAnsi" w:hAnsiTheme="minorHAnsi" w:cstheme="minorHAnsi"/>
          <w:color w:val="000000" w:themeColor="text1"/>
          <w:sz w:val="19"/>
          <w:szCs w:val="19"/>
        </w:rPr>
        <w:t>lled</w:t>
      </w:r>
      <w:r w:rsidR="00C84709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directly into VET</w:t>
      </w:r>
      <w:r w:rsidR="00AF6CD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with no prior study pathway</w:t>
      </w:r>
      <w:r w:rsidR="00C84709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. </w:t>
      </w:r>
      <w:r w:rsidR="00AF6CDD">
        <w:rPr>
          <w:rFonts w:asciiTheme="minorHAnsi" w:hAnsiTheme="minorHAnsi" w:cstheme="minorHAnsi"/>
          <w:color w:val="000000" w:themeColor="text1"/>
          <w:sz w:val="19"/>
          <w:szCs w:val="19"/>
        </w:rPr>
        <w:t>Most s</w:t>
      </w:r>
      <w:r w:rsidR="00C84709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tudents from Thailand</w:t>
      </w:r>
      <w:r w:rsidR="00AF6CD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(89%)</w:t>
      </w:r>
      <w:r w:rsidR="00C84709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, </w:t>
      </w:r>
      <w:r w:rsidR="00C84709" w:rsidRPr="00A24F1E">
        <w:rPr>
          <w:rFonts w:asciiTheme="minorHAnsi" w:hAnsiTheme="minorHAnsi" w:cstheme="minorHAnsi"/>
          <w:color w:val="000000" w:themeColor="text1"/>
          <w:sz w:val="19"/>
          <w:szCs w:val="19"/>
        </w:rPr>
        <w:t>V</w:t>
      </w:r>
      <w:r w:rsidR="00D73E2F" w:rsidRPr="00A24F1E">
        <w:rPr>
          <w:rFonts w:asciiTheme="minorHAnsi" w:hAnsiTheme="minorHAnsi" w:cstheme="minorHAnsi"/>
          <w:color w:val="000000" w:themeColor="text1"/>
          <w:sz w:val="19"/>
          <w:szCs w:val="19"/>
        </w:rPr>
        <w:t>iet</w:t>
      </w:r>
      <w:r w:rsidR="00C84709" w:rsidRPr="00A24F1E">
        <w:rPr>
          <w:rFonts w:asciiTheme="minorHAnsi" w:hAnsiTheme="minorHAnsi" w:cstheme="minorHAnsi"/>
          <w:color w:val="000000" w:themeColor="text1"/>
          <w:sz w:val="19"/>
          <w:szCs w:val="19"/>
        </w:rPr>
        <w:t>nam</w:t>
      </w:r>
      <w:r w:rsidR="00AF6CD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(85%)</w:t>
      </w:r>
      <w:r w:rsidR="00C84709" w:rsidRPr="00A24F1E">
        <w:rPr>
          <w:rFonts w:asciiTheme="minorHAnsi" w:hAnsiTheme="minorHAnsi" w:cstheme="minorHAnsi"/>
          <w:color w:val="000000" w:themeColor="text1"/>
          <w:sz w:val="19"/>
          <w:szCs w:val="19"/>
        </w:rPr>
        <w:t>,</w:t>
      </w:r>
      <w:r w:rsidR="00C84709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Brazil </w:t>
      </w:r>
      <w:r w:rsidR="00AF6CD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(80%) </w:t>
      </w:r>
      <w:r w:rsidR="00C84709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and China </w:t>
      </w:r>
      <w:r w:rsidR="00AF6CDD">
        <w:rPr>
          <w:rFonts w:asciiTheme="minorHAnsi" w:hAnsiTheme="minorHAnsi" w:cstheme="minorHAnsi"/>
          <w:color w:val="000000" w:themeColor="text1"/>
          <w:sz w:val="19"/>
          <w:szCs w:val="19"/>
        </w:rPr>
        <w:t>(70</w:t>
      </w:r>
      <w:r w:rsidR="00D155A8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%) </w:t>
      </w:r>
      <w:r w:rsidR="00C84709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have progressed to VET from </w:t>
      </w:r>
      <w:proofErr w:type="spellStart"/>
      <w:r w:rsidR="00C84709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ELICOS</w:t>
      </w:r>
      <w:proofErr w:type="spellEnd"/>
      <w:r w:rsidR="00C84709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. </w:t>
      </w:r>
      <w:proofErr w:type="gramStart"/>
      <w:r w:rsidR="00C84709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More t</w:t>
      </w:r>
      <w:r w:rsidR="00B15345">
        <w:rPr>
          <w:rFonts w:asciiTheme="minorHAnsi" w:hAnsiTheme="minorHAnsi" w:cstheme="minorHAnsi"/>
          <w:color w:val="000000" w:themeColor="text1"/>
          <w:sz w:val="19"/>
          <w:szCs w:val="19"/>
        </w:rPr>
        <w:t>han half (57%) of students from</w:t>
      </w:r>
      <w:r w:rsidR="00C84709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India enrolled directly in</w:t>
      </w:r>
      <w:r w:rsidR="001D73F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a</w:t>
      </w:r>
      <w:r w:rsidR="00C84709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VET</w:t>
      </w:r>
      <w:r w:rsidR="001D73F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course</w:t>
      </w:r>
      <w:r w:rsidR="007F5588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with no prior study</w:t>
      </w:r>
      <w:r w:rsidR="001D73FC">
        <w:rPr>
          <w:rFonts w:asciiTheme="minorHAnsi" w:hAnsiTheme="minorHAnsi" w:cstheme="minorHAnsi"/>
          <w:color w:val="000000" w:themeColor="text1"/>
          <w:sz w:val="19"/>
          <w:szCs w:val="19"/>
        </w:rPr>
        <w:t>,</w:t>
      </w:r>
      <w:r w:rsidR="00B052B9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1D73FC">
        <w:rPr>
          <w:rFonts w:asciiTheme="minorHAnsi" w:hAnsiTheme="minorHAnsi" w:cstheme="minorHAnsi"/>
          <w:color w:val="000000" w:themeColor="text1"/>
          <w:sz w:val="19"/>
          <w:szCs w:val="19"/>
        </w:rPr>
        <w:t>while</w:t>
      </w:r>
      <w:r w:rsidR="00C84709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FF47E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most </w:t>
      </w:r>
      <w:r w:rsidR="00ED73B1">
        <w:rPr>
          <w:rFonts w:asciiTheme="minorHAnsi" w:hAnsiTheme="minorHAnsi" w:cstheme="minorHAnsi"/>
          <w:color w:val="000000" w:themeColor="text1"/>
          <w:sz w:val="19"/>
          <w:szCs w:val="19"/>
        </w:rPr>
        <w:t>ot</w:t>
      </w:r>
      <w:bookmarkStart w:id="1" w:name="_GoBack"/>
      <w:bookmarkEnd w:id="1"/>
      <w:r w:rsidR="00ED73B1">
        <w:rPr>
          <w:rFonts w:asciiTheme="minorHAnsi" w:hAnsiTheme="minorHAnsi" w:cstheme="minorHAnsi"/>
          <w:color w:val="000000" w:themeColor="text1"/>
          <w:sz w:val="19"/>
          <w:szCs w:val="19"/>
        </w:rPr>
        <w:t>hers</w:t>
      </w:r>
      <w:r w:rsidR="00D155A8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C84709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had </w:t>
      </w:r>
      <w:r w:rsidR="001D73FC">
        <w:rPr>
          <w:rFonts w:asciiTheme="minorHAnsi" w:hAnsiTheme="minorHAnsi" w:cstheme="minorHAnsi"/>
          <w:color w:val="000000" w:themeColor="text1"/>
          <w:sz w:val="19"/>
          <w:szCs w:val="19"/>
        </w:rPr>
        <w:t>followed a pathway from</w:t>
      </w:r>
      <w:r w:rsidR="00C84709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FF47E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either </w:t>
      </w:r>
      <w:r w:rsidR="00C84709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>higher education</w:t>
      </w:r>
      <w:r w:rsidR="00B052B9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ED73B1">
        <w:rPr>
          <w:rFonts w:asciiTheme="minorHAnsi" w:hAnsiTheme="minorHAnsi" w:cstheme="minorHAnsi"/>
          <w:color w:val="000000" w:themeColor="text1"/>
          <w:sz w:val="19"/>
          <w:szCs w:val="19"/>
        </w:rPr>
        <w:t>or</w:t>
      </w:r>
      <w:r w:rsidR="00D155A8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="00D155A8">
        <w:rPr>
          <w:rFonts w:asciiTheme="minorHAnsi" w:hAnsiTheme="minorHAnsi" w:cstheme="minorHAnsi"/>
          <w:color w:val="000000" w:themeColor="text1"/>
          <w:sz w:val="19"/>
          <w:szCs w:val="19"/>
        </w:rPr>
        <w:t>ELICOS</w:t>
      </w:r>
      <w:proofErr w:type="spellEnd"/>
      <w:r w:rsidR="00FF47E5">
        <w:rPr>
          <w:rFonts w:asciiTheme="minorHAnsi" w:hAnsiTheme="minorHAnsi" w:cstheme="minorHAnsi"/>
          <w:color w:val="000000" w:themeColor="text1"/>
          <w:sz w:val="19"/>
          <w:szCs w:val="19"/>
        </w:rPr>
        <w:t>.</w:t>
      </w:r>
      <w:proofErr w:type="gramEnd"/>
      <w:r w:rsidR="00C63296" w:rsidRPr="00B1534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</w:p>
    <w:sectPr w:rsidR="009062D8" w:rsidSect="0032520B">
      <w:footerReference w:type="default" r:id="rId14"/>
      <w:type w:val="continuous"/>
      <w:pgSz w:w="11906" w:h="16838" w:code="9"/>
      <w:pgMar w:top="284" w:right="567" w:bottom="249" w:left="403" w:header="56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2A" w:rsidRDefault="00351A2A">
      <w:r>
        <w:separator/>
      </w:r>
    </w:p>
  </w:endnote>
  <w:endnote w:type="continuationSeparator" w:id="0">
    <w:p w:rsidR="00351A2A" w:rsidRDefault="0035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2A" w:rsidRPr="009E3301" w:rsidRDefault="008573B8" w:rsidP="008573B8">
    <w:pPr>
      <w:spacing w:line="160" w:lineRule="exact"/>
      <w:rPr>
        <w:rFonts w:asciiTheme="minorHAnsi" w:hAnsiTheme="minorHAnsi" w:cstheme="minorHAnsi"/>
        <w:sz w:val="16"/>
        <w:szCs w:val="16"/>
      </w:rPr>
    </w:pPr>
    <w:r w:rsidRPr="009E3301">
      <w:rPr>
        <w:rFonts w:asciiTheme="minorHAnsi" w:hAnsiTheme="minorHAnsi" w:cstheme="minorHAnsi"/>
        <w:color w:val="000000"/>
        <w:sz w:val="16"/>
        <w:szCs w:val="16"/>
      </w:rPr>
      <w:t>For further information about this Research Snapshot or the Research Snapshot Series contact the International Research and Analysis Unit by email</w:t>
    </w:r>
    <w:r w:rsidR="003F6009" w:rsidRPr="009E3301">
      <w:rPr>
        <w:rFonts w:asciiTheme="minorHAnsi" w:hAnsiTheme="minorHAnsi" w:cstheme="minorHAnsi"/>
        <w:color w:val="000000"/>
        <w:sz w:val="16"/>
        <w:szCs w:val="16"/>
      </w:rPr>
      <w:t xml:space="preserve"> at </w:t>
    </w:r>
    <w:hyperlink r:id="rId1" w:history="1">
      <w:r w:rsidRPr="009E3301">
        <w:rPr>
          <w:rStyle w:val="Hyperlink"/>
          <w:rFonts w:asciiTheme="minorHAnsi" w:hAnsiTheme="minorHAnsi" w:cstheme="minorHAnsi"/>
          <w:sz w:val="16"/>
          <w:szCs w:val="16"/>
        </w:rPr>
        <w:t>IEResearch@education.gov.au</w:t>
      </w:r>
    </w:hyperlink>
    <w:r w:rsidRPr="009E3301">
      <w:rPr>
        <w:rFonts w:asciiTheme="minorHAnsi" w:hAnsiTheme="minorHAnsi" w:cstheme="minorHAnsi"/>
        <w:sz w:val="16"/>
        <w:szCs w:val="16"/>
      </w:rPr>
      <w:t xml:space="preserve">. The Research Snapshot series can be accessed from </w:t>
    </w:r>
    <w:hyperlink r:id="rId2" w:history="1">
      <w:r w:rsidRPr="009E3301">
        <w:rPr>
          <w:rStyle w:val="Hyperlink"/>
          <w:rFonts w:asciiTheme="minorHAnsi" w:hAnsiTheme="minorHAnsi" w:cstheme="minorHAnsi"/>
          <w:sz w:val="16"/>
          <w:szCs w:val="16"/>
        </w:rPr>
        <w:t>https://internationaleducation.gov.au/research/research-snapshots/pages/default.aspx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2A" w:rsidRDefault="00351A2A">
      <w:r>
        <w:separator/>
      </w:r>
    </w:p>
  </w:footnote>
  <w:footnote w:type="continuationSeparator" w:id="0">
    <w:p w:rsidR="00351A2A" w:rsidRDefault="0035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4F9"/>
    <w:multiLevelType w:val="hybridMultilevel"/>
    <w:tmpl w:val="E91C7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34DCB"/>
    <w:multiLevelType w:val="hybridMultilevel"/>
    <w:tmpl w:val="198C6E4A"/>
    <w:lvl w:ilvl="0" w:tplc="151049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B7"/>
    <w:rsid w:val="0000134E"/>
    <w:rsid w:val="00005D13"/>
    <w:rsid w:val="00006D7A"/>
    <w:rsid w:val="00010D51"/>
    <w:rsid w:val="00015C60"/>
    <w:rsid w:val="00016FA6"/>
    <w:rsid w:val="000277E6"/>
    <w:rsid w:val="000301DA"/>
    <w:rsid w:val="00031338"/>
    <w:rsid w:val="000324C0"/>
    <w:rsid w:val="00033829"/>
    <w:rsid w:val="00034F54"/>
    <w:rsid w:val="00035FE5"/>
    <w:rsid w:val="0003779B"/>
    <w:rsid w:val="00040D90"/>
    <w:rsid w:val="00041B86"/>
    <w:rsid w:val="00042EED"/>
    <w:rsid w:val="00050720"/>
    <w:rsid w:val="00052C4B"/>
    <w:rsid w:val="00056182"/>
    <w:rsid w:val="00056D7B"/>
    <w:rsid w:val="000579A6"/>
    <w:rsid w:val="0006363D"/>
    <w:rsid w:val="00064849"/>
    <w:rsid w:val="00064890"/>
    <w:rsid w:val="00065418"/>
    <w:rsid w:val="00065AB2"/>
    <w:rsid w:val="000715AE"/>
    <w:rsid w:val="00073622"/>
    <w:rsid w:val="00075591"/>
    <w:rsid w:val="00082E1A"/>
    <w:rsid w:val="000860A7"/>
    <w:rsid w:val="00090DB0"/>
    <w:rsid w:val="000941CE"/>
    <w:rsid w:val="0009572B"/>
    <w:rsid w:val="000A06FE"/>
    <w:rsid w:val="000B3A2D"/>
    <w:rsid w:val="000C2E42"/>
    <w:rsid w:val="000C44C8"/>
    <w:rsid w:val="000D12E2"/>
    <w:rsid w:val="000D1A0F"/>
    <w:rsid w:val="000D26AD"/>
    <w:rsid w:val="000D667E"/>
    <w:rsid w:val="000D711E"/>
    <w:rsid w:val="000D7D65"/>
    <w:rsid w:val="000E2B20"/>
    <w:rsid w:val="000E427C"/>
    <w:rsid w:val="000E7111"/>
    <w:rsid w:val="000F1E61"/>
    <w:rsid w:val="000F2A82"/>
    <w:rsid w:val="000F61E8"/>
    <w:rsid w:val="000F6496"/>
    <w:rsid w:val="000F76D0"/>
    <w:rsid w:val="00101EEA"/>
    <w:rsid w:val="00102775"/>
    <w:rsid w:val="00103020"/>
    <w:rsid w:val="001030C3"/>
    <w:rsid w:val="00110952"/>
    <w:rsid w:val="00114C6C"/>
    <w:rsid w:val="0011577B"/>
    <w:rsid w:val="001166F1"/>
    <w:rsid w:val="00116985"/>
    <w:rsid w:val="001169B5"/>
    <w:rsid w:val="001202CA"/>
    <w:rsid w:val="00120C87"/>
    <w:rsid w:val="001218CA"/>
    <w:rsid w:val="00124EFA"/>
    <w:rsid w:val="00126B17"/>
    <w:rsid w:val="001277A5"/>
    <w:rsid w:val="00127E38"/>
    <w:rsid w:val="00131D4C"/>
    <w:rsid w:val="00132EC8"/>
    <w:rsid w:val="00136AE8"/>
    <w:rsid w:val="001413F8"/>
    <w:rsid w:val="00141E0F"/>
    <w:rsid w:val="00142132"/>
    <w:rsid w:val="00142837"/>
    <w:rsid w:val="0014444A"/>
    <w:rsid w:val="00150F17"/>
    <w:rsid w:val="001621C9"/>
    <w:rsid w:val="001632C2"/>
    <w:rsid w:val="00170567"/>
    <w:rsid w:val="00171815"/>
    <w:rsid w:val="00171893"/>
    <w:rsid w:val="001735B2"/>
    <w:rsid w:val="0017472E"/>
    <w:rsid w:val="00176503"/>
    <w:rsid w:val="001775B3"/>
    <w:rsid w:val="001873C7"/>
    <w:rsid w:val="0019380E"/>
    <w:rsid w:val="00194B44"/>
    <w:rsid w:val="00196D1B"/>
    <w:rsid w:val="001A0470"/>
    <w:rsid w:val="001A19C4"/>
    <w:rsid w:val="001A5293"/>
    <w:rsid w:val="001B15C2"/>
    <w:rsid w:val="001B3114"/>
    <w:rsid w:val="001B46ED"/>
    <w:rsid w:val="001C1FCA"/>
    <w:rsid w:val="001C7434"/>
    <w:rsid w:val="001D012D"/>
    <w:rsid w:val="001D250B"/>
    <w:rsid w:val="001D2BBC"/>
    <w:rsid w:val="001D4E43"/>
    <w:rsid w:val="001D60E0"/>
    <w:rsid w:val="001D73FC"/>
    <w:rsid w:val="001E59B3"/>
    <w:rsid w:val="001E7993"/>
    <w:rsid w:val="001F0AA6"/>
    <w:rsid w:val="001F7959"/>
    <w:rsid w:val="002014A7"/>
    <w:rsid w:val="002029F8"/>
    <w:rsid w:val="002049E4"/>
    <w:rsid w:val="00205882"/>
    <w:rsid w:val="00211CC2"/>
    <w:rsid w:val="00217475"/>
    <w:rsid w:val="00220553"/>
    <w:rsid w:val="00221FE0"/>
    <w:rsid w:val="002222FA"/>
    <w:rsid w:val="00225063"/>
    <w:rsid w:val="00225A76"/>
    <w:rsid w:val="002272BE"/>
    <w:rsid w:val="00232CB1"/>
    <w:rsid w:val="00233F2F"/>
    <w:rsid w:val="002366D5"/>
    <w:rsid w:val="002369F4"/>
    <w:rsid w:val="002373AC"/>
    <w:rsid w:val="00250DEA"/>
    <w:rsid w:val="00252223"/>
    <w:rsid w:val="00252322"/>
    <w:rsid w:val="00253C56"/>
    <w:rsid w:val="0026026F"/>
    <w:rsid w:val="0026157C"/>
    <w:rsid w:val="00262411"/>
    <w:rsid w:val="00263368"/>
    <w:rsid w:val="002674E7"/>
    <w:rsid w:val="00273A02"/>
    <w:rsid w:val="00276799"/>
    <w:rsid w:val="00280D4C"/>
    <w:rsid w:val="0029065F"/>
    <w:rsid w:val="002911E6"/>
    <w:rsid w:val="002914A7"/>
    <w:rsid w:val="0029290C"/>
    <w:rsid w:val="002943B1"/>
    <w:rsid w:val="002A2736"/>
    <w:rsid w:val="002A2F76"/>
    <w:rsid w:val="002A57F3"/>
    <w:rsid w:val="002B1078"/>
    <w:rsid w:val="002B13C6"/>
    <w:rsid w:val="002B5A00"/>
    <w:rsid w:val="002B634D"/>
    <w:rsid w:val="002C5BCA"/>
    <w:rsid w:val="002D0229"/>
    <w:rsid w:val="002D13BE"/>
    <w:rsid w:val="002D4ADC"/>
    <w:rsid w:val="002D7B5D"/>
    <w:rsid w:val="002E1255"/>
    <w:rsid w:val="002E1E82"/>
    <w:rsid w:val="002E25C3"/>
    <w:rsid w:val="002E2650"/>
    <w:rsid w:val="002E433A"/>
    <w:rsid w:val="002E64C8"/>
    <w:rsid w:val="002E6B77"/>
    <w:rsid w:val="002F262A"/>
    <w:rsid w:val="002F43B3"/>
    <w:rsid w:val="002F6C5A"/>
    <w:rsid w:val="00300C2D"/>
    <w:rsid w:val="00300C87"/>
    <w:rsid w:val="0030176F"/>
    <w:rsid w:val="00305026"/>
    <w:rsid w:val="00307E64"/>
    <w:rsid w:val="00311A93"/>
    <w:rsid w:val="00313845"/>
    <w:rsid w:val="003153DE"/>
    <w:rsid w:val="00315FB7"/>
    <w:rsid w:val="00322C12"/>
    <w:rsid w:val="00323D29"/>
    <w:rsid w:val="00323FEC"/>
    <w:rsid w:val="00325183"/>
    <w:rsid w:val="0032520B"/>
    <w:rsid w:val="0032703B"/>
    <w:rsid w:val="00330106"/>
    <w:rsid w:val="00330311"/>
    <w:rsid w:val="0033440D"/>
    <w:rsid w:val="00334E02"/>
    <w:rsid w:val="00335C17"/>
    <w:rsid w:val="003374F0"/>
    <w:rsid w:val="00337D85"/>
    <w:rsid w:val="00337EF4"/>
    <w:rsid w:val="0034024C"/>
    <w:rsid w:val="003408D4"/>
    <w:rsid w:val="00340EF8"/>
    <w:rsid w:val="0034209B"/>
    <w:rsid w:val="00342B2E"/>
    <w:rsid w:val="00343C9E"/>
    <w:rsid w:val="00346FB2"/>
    <w:rsid w:val="00351A2A"/>
    <w:rsid w:val="003557A9"/>
    <w:rsid w:val="00357776"/>
    <w:rsid w:val="00362500"/>
    <w:rsid w:val="00364904"/>
    <w:rsid w:val="003677E6"/>
    <w:rsid w:val="00375AA7"/>
    <w:rsid w:val="00377950"/>
    <w:rsid w:val="00382F5D"/>
    <w:rsid w:val="003847AB"/>
    <w:rsid w:val="00391124"/>
    <w:rsid w:val="003A1B55"/>
    <w:rsid w:val="003B513E"/>
    <w:rsid w:val="003B7FB4"/>
    <w:rsid w:val="003C0D9D"/>
    <w:rsid w:val="003C391C"/>
    <w:rsid w:val="003C560B"/>
    <w:rsid w:val="003C6DF8"/>
    <w:rsid w:val="003D0DD6"/>
    <w:rsid w:val="003D166C"/>
    <w:rsid w:val="003D2681"/>
    <w:rsid w:val="003D2A3E"/>
    <w:rsid w:val="003D36DE"/>
    <w:rsid w:val="003D3728"/>
    <w:rsid w:val="003D6094"/>
    <w:rsid w:val="003D678E"/>
    <w:rsid w:val="003D7D24"/>
    <w:rsid w:val="003E1CF7"/>
    <w:rsid w:val="003E579B"/>
    <w:rsid w:val="003E5F26"/>
    <w:rsid w:val="003F134A"/>
    <w:rsid w:val="003F228B"/>
    <w:rsid w:val="003F31C1"/>
    <w:rsid w:val="003F3BFA"/>
    <w:rsid w:val="003F52C7"/>
    <w:rsid w:val="003F6009"/>
    <w:rsid w:val="003F616D"/>
    <w:rsid w:val="003F7D2B"/>
    <w:rsid w:val="004008A5"/>
    <w:rsid w:val="00406A43"/>
    <w:rsid w:val="00406CA9"/>
    <w:rsid w:val="00410625"/>
    <w:rsid w:val="00412290"/>
    <w:rsid w:val="00414BCF"/>
    <w:rsid w:val="00417C5D"/>
    <w:rsid w:val="00421701"/>
    <w:rsid w:val="00422549"/>
    <w:rsid w:val="00432A8B"/>
    <w:rsid w:val="00432EB5"/>
    <w:rsid w:val="00440FB8"/>
    <w:rsid w:val="00441FC8"/>
    <w:rsid w:val="00444A50"/>
    <w:rsid w:val="00444F7E"/>
    <w:rsid w:val="004530DB"/>
    <w:rsid w:val="0045411D"/>
    <w:rsid w:val="0045634D"/>
    <w:rsid w:val="0045661C"/>
    <w:rsid w:val="00461948"/>
    <w:rsid w:val="004641BE"/>
    <w:rsid w:val="004652B6"/>
    <w:rsid w:val="004674D4"/>
    <w:rsid w:val="004723EC"/>
    <w:rsid w:val="004757EE"/>
    <w:rsid w:val="00475D89"/>
    <w:rsid w:val="00477620"/>
    <w:rsid w:val="0048450D"/>
    <w:rsid w:val="00485F01"/>
    <w:rsid w:val="00486AFF"/>
    <w:rsid w:val="00490B54"/>
    <w:rsid w:val="0049445B"/>
    <w:rsid w:val="00494B27"/>
    <w:rsid w:val="00494BF7"/>
    <w:rsid w:val="00496F73"/>
    <w:rsid w:val="00497A56"/>
    <w:rsid w:val="004A064E"/>
    <w:rsid w:val="004A1737"/>
    <w:rsid w:val="004A3598"/>
    <w:rsid w:val="004B1B86"/>
    <w:rsid w:val="004B1B94"/>
    <w:rsid w:val="004B1EEB"/>
    <w:rsid w:val="004B4B23"/>
    <w:rsid w:val="004B4D62"/>
    <w:rsid w:val="004C1FF6"/>
    <w:rsid w:val="004C5773"/>
    <w:rsid w:val="004C61B6"/>
    <w:rsid w:val="004D3512"/>
    <w:rsid w:val="004D6179"/>
    <w:rsid w:val="004E017A"/>
    <w:rsid w:val="004E04B5"/>
    <w:rsid w:val="004E36DC"/>
    <w:rsid w:val="004E447D"/>
    <w:rsid w:val="004E5CEE"/>
    <w:rsid w:val="004E70D9"/>
    <w:rsid w:val="004F126E"/>
    <w:rsid w:val="004F3EE3"/>
    <w:rsid w:val="004F4458"/>
    <w:rsid w:val="004F5058"/>
    <w:rsid w:val="00501E23"/>
    <w:rsid w:val="00511DA3"/>
    <w:rsid w:val="00513D78"/>
    <w:rsid w:val="005143C1"/>
    <w:rsid w:val="005162A2"/>
    <w:rsid w:val="00520616"/>
    <w:rsid w:val="00522136"/>
    <w:rsid w:val="005240C9"/>
    <w:rsid w:val="0052579E"/>
    <w:rsid w:val="00525E6F"/>
    <w:rsid w:val="005262E9"/>
    <w:rsid w:val="0054317E"/>
    <w:rsid w:val="00543692"/>
    <w:rsid w:val="00544260"/>
    <w:rsid w:val="00544D96"/>
    <w:rsid w:val="005471AB"/>
    <w:rsid w:val="005502B1"/>
    <w:rsid w:val="00550579"/>
    <w:rsid w:val="005511CB"/>
    <w:rsid w:val="00573A00"/>
    <w:rsid w:val="005751E5"/>
    <w:rsid w:val="00576252"/>
    <w:rsid w:val="00576B0E"/>
    <w:rsid w:val="00583450"/>
    <w:rsid w:val="005850B1"/>
    <w:rsid w:val="00585A82"/>
    <w:rsid w:val="00590839"/>
    <w:rsid w:val="00594FA2"/>
    <w:rsid w:val="005965AD"/>
    <w:rsid w:val="00596C11"/>
    <w:rsid w:val="005978DB"/>
    <w:rsid w:val="005A18FE"/>
    <w:rsid w:val="005A2D8C"/>
    <w:rsid w:val="005A3326"/>
    <w:rsid w:val="005A37AF"/>
    <w:rsid w:val="005A65E9"/>
    <w:rsid w:val="005A6A78"/>
    <w:rsid w:val="005B0E1F"/>
    <w:rsid w:val="005B2A35"/>
    <w:rsid w:val="005B2D38"/>
    <w:rsid w:val="005B688C"/>
    <w:rsid w:val="005B7801"/>
    <w:rsid w:val="005C176C"/>
    <w:rsid w:val="005C3474"/>
    <w:rsid w:val="005C5639"/>
    <w:rsid w:val="005C6BE7"/>
    <w:rsid w:val="005D236C"/>
    <w:rsid w:val="005D4ED1"/>
    <w:rsid w:val="005D6B0D"/>
    <w:rsid w:val="005E35AF"/>
    <w:rsid w:val="005E5517"/>
    <w:rsid w:val="005E5E3A"/>
    <w:rsid w:val="005F1FEC"/>
    <w:rsid w:val="005F2186"/>
    <w:rsid w:val="005F44A1"/>
    <w:rsid w:val="005F4DEC"/>
    <w:rsid w:val="005F76A2"/>
    <w:rsid w:val="005F7BAD"/>
    <w:rsid w:val="006029F4"/>
    <w:rsid w:val="00602CFA"/>
    <w:rsid w:val="006044F8"/>
    <w:rsid w:val="00607840"/>
    <w:rsid w:val="00607BCA"/>
    <w:rsid w:val="00607E56"/>
    <w:rsid w:val="006107F3"/>
    <w:rsid w:val="00610964"/>
    <w:rsid w:val="00610A7B"/>
    <w:rsid w:val="006113FB"/>
    <w:rsid w:val="006116CC"/>
    <w:rsid w:val="006170D3"/>
    <w:rsid w:val="00620311"/>
    <w:rsid w:val="00621999"/>
    <w:rsid w:val="00625D3E"/>
    <w:rsid w:val="00626723"/>
    <w:rsid w:val="00630018"/>
    <w:rsid w:val="0063009F"/>
    <w:rsid w:val="006318FA"/>
    <w:rsid w:val="00634E4A"/>
    <w:rsid w:val="006359C7"/>
    <w:rsid w:val="00636364"/>
    <w:rsid w:val="00637726"/>
    <w:rsid w:val="0064174B"/>
    <w:rsid w:val="00652B52"/>
    <w:rsid w:val="00654BF1"/>
    <w:rsid w:val="00656005"/>
    <w:rsid w:val="00660952"/>
    <w:rsid w:val="00660BB4"/>
    <w:rsid w:val="0066736A"/>
    <w:rsid w:val="00667455"/>
    <w:rsid w:val="006721C5"/>
    <w:rsid w:val="00672C6D"/>
    <w:rsid w:val="00675A8A"/>
    <w:rsid w:val="00676110"/>
    <w:rsid w:val="00676A88"/>
    <w:rsid w:val="006806AA"/>
    <w:rsid w:val="006812D9"/>
    <w:rsid w:val="00681CC4"/>
    <w:rsid w:val="00683833"/>
    <w:rsid w:val="00683EBD"/>
    <w:rsid w:val="0068604C"/>
    <w:rsid w:val="00687798"/>
    <w:rsid w:val="00687D58"/>
    <w:rsid w:val="006913C7"/>
    <w:rsid w:val="0069305A"/>
    <w:rsid w:val="00695CC3"/>
    <w:rsid w:val="00696828"/>
    <w:rsid w:val="00697988"/>
    <w:rsid w:val="006A0001"/>
    <w:rsid w:val="006A27A2"/>
    <w:rsid w:val="006A4A5B"/>
    <w:rsid w:val="006A5CC7"/>
    <w:rsid w:val="006B01B1"/>
    <w:rsid w:val="006B054F"/>
    <w:rsid w:val="006B0D3B"/>
    <w:rsid w:val="006B295B"/>
    <w:rsid w:val="006B36DD"/>
    <w:rsid w:val="006B3AAB"/>
    <w:rsid w:val="006B4B87"/>
    <w:rsid w:val="006B5F07"/>
    <w:rsid w:val="006C1365"/>
    <w:rsid w:val="006C4306"/>
    <w:rsid w:val="006C4659"/>
    <w:rsid w:val="006D0B98"/>
    <w:rsid w:val="006D56FA"/>
    <w:rsid w:val="006D5DEF"/>
    <w:rsid w:val="006D66B1"/>
    <w:rsid w:val="006D7A55"/>
    <w:rsid w:val="006E2195"/>
    <w:rsid w:val="006E3F6D"/>
    <w:rsid w:val="006E49AE"/>
    <w:rsid w:val="006F3338"/>
    <w:rsid w:val="007013C7"/>
    <w:rsid w:val="0070470A"/>
    <w:rsid w:val="007065BA"/>
    <w:rsid w:val="007072A5"/>
    <w:rsid w:val="00707FB2"/>
    <w:rsid w:val="00710E5E"/>
    <w:rsid w:val="007123D4"/>
    <w:rsid w:val="00713159"/>
    <w:rsid w:val="0071482C"/>
    <w:rsid w:val="007222AC"/>
    <w:rsid w:val="00723413"/>
    <w:rsid w:val="00724F16"/>
    <w:rsid w:val="00726041"/>
    <w:rsid w:val="00726470"/>
    <w:rsid w:val="00727E5F"/>
    <w:rsid w:val="00730B16"/>
    <w:rsid w:val="00730C7C"/>
    <w:rsid w:val="00732AD8"/>
    <w:rsid w:val="00733232"/>
    <w:rsid w:val="00737AB0"/>
    <w:rsid w:val="00742824"/>
    <w:rsid w:val="00744B03"/>
    <w:rsid w:val="00752105"/>
    <w:rsid w:val="00752669"/>
    <w:rsid w:val="00755D9C"/>
    <w:rsid w:val="0075711C"/>
    <w:rsid w:val="007620B0"/>
    <w:rsid w:val="00763F9B"/>
    <w:rsid w:val="00772D54"/>
    <w:rsid w:val="00772E99"/>
    <w:rsid w:val="00774231"/>
    <w:rsid w:val="007750CF"/>
    <w:rsid w:val="00775F01"/>
    <w:rsid w:val="007855A2"/>
    <w:rsid w:val="00785996"/>
    <w:rsid w:val="007859C6"/>
    <w:rsid w:val="00792963"/>
    <w:rsid w:val="00795EC1"/>
    <w:rsid w:val="007A6E10"/>
    <w:rsid w:val="007A6F7D"/>
    <w:rsid w:val="007B33A4"/>
    <w:rsid w:val="007B53B7"/>
    <w:rsid w:val="007B71E3"/>
    <w:rsid w:val="007C0099"/>
    <w:rsid w:val="007C2140"/>
    <w:rsid w:val="007C229C"/>
    <w:rsid w:val="007C7029"/>
    <w:rsid w:val="007C7C7D"/>
    <w:rsid w:val="007D3D96"/>
    <w:rsid w:val="007D48F4"/>
    <w:rsid w:val="007D5019"/>
    <w:rsid w:val="007D68F2"/>
    <w:rsid w:val="007E0B88"/>
    <w:rsid w:val="007E3966"/>
    <w:rsid w:val="007E616F"/>
    <w:rsid w:val="007F0A9A"/>
    <w:rsid w:val="007F1A58"/>
    <w:rsid w:val="007F3EBC"/>
    <w:rsid w:val="007F5588"/>
    <w:rsid w:val="007F65D8"/>
    <w:rsid w:val="007F6DC4"/>
    <w:rsid w:val="00802EE1"/>
    <w:rsid w:val="00803FFC"/>
    <w:rsid w:val="00804A7A"/>
    <w:rsid w:val="008051D2"/>
    <w:rsid w:val="00805DCE"/>
    <w:rsid w:val="00814CC0"/>
    <w:rsid w:val="00816769"/>
    <w:rsid w:val="00816B6A"/>
    <w:rsid w:val="00823112"/>
    <w:rsid w:val="00827C4D"/>
    <w:rsid w:val="00834E6C"/>
    <w:rsid w:val="00834F05"/>
    <w:rsid w:val="00843ADD"/>
    <w:rsid w:val="00844283"/>
    <w:rsid w:val="00844D67"/>
    <w:rsid w:val="00846DFF"/>
    <w:rsid w:val="00851FC2"/>
    <w:rsid w:val="00853AC7"/>
    <w:rsid w:val="00854EF3"/>
    <w:rsid w:val="008573B8"/>
    <w:rsid w:val="00857532"/>
    <w:rsid w:val="00860C5B"/>
    <w:rsid w:val="00865EBE"/>
    <w:rsid w:val="00867846"/>
    <w:rsid w:val="00871471"/>
    <w:rsid w:val="00871E8F"/>
    <w:rsid w:val="008730D2"/>
    <w:rsid w:val="008743AC"/>
    <w:rsid w:val="008744F7"/>
    <w:rsid w:val="008812F9"/>
    <w:rsid w:val="0088551B"/>
    <w:rsid w:val="008A25B0"/>
    <w:rsid w:val="008A2EC2"/>
    <w:rsid w:val="008A5E2F"/>
    <w:rsid w:val="008A77E4"/>
    <w:rsid w:val="008B2171"/>
    <w:rsid w:val="008B2561"/>
    <w:rsid w:val="008B417C"/>
    <w:rsid w:val="008B5B4E"/>
    <w:rsid w:val="008C0706"/>
    <w:rsid w:val="008C1DD2"/>
    <w:rsid w:val="008C3F39"/>
    <w:rsid w:val="008C5294"/>
    <w:rsid w:val="008D1AB0"/>
    <w:rsid w:val="008D38F4"/>
    <w:rsid w:val="008D486D"/>
    <w:rsid w:val="008D63CF"/>
    <w:rsid w:val="008D7644"/>
    <w:rsid w:val="008E066B"/>
    <w:rsid w:val="008E185A"/>
    <w:rsid w:val="008E3C74"/>
    <w:rsid w:val="008E74BF"/>
    <w:rsid w:val="008E7A82"/>
    <w:rsid w:val="008F2BD9"/>
    <w:rsid w:val="008F336A"/>
    <w:rsid w:val="008F59C2"/>
    <w:rsid w:val="008F641E"/>
    <w:rsid w:val="00902D6E"/>
    <w:rsid w:val="009062D8"/>
    <w:rsid w:val="0090645C"/>
    <w:rsid w:val="00906614"/>
    <w:rsid w:val="00906E7A"/>
    <w:rsid w:val="009104A8"/>
    <w:rsid w:val="00911B7D"/>
    <w:rsid w:val="009153DA"/>
    <w:rsid w:val="00916B55"/>
    <w:rsid w:val="00920728"/>
    <w:rsid w:val="00923994"/>
    <w:rsid w:val="0092421D"/>
    <w:rsid w:val="00925858"/>
    <w:rsid w:val="009279A0"/>
    <w:rsid w:val="00931D3F"/>
    <w:rsid w:val="009349A1"/>
    <w:rsid w:val="009414BA"/>
    <w:rsid w:val="0094213A"/>
    <w:rsid w:val="00942372"/>
    <w:rsid w:val="00943A74"/>
    <w:rsid w:val="00944A8F"/>
    <w:rsid w:val="00944BA7"/>
    <w:rsid w:val="00945EC3"/>
    <w:rsid w:val="009465ED"/>
    <w:rsid w:val="00946D9B"/>
    <w:rsid w:val="0095122E"/>
    <w:rsid w:val="00951F6C"/>
    <w:rsid w:val="00953B39"/>
    <w:rsid w:val="00955FA2"/>
    <w:rsid w:val="009628F3"/>
    <w:rsid w:val="009674CA"/>
    <w:rsid w:val="00970C82"/>
    <w:rsid w:val="00974EE4"/>
    <w:rsid w:val="00976383"/>
    <w:rsid w:val="00976A47"/>
    <w:rsid w:val="00976AA0"/>
    <w:rsid w:val="009771BA"/>
    <w:rsid w:val="009779F3"/>
    <w:rsid w:val="00977C69"/>
    <w:rsid w:val="0098064F"/>
    <w:rsid w:val="009806CB"/>
    <w:rsid w:val="00983B31"/>
    <w:rsid w:val="0098564F"/>
    <w:rsid w:val="009856D7"/>
    <w:rsid w:val="0098635B"/>
    <w:rsid w:val="00986F46"/>
    <w:rsid w:val="0099351B"/>
    <w:rsid w:val="00993CF5"/>
    <w:rsid w:val="00995948"/>
    <w:rsid w:val="0099624E"/>
    <w:rsid w:val="009A1E73"/>
    <w:rsid w:val="009A4020"/>
    <w:rsid w:val="009A565E"/>
    <w:rsid w:val="009B10EC"/>
    <w:rsid w:val="009B18B0"/>
    <w:rsid w:val="009B4A8F"/>
    <w:rsid w:val="009B67B1"/>
    <w:rsid w:val="009C1F28"/>
    <w:rsid w:val="009C6BF5"/>
    <w:rsid w:val="009C7761"/>
    <w:rsid w:val="009C7861"/>
    <w:rsid w:val="009D1FD8"/>
    <w:rsid w:val="009D2D23"/>
    <w:rsid w:val="009D63FC"/>
    <w:rsid w:val="009D6AEF"/>
    <w:rsid w:val="009E1D15"/>
    <w:rsid w:val="009E3301"/>
    <w:rsid w:val="009E7EA3"/>
    <w:rsid w:val="009F02D2"/>
    <w:rsid w:val="009F0BF1"/>
    <w:rsid w:val="009F0F45"/>
    <w:rsid w:val="009F65DD"/>
    <w:rsid w:val="009F74A6"/>
    <w:rsid w:val="00A02BA4"/>
    <w:rsid w:val="00A02CD0"/>
    <w:rsid w:val="00A0682F"/>
    <w:rsid w:val="00A07CDB"/>
    <w:rsid w:val="00A13C7E"/>
    <w:rsid w:val="00A16133"/>
    <w:rsid w:val="00A2191C"/>
    <w:rsid w:val="00A23F86"/>
    <w:rsid w:val="00A241C4"/>
    <w:rsid w:val="00A24F1E"/>
    <w:rsid w:val="00A258A1"/>
    <w:rsid w:val="00A264B9"/>
    <w:rsid w:val="00A330FE"/>
    <w:rsid w:val="00A34D5E"/>
    <w:rsid w:val="00A35BAC"/>
    <w:rsid w:val="00A36A94"/>
    <w:rsid w:val="00A40910"/>
    <w:rsid w:val="00A44B3C"/>
    <w:rsid w:val="00A563A2"/>
    <w:rsid w:val="00A56780"/>
    <w:rsid w:val="00A6018D"/>
    <w:rsid w:val="00A6068D"/>
    <w:rsid w:val="00A614F7"/>
    <w:rsid w:val="00A61869"/>
    <w:rsid w:val="00A62E87"/>
    <w:rsid w:val="00A7620D"/>
    <w:rsid w:val="00A767AA"/>
    <w:rsid w:val="00A85124"/>
    <w:rsid w:val="00A92298"/>
    <w:rsid w:val="00A9459A"/>
    <w:rsid w:val="00A9641E"/>
    <w:rsid w:val="00A96E5D"/>
    <w:rsid w:val="00AA2228"/>
    <w:rsid w:val="00AA34A0"/>
    <w:rsid w:val="00AA3FE2"/>
    <w:rsid w:val="00AB22FA"/>
    <w:rsid w:val="00AB2327"/>
    <w:rsid w:val="00AB3989"/>
    <w:rsid w:val="00AB39D3"/>
    <w:rsid w:val="00AB5668"/>
    <w:rsid w:val="00AB785F"/>
    <w:rsid w:val="00AB7D91"/>
    <w:rsid w:val="00AC1C4F"/>
    <w:rsid w:val="00AC30CC"/>
    <w:rsid w:val="00AC35D0"/>
    <w:rsid w:val="00AC5969"/>
    <w:rsid w:val="00AC635B"/>
    <w:rsid w:val="00AD455C"/>
    <w:rsid w:val="00AE0830"/>
    <w:rsid w:val="00AE0AFC"/>
    <w:rsid w:val="00AE30FF"/>
    <w:rsid w:val="00AE5F33"/>
    <w:rsid w:val="00AF2651"/>
    <w:rsid w:val="00AF3448"/>
    <w:rsid w:val="00AF4207"/>
    <w:rsid w:val="00AF5093"/>
    <w:rsid w:val="00AF6CDD"/>
    <w:rsid w:val="00AF7717"/>
    <w:rsid w:val="00B0209B"/>
    <w:rsid w:val="00B04168"/>
    <w:rsid w:val="00B04A5C"/>
    <w:rsid w:val="00B052B9"/>
    <w:rsid w:val="00B05976"/>
    <w:rsid w:val="00B070B9"/>
    <w:rsid w:val="00B07895"/>
    <w:rsid w:val="00B07A31"/>
    <w:rsid w:val="00B14782"/>
    <w:rsid w:val="00B15345"/>
    <w:rsid w:val="00B15628"/>
    <w:rsid w:val="00B177F5"/>
    <w:rsid w:val="00B2033C"/>
    <w:rsid w:val="00B20B7F"/>
    <w:rsid w:val="00B23185"/>
    <w:rsid w:val="00B23282"/>
    <w:rsid w:val="00B34867"/>
    <w:rsid w:val="00B4410E"/>
    <w:rsid w:val="00B44DCA"/>
    <w:rsid w:val="00B45305"/>
    <w:rsid w:val="00B457D9"/>
    <w:rsid w:val="00B45C9B"/>
    <w:rsid w:val="00B47399"/>
    <w:rsid w:val="00B53645"/>
    <w:rsid w:val="00B558B7"/>
    <w:rsid w:val="00B57724"/>
    <w:rsid w:val="00B61BAA"/>
    <w:rsid w:val="00B63618"/>
    <w:rsid w:val="00B6510E"/>
    <w:rsid w:val="00B706A7"/>
    <w:rsid w:val="00B718C6"/>
    <w:rsid w:val="00B748B2"/>
    <w:rsid w:val="00B778FF"/>
    <w:rsid w:val="00B8164B"/>
    <w:rsid w:val="00B85A9D"/>
    <w:rsid w:val="00B864DF"/>
    <w:rsid w:val="00B866A1"/>
    <w:rsid w:val="00B86E76"/>
    <w:rsid w:val="00B948FC"/>
    <w:rsid w:val="00B970C0"/>
    <w:rsid w:val="00BA30DF"/>
    <w:rsid w:val="00BA4DB0"/>
    <w:rsid w:val="00BA5B05"/>
    <w:rsid w:val="00BA6289"/>
    <w:rsid w:val="00BA7791"/>
    <w:rsid w:val="00BA7E86"/>
    <w:rsid w:val="00BB1269"/>
    <w:rsid w:val="00BB13A1"/>
    <w:rsid w:val="00BB2486"/>
    <w:rsid w:val="00BB3BDE"/>
    <w:rsid w:val="00BB74E9"/>
    <w:rsid w:val="00BC2323"/>
    <w:rsid w:val="00BC23B4"/>
    <w:rsid w:val="00BD0BB9"/>
    <w:rsid w:val="00BD0F4D"/>
    <w:rsid w:val="00BE0EA3"/>
    <w:rsid w:val="00BE18BE"/>
    <w:rsid w:val="00BE3E24"/>
    <w:rsid w:val="00BE7F65"/>
    <w:rsid w:val="00BF09EE"/>
    <w:rsid w:val="00BF713C"/>
    <w:rsid w:val="00C00BB3"/>
    <w:rsid w:val="00C019A9"/>
    <w:rsid w:val="00C02048"/>
    <w:rsid w:val="00C03933"/>
    <w:rsid w:val="00C03C2C"/>
    <w:rsid w:val="00C05175"/>
    <w:rsid w:val="00C061C4"/>
    <w:rsid w:val="00C07B60"/>
    <w:rsid w:val="00C22071"/>
    <w:rsid w:val="00C2525C"/>
    <w:rsid w:val="00C32EDA"/>
    <w:rsid w:val="00C337D0"/>
    <w:rsid w:val="00C33944"/>
    <w:rsid w:val="00C349D8"/>
    <w:rsid w:val="00C362EE"/>
    <w:rsid w:val="00C42852"/>
    <w:rsid w:val="00C42B28"/>
    <w:rsid w:val="00C448E8"/>
    <w:rsid w:val="00C449FE"/>
    <w:rsid w:val="00C457CA"/>
    <w:rsid w:val="00C45CEE"/>
    <w:rsid w:val="00C47CF7"/>
    <w:rsid w:val="00C515EB"/>
    <w:rsid w:val="00C526BF"/>
    <w:rsid w:val="00C6180A"/>
    <w:rsid w:val="00C62325"/>
    <w:rsid w:val="00C62C58"/>
    <w:rsid w:val="00C63296"/>
    <w:rsid w:val="00C63937"/>
    <w:rsid w:val="00C6455C"/>
    <w:rsid w:val="00C647DA"/>
    <w:rsid w:val="00C65821"/>
    <w:rsid w:val="00C65CAF"/>
    <w:rsid w:val="00C66440"/>
    <w:rsid w:val="00C67A2B"/>
    <w:rsid w:val="00C71B4D"/>
    <w:rsid w:val="00C71BC7"/>
    <w:rsid w:val="00C72032"/>
    <w:rsid w:val="00C73ACF"/>
    <w:rsid w:val="00C76730"/>
    <w:rsid w:val="00C80D8A"/>
    <w:rsid w:val="00C83F16"/>
    <w:rsid w:val="00C84709"/>
    <w:rsid w:val="00C879C7"/>
    <w:rsid w:val="00C9099E"/>
    <w:rsid w:val="00C915FD"/>
    <w:rsid w:val="00C946C3"/>
    <w:rsid w:val="00C956E1"/>
    <w:rsid w:val="00C96341"/>
    <w:rsid w:val="00C966D0"/>
    <w:rsid w:val="00C96C2B"/>
    <w:rsid w:val="00CA299E"/>
    <w:rsid w:val="00CA4A6C"/>
    <w:rsid w:val="00CB0DCE"/>
    <w:rsid w:val="00CB4FBE"/>
    <w:rsid w:val="00CB657C"/>
    <w:rsid w:val="00CC0343"/>
    <w:rsid w:val="00CC2939"/>
    <w:rsid w:val="00CD14FC"/>
    <w:rsid w:val="00CD3F40"/>
    <w:rsid w:val="00CD459F"/>
    <w:rsid w:val="00CE15DB"/>
    <w:rsid w:val="00CF3B4D"/>
    <w:rsid w:val="00CF4872"/>
    <w:rsid w:val="00CF5494"/>
    <w:rsid w:val="00CF6944"/>
    <w:rsid w:val="00CF7F82"/>
    <w:rsid w:val="00D01384"/>
    <w:rsid w:val="00D12A6A"/>
    <w:rsid w:val="00D13196"/>
    <w:rsid w:val="00D13CC1"/>
    <w:rsid w:val="00D155A8"/>
    <w:rsid w:val="00D17E18"/>
    <w:rsid w:val="00D22BF0"/>
    <w:rsid w:val="00D30B77"/>
    <w:rsid w:val="00D377A3"/>
    <w:rsid w:val="00D404F0"/>
    <w:rsid w:val="00D42025"/>
    <w:rsid w:val="00D50B59"/>
    <w:rsid w:val="00D5216D"/>
    <w:rsid w:val="00D5300B"/>
    <w:rsid w:val="00D5622F"/>
    <w:rsid w:val="00D572DD"/>
    <w:rsid w:val="00D67E38"/>
    <w:rsid w:val="00D7068C"/>
    <w:rsid w:val="00D73E2F"/>
    <w:rsid w:val="00D7475C"/>
    <w:rsid w:val="00D76778"/>
    <w:rsid w:val="00D771E7"/>
    <w:rsid w:val="00D82913"/>
    <w:rsid w:val="00D95289"/>
    <w:rsid w:val="00D9667E"/>
    <w:rsid w:val="00D9786A"/>
    <w:rsid w:val="00DA049A"/>
    <w:rsid w:val="00DA08B4"/>
    <w:rsid w:val="00DA105A"/>
    <w:rsid w:val="00DA15D1"/>
    <w:rsid w:val="00DA2043"/>
    <w:rsid w:val="00DA3600"/>
    <w:rsid w:val="00DA5F09"/>
    <w:rsid w:val="00DA6B7A"/>
    <w:rsid w:val="00DB1767"/>
    <w:rsid w:val="00DB2939"/>
    <w:rsid w:val="00DB3C4A"/>
    <w:rsid w:val="00DB4F18"/>
    <w:rsid w:val="00DB5988"/>
    <w:rsid w:val="00DC4777"/>
    <w:rsid w:val="00DC48D8"/>
    <w:rsid w:val="00DC61F9"/>
    <w:rsid w:val="00DD24E9"/>
    <w:rsid w:val="00DD2ECF"/>
    <w:rsid w:val="00DD5BFA"/>
    <w:rsid w:val="00DE0972"/>
    <w:rsid w:val="00DE1983"/>
    <w:rsid w:val="00DE2EFD"/>
    <w:rsid w:val="00DE4177"/>
    <w:rsid w:val="00DE507D"/>
    <w:rsid w:val="00DE6F86"/>
    <w:rsid w:val="00DE78AC"/>
    <w:rsid w:val="00DF29E2"/>
    <w:rsid w:val="00DF4131"/>
    <w:rsid w:val="00DF64CE"/>
    <w:rsid w:val="00DF6BEC"/>
    <w:rsid w:val="00E02A36"/>
    <w:rsid w:val="00E03B91"/>
    <w:rsid w:val="00E04569"/>
    <w:rsid w:val="00E0569B"/>
    <w:rsid w:val="00E1146F"/>
    <w:rsid w:val="00E119C6"/>
    <w:rsid w:val="00E119E9"/>
    <w:rsid w:val="00E13063"/>
    <w:rsid w:val="00E139D8"/>
    <w:rsid w:val="00E15496"/>
    <w:rsid w:val="00E156EA"/>
    <w:rsid w:val="00E172BD"/>
    <w:rsid w:val="00E2022A"/>
    <w:rsid w:val="00E2536B"/>
    <w:rsid w:val="00E25C19"/>
    <w:rsid w:val="00E35E93"/>
    <w:rsid w:val="00E3770A"/>
    <w:rsid w:val="00E420C5"/>
    <w:rsid w:val="00E42763"/>
    <w:rsid w:val="00E42D18"/>
    <w:rsid w:val="00E442CA"/>
    <w:rsid w:val="00E46559"/>
    <w:rsid w:val="00E46A7F"/>
    <w:rsid w:val="00E51B02"/>
    <w:rsid w:val="00E51BA8"/>
    <w:rsid w:val="00E52DDC"/>
    <w:rsid w:val="00E5354D"/>
    <w:rsid w:val="00E5384C"/>
    <w:rsid w:val="00E53DD2"/>
    <w:rsid w:val="00E54E28"/>
    <w:rsid w:val="00E6074F"/>
    <w:rsid w:val="00E625E0"/>
    <w:rsid w:val="00E6496A"/>
    <w:rsid w:val="00E65DE5"/>
    <w:rsid w:val="00E700E2"/>
    <w:rsid w:val="00E71636"/>
    <w:rsid w:val="00E73005"/>
    <w:rsid w:val="00E73448"/>
    <w:rsid w:val="00E73FC0"/>
    <w:rsid w:val="00E7457E"/>
    <w:rsid w:val="00E8018A"/>
    <w:rsid w:val="00E86995"/>
    <w:rsid w:val="00E92C58"/>
    <w:rsid w:val="00E95E1C"/>
    <w:rsid w:val="00E95F0B"/>
    <w:rsid w:val="00E96E2B"/>
    <w:rsid w:val="00E979D1"/>
    <w:rsid w:val="00EA0E43"/>
    <w:rsid w:val="00EA301C"/>
    <w:rsid w:val="00EA5592"/>
    <w:rsid w:val="00EA5678"/>
    <w:rsid w:val="00EC127B"/>
    <w:rsid w:val="00EC554C"/>
    <w:rsid w:val="00EC6B22"/>
    <w:rsid w:val="00ED0304"/>
    <w:rsid w:val="00ED73B1"/>
    <w:rsid w:val="00EE0E2B"/>
    <w:rsid w:val="00EE3371"/>
    <w:rsid w:val="00EE3D50"/>
    <w:rsid w:val="00EE5919"/>
    <w:rsid w:val="00EE5B09"/>
    <w:rsid w:val="00EE5DC5"/>
    <w:rsid w:val="00EF3B05"/>
    <w:rsid w:val="00EF3E83"/>
    <w:rsid w:val="00EF60EC"/>
    <w:rsid w:val="00EF7FAF"/>
    <w:rsid w:val="00F041F3"/>
    <w:rsid w:val="00F117AF"/>
    <w:rsid w:val="00F126E6"/>
    <w:rsid w:val="00F13F55"/>
    <w:rsid w:val="00F1645A"/>
    <w:rsid w:val="00F173D1"/>
    <w:rsid w:val="00F174B2"/>
    <w:rsid w:val="00F21166"/>
    <w:rsid w:val="00F21DD6"/>
    <w:rsid w:val="00F26B90"/>
    <w:rsid w:val="00F304D8"/>
    <w:rsid w:val="00F30823"/>
    <w:rsid w:val="00F3092B"/>
    <w:rsid w:val="00F3254D"/>
    <w:rsid w:val="00F33EDD"/>
    <w:rsid w:val="00F47901"/>
    <w:rsid w:val="00F501EB"/>
    <w:rsid w:val="00F51BFA"/>
    <w:rsid w:val="00F54BED"/>
    <w:rsid w:val="00F54FAF"/>
    <w:rsid w:val="00F564C8"/>
    <w:rsid w:val="00F568CA"/>
    <w:rsid w:val="00F57F4D"/>
    <w:rsid w:val="00F60743"/>
    <w:rsid w:val="00F62787"/>
    <w:rsid w:val="00F66E88"/>
    <w:rsid w:val="00F6769A"/>
    <w:rsid w:val="00F679DF"/>
    <w:rsid w:val="00F72599"/>
    <w:rsid w:val="00F73A1D"/>
    <w:rsid w:val="00F7453E"/>
    <w:rsid w:val="00F7500A"/>
    <w:rsid w:val="00F76EDB"/>
    <w:rsid w:val="00F772BE"/>
    <w:rsid w:val="00F77581"/>
    <w:rsid w:val="00F847F8"/>
    <w:rsid w:val="00F94572"/>
    <w:rsid w:val="00F95D9A"/>
    <w:rsid w:val="00F970EB"/>
    <w:rsid w:val="00FA2657"/>
    <w:rsid w:val="00FA34AF"/>
    <w:rsid w:val="00FA6322"/>
    <w:rsid w:val="00FA73C3"/>
    <w:rsid w:val="00FB45AA"/>
    <w:rsid w:val="00FB4F6D"/>
    <w:rsid w:val="00FB7B23"/>
    <w:rsid w:val="00FC6ABD"/>
    <w:rsid w:val="00FC73F5"/>
    <w:rsid w:val="00FD16BC"/>
    <w:rsid w:val="00FD643F"/>
    <w:rsid w:val="00FE5DEB"/>
    <w:rsid w:val="00FE7398"/>
    <w:rsid w:val="00FF169E"/>
    <w:rsid w:val="00FF3283"/>
    <w:rsid w:val="00FF4026"/>
    <w:rsid w:val="00FF47E5"/>
    <w:rsid w:val="00FF761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CB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__heading 1"/>
    <w:basedOn w:val="Normal"/>
    <w:rsid w:val="00AB22FA"/>
    <w:pPr>
      <w:jc w:val="center"/>
    </w:pPr>
    <w:rPr>
      <w:rFonts w:cs="Arial"/>
      <w:b/>
      <w:color w:val="333399"/>
      <w:sz w:val="32"/>
      <w:szCs w:val="32"/>
      <w:lang w:eastAsia="en-AU"/>
    </w:rPr>
  </w:style>
  <w:style w:type="character" w:styleId="Hyperlink">
    <w:name w:val="Hyperlink"/>
    <w:basedOn w:val="DefaultParagraphFont"/>
    <w:rsid w:val="00CF5494"/>
    <w:rPr>
      <w:color w:val="0000FF"/>
      <w:u w:val="single"/>
    </w:rPr>
  </w:style>
  <w:style w:type="paragraph" w:customStyle="1" w:styleId="Tableheading">
    <w:name w:val="Table heading"/>
    <w:basedOn w:val="Normal"/>
    <w:rsid w:val="007F1A58"/>
    <w:pPr>
      <w:spacing w:before="60" w:after="120"/>
    </w:pPr>
    <w:rPr>
      <w:rFonts w:ascii="Book Antiqua" w:hAnsi="Book Antiqua"/>
      <w:b/>
    </w:rPr>
  </w:style>
  <w:style w:type="paragraph" w:styleId="Header">
    <w:name w:val="header"/>
    <w:basedOn w:val="Normal"/>
    <w:rsid w:val="00CF54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549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87D5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674CA"/>
    <w:rPr>
      <w:sz w:val="20"/>
    </w:rPr>
  </w:style>
  <w:style w:type="character" w:styleId="FootnoteReference">
    <w:name w:val="footnote reference"/>
    <w:basedOn w:val="DefaultParagraphFont"/>
    <w:semiHidden/>
    <w:rsid w:val="009674CA"/>
    <w:rPr>
      <w:vertAlign w:val="superscript"/>
    </w:rPr>
  </w:style>
  <w:style w:type="table" w:styleId="TableGrid">
    <w:name w:val="Table Grid"/>
    <w:basedOn w:val="TableNormal"/>
    <w:rsid w:val="0068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E5F33"/>
    <w:rPr>
      <w:color w:val="800080"/>
      <w:u w:val="single"/>
    </w:rPr>
  </w:style>
  <w:style w:type="character" w:customStyle="1" w:styleId="EmailStyle251">
    <w:name w:val="EmailStyle251"/>
    <w:basedOn w:val="DefaultParagraphFont"/>
    <w:semiHidden/>
    <w:rsid w:val="00A2191C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01E23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42254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22549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422549"/>
    <w:rPr>
      <w:vertAlign w:val="superscript"/>
    </w:rPr>
  </w:style>
  <w:style w:type="paragraph" w:styleId="DocumentMap">
    <w:name w:val="Document Map"/>
    <w:basedOn w:val="Normal"/>
    <w:link w:val="DocumentMapChar"/>
    <w:rsid w:val="009064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0645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850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CB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__heading 1"/>
    <w:basedOn w:val="Normal"/>
    <w:rsid w:val="00AB22FA"/>
    <w:pPr>
      <w:jc w:val="center"/>
    </w:pPr>
    <w:rPr>
      <w:rFonts w:cs="Arial"/>
      <w:b/>
      <w:color w:val="333399"/>
      <w:sz w:val="32"/>
      <w:szCs w:val="32"/>
      <w:lang w:eastAsia="en-AU"/>
    </w:rPr>
  </w:style>
  <w:style w:type="character" w:styleId="Hyperlink">
    <w:name w:val="Hyperlink"/>
    <w:basedOn w:val="DefaultParagraphFont"/>
    <w:rsid w:val="00CF5494"/>
    <w:rPr>
      <w:color w:val="0000FF"/>
      <w:u w:val="single"/>
    </w:rPr>
  </w:style>
  <w:style w:type="paragraph" w:customStyle="1" w:styleId="Tableheading">
    <w:name w:val="Table heading"/>
    <w:basedOn w:val="Normal"/>
    <w:rsid w:val="007F1A58"/>
    <w:pPr>
      <w:spacing w:before="60" w:after="120"/>
    </w:pPr>
    <w:rPr>
      <w:rFonts w:ascii="Book Antiqua" w:hAnsi="Book Antiqua"/>
      <w:b/>
    </w:rPr>
  </w:style>
  <w:style w:type="paragraph" w:styleId="Header">
    <w:name w:val="header"/>
    <w:basedOn w:val="Normal"/>
    <w:rsid w:val="00CF54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549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87D5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674CA"/>
    <w:rPr>
      <w:sz w:val="20"/>
    </w:rPr>
  </w:style>
  <w:style w:type="character" w:styleId="FootnoteReference">
    <w:name w:val="footnote reference"/>
    <w:basedOn w:val="DefaultParagraphFont"/>
    <w:semiHidden/>
    <w:rsid w:val="009674CA"/>
    <w:rPr>
      <w:vertAlign w:val="superscript"/>
    </w:rPr>
  </w:style>
  <w:style w:type="table" w:styleId="TableGrid">
    <w:name w:val="Table Grid"/>
    <w:basedOn w:val="TableNormal"/>
    <w:rsid w:val="0068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E5F33"/>
    <w:rPr>
      <w:color w:val="800080"/>
      <w:u w:val="single"/>
    </w:rPr>
  </w:style>
  <w:style w:type="character" w:customStyle="1" w:styleId="EmailStyle251">
    <w:name w:val="EmailStyle251"/>
    <w:basedOn w:val="DefaultParagraphFont"/>
    <w:semiHidden/>
    <w:rsid w:val="00A2191C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01E23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42254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22549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422549"/>
    <w:rPr>
      <w:vertAlign w:val="superscript"/>
    </w:rPr>
  </w:style>
  <w:style w:type="paragraph" w:styleId="DocumentMap">
    <w:name w:val="Document Map"/>
    <w:basedOn w:val="Normal"/>
    <w:link w:val="DocumentMapChar"/>
    <w:rsid w:val="009064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0645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850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ternationaleducation.gov.au/research/research-snapshots/pages/default.aspx" TargetMode="External"/><Relationship Id="rId1" Type="http://schemas.openxmlformats.org/officeDocument/2006/relationships/hyperlink" Target="mailto:IEResearch@education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A97F9017A4288665729A97B1723" ma:contentTypeVersion="2" ma:contentTypeDescription="Create a new document." ma:contentTypeScope="" ma:versionID="2955017ab084fe0229d9de7084fe793a">
  <xsd:schema xmlns:xsd="http://www.w3.org/2001/XMLSchema" xmlns:xs="http://www.w3.org/2001/XMLSchema" xmlns:p="http://schemas.microsoft.com/office/2006/metadata/properties" xmlns:ns1="http://schemas.microsoft.com/sharepoint/v3" xmlns:ns2="3d08765e-ed01-46d2-8c42-9360717a49b5" targetNamespace="http://schemas.microsoft.com/office/2006/metadata/properties" ma:root="true" ma:fieldsID="9ff8b2dce9ac55920f923a13febf9c66" ns1:_="" ns2:_="">
    <xsd:import namespace="http://schemas.microsoft.com/sharepoint/v3"/>
    <xsd:import namespace="3d08765e-ed01-46d2-8c42-9360717a49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65e-ed01-46d2-8c42-9360717a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632749-CD34-4841-8299-12440291639A}"/>
</file>

<file path=customXml/itemProps2.xml><?xml version="1.0" encoding="utf-8"?>
<ds:datastoreItem xmlns:ds="http://schemas.openxmlformats.org/officeDocument/2006/customXml" ds:itemID="{68674654-B895-4420-9D5D-6639389E867B}"/>
</file>

<file path=customXml/itemProps3.xml><?xml version="1.0" encoding="utf-8"?>
<ds:datastoreItem xmlns:ds="http://schemas.openxmlformats.org/officeDocument/2006/customXml" ds:itemID="{6650DFB4-3981-4E2F-BDD3-45E069E5F931}"/>
</file>

<file path=customXml/itemProps4.xml><?xml version="1.0" encoding="utf-8"?>
<ds:datastoreItem xmlns:ds="http://schemas.openxmlformats.org/officeDocument/2006/customXml" ds:itemID="{E0441B9B-E575-4344-A814-BFC7253B14A4}"/>
</file>

<file path=docProps/app.xml><?xml version="1.0" encoding="utf-8"?>
<Properties xmlns="http://schemas.openxmlformats.org/officeDocument/2006/extended-properties" xmlns:vt="http://schemas.openxmlformats.org/officeDocument/2006/docPropsVTypes">
  <Template>6BA1D9A2.dotm</Template>
  <TotalTime>59</TotalTime>
  <Pages>1</Pages>
  <Words>570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Student Snapshot</vt:lpstr>
    </vt:vector>
  </TitlesOfParts>
  <Company>DEEWR</Company>
  <LinksUpToDate>false</LinksUpToDate>
  <CharactersWithSpaces>3652</CharactersWithSpaces>
  <SharedDoc>false</SharedDoc>
  <HLinks>
    <vt:vector size="12" baseType="variant"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http://aei.gov.au/AEI/PublicationsAndResearch/Snapshots/Default.htm</vt:lpwstr>
      </vt:variant>
      <vt:variant>
        <vt:lpwstr/>
      </vt:variant>
      <vt:variant>
        <vt:i4>2162793</vt:i4>
      </vt:variant>
      <vt:variant>
        <vt:i4>0</vt:i4>
      </vt:variant>
      <vt:variant>
        <vt:i4>0</vt:i4>
      </vt:variant>
      <vt:variant>
        <vt:i4>5</vt:i4>
      </vt:variant>
      <vt:variant>
        <vt:lpwstr>mailto:aei_research@deewr.gov.au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Student Snapshot</dc:title>
  <dc:creator>CI2200</dc:creator>
  <cp:lastModifiedBy>Steve Nerlich</cp:lastModifiedBy>
  <cp:revision>13</cp:revision>
  <cp:lastPrinted>2016-08-25T02:14:00Z</cp:lastPrinted>
  <dcterms:created xsi:type="dcterms:W3CDTF">2016-08-25T01:44:00Z</dcterms:created>
  <dcterms:modified xsi:type="dcterms:W3CDTF">2016-08-26T03:51:00Z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0x010100D600AA97F9017A4288665729A97B1723</vt:lpwstr>
  </property>
  <property fmtid="{D5CDD505-2E9C-101B-9397-08002B2CF9AE}" pid="7" name="Order">
    <vt:r8>22100</vt:r8>
  </property>
  <property fmtid="{D5CDD505-2E9C-101B-9397-08002B2CF9AE}" pid="8" name="xd_ProgID">
    <vt:lpwstr/>
  </property>
  <property fmtid="{D5CDD505-2E9C-101B-9397-08002B2CF9AE}" pid="9" name="_SharedFileIndex">
    <vt:lpwstr/>
  </property>
  <property fmtid="{D5CDD505-2E9C-101B-9397-08002B2CF9AE}" pid="10" name="_SourceUrl">
    <vt:lpwstr/>
  </property>
  <property fmtid="{D5CDD505-2E9C-101B-9397-08002B2CF9AE}" pid="11" name="TemplateUrl">
    <vt:lpwstr/>
  </property>
</Properties>
</file>