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A9" w:rsidRPr="00D467B8" w:rsidRDefault="00C84F56" w:rsidP="00D37E39">
      <w:pPr>
        <w:pStyle w:val="heading10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252095</wp:posOffset>
            </wp:positionV>
            <wp:extent cx="684339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26" y="21096"/>
                <wp:lineTo x="2152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C0">
        <w:rPr>
          <w:rFonts w:asciiTheme="minorHAnsi" w:hAnsiTheme="minorHAnsi" w:cs="Calibri"/>
          <w:color w:val="000000" w:themeColor="text1"/>
          <w:sz w:val="24"/>
          <w:szCs w:val="24"/>
        </w:rPr>
        <w:t>Ju</w:t>
      </w:r>
      <w:r w:rsidR="008E6479">
        <w:rPr>
          <w:rFonts w:asciiTheme="minorHAnsi" w:hAnsiTheme="minorHAnsi" w:cs="Calibri"/>
          <w:color w:val="000000" w:themeColor="text1"/>
          <w:sz w:val="24"/>
          <w:szCs w:val="24"/>
        </w:rPr>
        <w:t>ly</w:t>
      </w:r>
      <w:r w:rsidR="0072347F">
        <w:rPr>
          <w:rFonts w:asciiTheme="minorHAnsi" w:hAnsiTheme="minorHAnsi" w:cs="Calibri"/>
          <w:color w:val="000000" w:themeColor="text1"/>
          <w:sz w:val="24"/>
          <w:szCs w:val="24"/>
        </w:rPr>
        <w:t xml:space="preserve"> 2018</w:t>
      </w:r>
    </w:p>
    <w:p w:rsidR="00D37E39" w:rsidRDefault="00D37E39" w:rsidP="00D92D56">
      <w:pPr>
        <w:pStyle w:val="heading10"/>
        <w:spacing w:after="140"/>
      </w:pPr>
      <w:r w:rsidRPr="00D37E39">
        <w:rPr>
          <w:rFonts w:asciiTheme="minorHAnsi" w:hAnsiTheme="minorHAnsi" w:cs="Calibri"/>
          <w:color w:val="1F497D" w:themeColor="text2"/>
        </w:rPr>
        <w:t>Comparing global international student data sources</w:t>
      </w:r>
    </w:p>
    <w:p w:rsidR="005270B1" w:rsidRDefault="00D37E39" w:rsidP="006C2455">
      <w:pPr>
        <w:spacing w:before="120"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6C2455">
        <w:rPr>
          <w:rFonts w:asciiTheme="minorHAnsi" w:hAnsiTheme="minorHAnsi" w:cs="Calibri"/>
          <w:color w:val="000000" w:themeColor="text1"/>
          <w:szCs w:val="22"/>
        </w:rPr>
        <w:t xml:space="preserve">A growing number of international student destinations are publicly reporting data on the number of international students they host each year. However, </w:t>
      </w:r>
      <w:r w:rsidR="005F33EA">
        <w:rPr>
          <w:rFonts w:asciiTheme="minorHAnsi" w:hAnsiTheme="minorHAnsi" w:cs="Calibri"/>
          <w:color w:val="000000" w:themeColor="text1"/>
          <w:szCs w:val="22"/>
        </w:rPr>
        <w:t>comparison of such</w:t>
      </w:r>
      <w:r w:rsidRPr="006C2455">
        <w:rPr>
          <w:rFonts w:asciiTheme="minorHAnsi" w:hAnsiTheme="minorHAnsi" w:cs="Calibri"/>
          <w:color w:val="000000" w:themeColor="text1"/>
          <w:szCs w:val="22"/>
        </w:rPr>
        <w:t xml:space="preserve"> data sources </w:t>
      </w:r>
      <w:proofErr w:type="gramStart"/>
      <w:r w:rsidR="005F33EA">
        <w:rPr>
          <w:rFonts w:asciiTheme="minorHAnsi" w:hAnsiTheme="minorHAnsi" w:cs="Calibri"/>
          <w:color w:val="000000" w:themeColor="text1"/>
          <w:szCs w:val="22"/>
        </w:rPr>
        <w:t>is confounded</w:t>
      </w:r>
      <w:proofErr w:type="gramEnd"/>
      <w:r w:rsidR="005F33EA">
        <w:rPr>
          <w:rFonts w:asciiTheme="minorHAnsi" w:hAnsiTheme="minorHAnsi" w:cs="Calibri"/>
          <w:color w:val="000000" w:themeColor="text1"/>
          <w:szCs w:val="22"/>
        </w:rPr>
        <w:t xml:space="preserve"> by</w:t>
      </w:r>
      <w:r w:rsidRPr="006C2455">
        <w:rPr>
          <w:rFonts w:asciiTheme="minorHAnsi" w:hAnsiTheme="minorHAnsi" w:cs="Calibri"/>
          <w:color w:val="000000" w:themeColor="text1"/>
          <w:szCs w:val="22"/>
        </w:rPr>
        <w:t xml:space="preserve"> different </w:t>
      </w:r>
      <w:r w:rsidR="005F33EA">
        <w:rPr>
          <w:rFonts w:asciiTheme="minorHAnsi" w:hAnsiTheme="minorHAnsi" w:cs="Calibri"/>
          <w:color w:val="000000" w:themeColor="text1"/>
          <w:szCs w:val="22"/>
        </w:rPr>
        <w:t xml:space="preserve">countries </w:t>
      </w:r>
      <w:r w:rsidRPr="006C2455">
        <w:rPr>
          <w:rFonts w:asciiTheme="minorHAnsi" w:hAnsiTheme="minorHAnsi" w:cs="Calibri"/>
          <w:color w:val="000000" w:themeColor="text1"/>
          <w:szCs w:val="22"/>
        </w:rPr>
        <w:t>definiti</w:t>
      </w:r>
      <w:r w:rsidR="006C2455">
        <w:rPr>
          <w:rFonts w:asciiTheme="minorHAnsi" w:hAnsiTheme="minorHAnsi" w:cs="Calibri"/>
          <w:color w:val="000000" w:themeColor="text1"/>
          <w:szCs w:val="22"/>
        </w:rPr>
        <w:t>ons of an international student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For example, the first data column in Table 1 below 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shows the latest incoming international student data reported by some of the world’s major student destinations. When portrayed in this way, the data suggests </w:t>
      </w:r>
      <w:r w:rsidR="000F7EF7">
        <w:rPr>
          <w:rFonts w:asciiTheme="minorHAnsi" w:hAnsiTheme="minorHAnsi" w:cs="Calibri"/>
          <w:color w:val="000000" w:themeColor="text1"/>
          <w:szCs w:val="22"/>
        </w:rPr>
        <w:t xml:space="preserve">that 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Australia hosts more students than the UK. However, this is largely because the UK only reports </w:t>
      </w:r>
      <w:r w:rsidR="00247F26">
        <w:rPr>
          <w:rFonts w:asciiTheme="minorHAnsi" w:hAnsiTheme="minorHAnsi" w:cs="Calibri"/>
          <w:color w:val="000000" w:themeColor="text1"/>
          <w:szCs w:val="22"/>
        </w:rPr>
        <w:t xml:space="preserve">on </w:t>
      </w:r>
      <w:r w:rsidR="009E2029">
        <w:rPr>
          <w:rFonts w:asciiTheme="minorHAnsi" w:hAnsiTheme="minorHAnsi" w:cs="Calibri"/>
          <w:color w:val="000000" w:themeColor="text1"/>
          <w:szCs w:val="22"/>
        </w:rPr>
        <w:t>its international higher education students, while Australia reports on international students in all its education sectors.</w:t>
      </w:r>
    </w:p>
    <w:p w:rsidR="003100A0" w:rsidRDefault="005F33EA" w:rsidP="00097A81">
      <w:pPr>
        <w:spacing w:before="120"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>Probably the mos</w:t>
      </w:r>
      <w:r w:rsidR="00247F26">
        <w:rPr>
          <w:rFonts w:asciiTheme="minorHAnsi" w:hAnsiTheme="minorHAnsi" w:cs="Calibri"/>
          <w:color w:val="000000" w:themeColor="text1"/>
          <w:szCs w:val="22"/>
        </w:rPr>
        <w:t>t consistent globally-</w:t>
      </w:r>
      <w:r>
        <w:rPr>
          <w:rFonts w:asciiTheme="minorHAnsi" w:hAnsiTheme="minorHAnsi" w:cs="Calibri"/>
          <w:color w:val="000000" w:themeColor="text1"/>
          <w:szCs w:val="22"/>
        </w:rPr>
        <w:t xml:space="preserve">comparable data </w:t>
      </w:r>
      <w:r w:rsidR="009E2029">
        <w:rPr>
          <w:rFonts w:asciiTheme="minorHAnsi" w:hAnsiTheme="minorHAnsi" w:cs="Calibri"/>
          <w:color w:val="000000" w:themeColor="text1"/>
          <w:szCs w:val="22"/>
        </w:rPr>
        <w:t>is produced by the UNESCO</w:t>
      </w:r>
      <w:r>
        <w:rPr>
          <w:rFonts w:asciiTheme="minorHAnsi" w:hAnsiTheme="minorHAnsi" w:cs="Calibri"/>
          <w:color w:val="000000" w:themeColor="text1"/>
          <w:szCs w:val="22"/>
        </w:rPr>
        <w:t xml:space="preserve"> Institute of Statistics (UIS</w:t>
      </w:r>
      <w:proofErr w:type="gramStart"/>
      <w:r>
        <w:rPr>
          <w:rFonts w:asciiTheme="minorHAnsi" w:hAnsiTheme="minorHAnsi" w:cs="Calibri"/>
          <w:color w:val="000000" w:themeColor="text1"/>
          <w:szCs w:val="22"/>
        </w:rPr>
        <w:t>)</w:t>
      </w:r>
      <w:r w:rsidR="00FB11FD" w:rsidRPr="00FB11FD">
        <w:rPr>
          <w:rFonts w:asciiTheme="minorHAnsi" w:hAnsiTheme="minorHAnsi" w:cs="Calibri"/>
          <w:color w:val="000000" w:themeColor="text1"/>
          <w:szCs w:val="22"/>
          <w:vertAlign w:val="superscript"/>
        </w:rPr>
        <w:t>1</w:t>
      </w:r>
      <w:proofErr w:type="gramEnd"/>
      <w:r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The advantage of </w:t>
      </w:r>
      <w:r>
        <w:rPr>
          <w:rFonts w:asciiTheme="minorHAnsi" w:hAnsiTheme="minorHAnsi" w:cs="Calibri"/>
          <w:color w:val="000000" w:themeColor="text1"/>
          <w:szCs w:val="22"/>
        </w:rPr>
        <w:t>UIS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 data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is that all reporting countries comply with </w:t>
      </w:r>
      <w:r>
        <w:rPr>
          <w:rFonts w:asciiTheme="minorHAnsi" w:hAnsiTheme="minorHAnsi" w:cs="Calibri"/>
          <w:color w:val="000000" w:themeColor="text1"/>
          <w:szCs w:val="22"/>
        </w:rPr>
        <w:t xml:space="preserve">standard definitions, 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although </w:t>
      </w:r>
      <w:r>
        <w:rPr>
          <w:rFonts w:asciiTheme="minorHAnsi" w:hAnsiTheme="minorHAnsi" w:cs="Calibri"/>
          <w:color w:val="000000" w:themeColor="text1"/>
          <w:szCs w:val="22"/>
        </w:rPr>
        <w:t>achiev</w:t>
      </w:r>
      <w:r w:rsidR="00247F26">
        <w:rPr>
          <w:rFonts w:asciiTheme="minorHAnsi" w:hAnsiTheme="minorHAnsi" w:cs="Calibri"/>
          <w:color w:val="000000" w:themeColor="text1"/>
          <w:szCs w:val="22"/>
        </w:rPr>
        <w:t>ing</w:t>
      </w:r>
      <w:r>
        <w:rPr>
          <w:rFonts w:asciiTheme="minorHAnsi" w:hAnsiTheme="minorHAnsi" w:cs="Calibri"/>
          <w:color w:val="000000" w:themeColor="text1"/>
          <w:szCs w:val="22"/>
        </w:rPr>
        <w:t xml:space="preserve"> </w:t>
      </w:r>
      <w:proofErr w:type="gramStart"/>
      <w:r>
        <w:rPr>
          <w:rFonts w:asciiTheme="minorHAnsi" w:hAnsiTheme="minorHAnsi" w:cs="Calibri"/>
          <w:color w:val="000000" w:themeColor="text1"/>
          <w:szCs w:val="22"/>
        </w:rPr>
        <w:t>this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247F26">
        <w:rPr>
          <w:rFonts w:asciiTheme="minorHAnsi" w:hAnsiTheme="minorHAnsi" w:cs="Calibri"/>
          <w:color w:val="000000" w:themeColor="text1"/>
          <w:szCs w:val="22"/>
        </w:rPr>
        <w:t>results</w:t>
      </w:r>
      <w:proofErr w:type="gramEnd"/>
      <w:r w:rsidR="00247F26">
        <w:rPr>
          <w:rFonts w:asciiTheme="minorHAnsi" w:hAnsiTheme="minorHAnsi" w:cs="Calibri"/>
          <w:color w:val="000000" w:themeColor="text1"/>
          <w:szCs w:val="22"/>
        </w:rPr>
        <w:t xml:space="preserve"> in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 substantial</w:t>
      </w:r>
      <w:r w:rsidR="00061823">
        <w:rPr>
          <w:rFonts w:asciiTheme="minorHAnsi" w:hAnsiTheme="minorHAnsi" w:cs="Calibri"/>
          <w:color w:val="000000" w:themeColor="text1"/>
          <w:szCs w:val="22"/>
        </w:rPr>
        <w:t xml:space="preserve"> reporting lag</w:t>
      </w:r>
      <w:r w:rsidR="00247F26">
        <w:rPr>
          <w:rFonts w:asciiTheme="minorHAnsi" w:hAnsiTheme="minorHAnsi" w:cs="Calibri"/>
          <w:color w:val="000000" w:themeColor="text1"/>
          <w:szCs w:val="22"/>
        </w:rPr>
        <w:t>s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. For the </w:t>
      </w:r>
      <w:r w:rsidR="00A814A1">
        <w:rPr>
          <w:rFonts w:asciiTheme="minorHAnsi" w:hAnsiTheme="minorHAnsi" w:cs="Calibri"/>
          <w:color w:val="000000" w:themeColor="text1"/>
          <w:szCs w:val="22"/>
        </w:rPr>
        <w:t>select</w:t>
      </w:r>
      <w:r w:rsidR="00061823">
        <w:rPr>
          <w:rFonts w:asciiTheme="minorHAnsi" w:hAnsiTheme="minorHAnsi" w:cs="Calibri"/>
          <w:color w:val="000000" w:themeColor="text1"/>
          <w:szCs w:val="22"/>
        </w:rPr>
        <w:t>ed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countries </w:t>
      </w:r>
      <w:r w:rsidR="00A814A1">
        <w:rPr>
          <w:rFonts w:asciiTheme="minorHAnsi" w:hAnsiTheme="minorHAnsi" w:cs="Calibri"/>
          <w:color w:val="000000" w:themeColor="text1"/>
          <w:szCs w:val="22"/>
        </w:rPr>
        <w:t>in Table 1</w:t>
      </w:r>
      <w:r w:rsidR="003100A0">
        <w:rPr>
          <w:rFonts w:asciiTheme="minorHAnsi" w:hAnsiTheme="minorHAnsi" w:cs="Calibri"/>
          <w:color w:val="000000" w:themeColor="text1"/>
          <w:szCs w:val="22"/>
        </w:rPr>
        <w:t>, at t</w:t>
      </w:r>
      <w:r w:rsidR="00061823">
        <w:rPr>
          <w:rFonts w:asciiTheme="minorHAnsi" w:hAnsiTheme="minorHAnsi" w:cs="Calibri"/>
          <w:color w:val="000000" w:themeColor="text1"/>
          <w:szCs w:val="22"/>
        </w:rPr>
        <w:t>he time of writing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, the </w:t>
      </w:r>
      <w:r>
        <w:rPr>
          <w:rFonts w:asciiTheme="minorHAnsi" w:hAnsiTheme="minorHAnsi" w:cs="Calibri"/>
          <w:color w:val="000000" w:themeColor="text1"/>
          <w:szCs w:val="22"/>
        </w:rPr>
        <w:t>UIS</w:t>
      </w:r>
      <w:r w:rsidR="003100A0">
        <w:rPr>
          <w:rFonts w:asciiTheme="minorHAnsi" w:hAnsiTheme="minorHAnsi" w:cs="Calibri"/>
          <w:color w:val="000000" w:themeColor="text1"/>
          <w:szCs w:val="22"/>
        </w:rPr>
        <w:t xml:space="preserve"> had only released 2016 data for Australia, Canada and China and had no 2017 data for any of these countries.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Hence, 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at the time of writing,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the </w:t>
      </w:r>
      <w:proofErr w:type="gramStart"/>
      <w:r w:rsidR="00231EBA">
        <w:rPr>
          <w:rFonts w:asciiTheme="minorHAnsi" w:hAnsiTheme="minorHAnsi" w:cs="Calibri"/>
          <w:color w:val="000000" w:themeColor="text1"/>
          <w:szCs w:val="22"/>
        </w:rPr>
        <w:t>latest</w:t>
      </w:r>
      <w:proofErr w:type="gramEnd"/>
      <w:r w:rsidR="00231EBA">
        <w:rPr>
          <w:rFonts w:asciiTheme="minorHAnsi" w:hAnsiTheme="minorHAnsi" w:cs="Calibri"/>
          <w:color w:val="000000" w:themeColor="text1"/>
          <w:szCs w:val="22"/>
        </w:rPr>
        <w:t xml:space="preserve"> comprehensive UIS data</w:t>
      </w:r>
      <w:r w:rsidR="00247F26">
        <w:rPr>
          <w:rFonts w:asciiTheme="minorHAnsi" w:hAnsiTheme="minorHAnsi" w:cs="Calibri"/>
          <w:color w:val="000000" w:themeColor="text1"/>
          <w:szCs w:val="22"/>
        </w:rPr>
        <w:t>set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 is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247F26">
        <w:rPr>
          <w:rFonts w:asciiTheme="minorHAnsi" w:hAnsiTheme="minorHAnsi" w:cs="Calibri"/>
          <w:color w:val="000000" w:themeColor="text1"/>
          <w:szCs w:val="22"/>
        </w:rPr>
        <w:t xml:space="preserve">for </w:t>
      </w:r>
      <w:r w:rsidR="009E2029">
        <w:rPr>
          <w:rFonts w:asciiTheme="minorHAnsi" w:hAnsiTheme="minorHAnsi" w:cs="Calibri"/>
          <w:color w:val="000000" w:themeColor="text1"/>
          <w:szCs w:val="22"/>
        </w:rPr>
        <w:t>2015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. </w:t>
      </w:r>
    </w:p>
    <w:p w:rsidR="00A814A1" w:rsidRPr="00A814A1" w:rsidRDefault="00A814A1" w:rsidP="009D5C00">
      <w:pPr>
        <w:spacing w:before="40" w:after="40"/>
        <w:jc w:val="both"/>
        <w:rPr>
          <w:rFonts w:asciiTheme="minorHAnsi" w:hAnsiTheme="minorHAnsi" w:cs="Calibri"/>
          <w:b/>
          <w:color w:val="000000" w:themeColor="text1"/>
          <w:szCs w:val="22"/>
        </w:rPr>
      </w:pPr>
      <w:r w:rsidRPr="00A814A1">
        <w:rPr>
          <w:rFonts w:asciiTheme="minorHAnsi" w:hAnsiTheme="minorHAnsi" w:cs="Calibri"/>
          <w:b/>
          <w:color w:val="000000" w:themeColor="text1"/>
          <w:szCs w:val="22"/>
        </w:rPr>
        <w:t>Table 1: Comparison of different data sources counting incoming international students for select countries</w:t>
      </w:r>
      <w:r w:rsidR="002B7592" w:rsidRPr="002B7592">
        <w:rPr>
          <w:rFonts w:asciiTheme="minorHAnsi" w:hAnsiTheme="minorHAnsi" w:cs="Calibri"/>
          <w:b/>
          <w:color w:val="000000" w:themeColor="text1"/>
          <w:szCs w:val="22"/>
          <w:vertAlign w:val="superscript"/>
        </w:rPr>
        <w:t>2</w:t>
      </w:r>
    </w:p>
    <w:tbl>
      <w:tblPr>
        <w:tblW w:w="10665" w:type="dxa"/>
        <w:tblInd w:w="108" w:type="dxa"/>
        <w:tblLook w:val="04A0" w:firstRow="1" w:lastRow="0" w:firstColumn="1" w:lastColumn="0" w:noHBand="0" w:noVBand="1"/>
      </w:tblPr>
      <w:tblGrid>
        <w:gridCol w:w="1633"/>
        <w:gridCol w:w="2238"/>
        <w:gridCol w:w="1324"/>
        <w:gridCol w:w="1518"/>
        <w:gridCol w:w="1910"/>
        <w:gridCol w:w="2042"/>
      </w:tblGrid>
      <w:tr w:rsidR="005F33EA" w:rsidRPr="00D37E39" w:rsidTr="009D5C00">
        <w:trPr>
          <w:trHeight w:val="351"/>
        </w:trPr>
        <w:tc>
          <w:tcPr>
            <w:tcW w:w="1633" w:type="dxa"/>
            <w:tcBorders>
              <w:top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3A81BA"/>
            <w:vAlign w:val="center"/>
            <w:hideMark/>
          </w:tcPr>
          <w:p w:rsidR="005F33EA" w:rsidRPr="00097A81" w:rsidRDefault="005F33EA" w:rsidP="00775BE9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International students</w:t>
            </w:r>
          </w:p>
        </w:tc>
        <w:tc>
          <w:tcPr>
            <w:tcW w:w="223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A81BA"/>
            <w:vAlign w:val="center"/>
            <w:hideMark/>
          </w:tcPr>
          <w:p w:rsidR="005F33EA" w:rsidRPr="00097A81" w:rsidRDefault="005F33E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Latest data reported by country</w:t>
            </w:r>
            <w:r w:rsidR="00061823" w:rsidRPr="00097A81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3</w:t>
            </w:r>
          </w:p>
        </w:tc>
        <w:tc>
          <w:tcPr>
            <w:tcW w:w="132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A81BA"/>
            <w:vAlign w:val="center"/>
          </w:tcPr>
          <w:p w:rsidR="005F33EA" w:rsidRPr="00097A81" w:rsidRDefault="005F33E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Reporting period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3A81BA"/>
            <w:vAlign w:val="center"/>
            <w:hideMark/>
          </w:tcPr>
          <w:p w:rsidR="005F33EA" w:rsidRPr="00097A81" w:rsidRDefault="005F33E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% growth on previous year </w:t>
            </w:r>
          </w:p>
        </w:tc>
        <w:tc>
          <w:tcPr>
            <w:tcW w:w="191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A81BA"/>
          </w:tcPr>
          <w:p w:rsidR="005F33EA" w:rsidRPr="00097A81" w:rsidRDefault="005F33E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Data reported by country in 2015</w:t>
            </w:r>
          </w:p>
        </w:tc>
        <w:tc>
          <w:tcPr>
            <w:tcW w:w="204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3A81BA"/>
          </w:tcPr>
          <w:p w:rsidR="005F33EA" w:rsidRPr="00097A81" w:rsidRDefault="005F33EA" w:rsidP="00061823">
            <w:pPr>
              <w:ind w:right="34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U</w:t>
            </w:r>
            <w:r w:rsidR="00231EBA"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IS</w:t>
            </w: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data &amp; rank</w:t>
            </w:r>
            <w:r w:rsidR="002B7592" w:rsidRPr="00097A81">
              <w:rPr>
                <w:rFonts w:cs="Arial"/>
                <w:b/>
                <w:bCs/>
                <w:color w:val="FFFFFF"/>
                <w:sz w:val="20"/>
                <w:vertAlign w:val="superscript"/>
                <w:lang w:eastAsia="en-AU"/>
              </w:rPr>
              <w:t>2</w:t>
            </w: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order in 2015</w:t>
            </w:r>
          </w:p>
        </w:tc>
      </w:tr>
      <w:tr w:rsidR="00231EBA" w:rsidRPr="00D37E39" w:rsidTr="000E684B">
        <w:trPr>
          <w:trHeight w:val="163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USA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1,078,822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2016-17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3%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974,926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ED8E7"/>
          </w:tcPr>
          <w:p w:rsidR="00231EBA" w:rsidRPr="00097A81" w:rsidRDefault="00231EBA" w:rsidP="00231EB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907,251 (1)</w:t>
            </w:r>
          </w:p>
        </w:tc>
      </w:tr>
      <w:tr w:rsidR="00231EBA" w:rsidRPr="00D37E39" w:rsidTr="009D5C00">
        <w:trPr>
          <w:trHeight w:val="106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Australia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624,001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13%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497,159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DF3"/>
          </w:tcPr>
          <w:p w:rsidR="00231EBA" w:rsidRPr="00097A81" w:rsidRDefault="00231EBA" w:rsidP="00231EB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294,438 (3)</w:t>
            </w:r>
          </w:p>
        </w:tc>
      </w:tr>
      <w:tr w:rsidR="00231EBA" w:rsidRPr="00D37E39" w:rsidTr="009D5C00">
        <w:trPr>
          <w:trHeight w:val="30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Canada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494,525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353,000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ED8E7"/>
          </w:tcPr>
          <w:p w:rsidR="00231EBA" w:rsidRPr="00097A81" w:rsidRDefault="00231EBA" w:rsidP="00231EB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171,603 (7)</w:t>
            </w:r>
          </w:p>
        </w:tc>
      </w:tr>
      <w:tr w:rsidR="00231EBA" w:rsidRPr="00D37E39" w:rsidTr="009D5C00">
        <w:trPr>
          <w:trHeight w:val="69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China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442,773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2016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  <w:hideMark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11%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</w:tcPr>
          <w:p w:rsidR="00231EBA" w:rsidRPr="00097A81" w:rsidRDefault="00231EBA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397,635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DF3"/>
          </w:tcPr>
          <w:p w:rsidR="00231EBA" w:rsidRPr="00097A81" w:rsidRDefault="00231EBA" w:rsidP="00231EB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123,127 (9)</w:t>
            </w:r>
          </w:p>
        </w:tc>
      </w:tr>
      <w:tr w:rsidR="00A31854" w:rsidRPr="00D37E39" w:rsidTr="000E684B">
        <w:trPr>
          <w:trHeight w:val="219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UK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6ED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442,375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6ED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2016-17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6ED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6ED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436,485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BD6ED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430,687 (2)</w:t>
            </w:r>
          </w:p>
        </w:tc>
      </w:tr>
      <w:tr w:rsidR="00A31854" w:rsidRPr="00D37E39" w:rsidTr="009D5C00">
        <w:trPr>
          <w:trHeight w:val="33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Germany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358,895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8EDF3"/>
            <w:vAlign w:val="bottom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6%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8EDF3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321,569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8EDF3"/>
          </w:tcPr>
          <w:p w:rsidR="00A31854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228,756 (5)</w:t>
            </w:r>
          </w:p>
        </w:tc>
      </w:tr>
      <w:tr w:rsidR="00231EBA" w:rsidRPr="00D37E39" w:rsidTr="000E684B">
        <w:trPr>
          <w:trHeight w:val="147"/>
        </w:trPr>
        <w:tc>
          <w:tcPr>
            <w:tcW w:w="1633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000000" w:fill="3A81BA"/>
            <w:vAlign w:val="bottom"/>
          </w:tcPr>
          <w:p w:rsidR="00231EBA" w:rsidRPr="00097A81" w:rsidRDefault="00A31854" w:rsidP="005F33EA">
            <w:pPr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097A81">
              <w:rPr>
                <w:rFonts w:cs="Arial"/>
                <w:b/>
                <w:bCs/>
                <w:color w:val="FFFFFF"/>
                <w:sz w:val="20"/>
                <w:lang w:eastAsia="en-AU"/>
              </w:rPr>
              <w:t>Japan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</w:tcPr>
          <w:p w:rsidR="00231EBA" w:rsidRPr="00097A81" w:rsidRDefault="00A31854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267,042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</w:tcPr>
          <w:p w:rsidR="00231EBA" w:rsidRPr="00097A81" w:rsidRDefault="00A31854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5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ED8E7"/>
            <w:vAlign w:val="bottom"/>
          </w:tcPr>
          <w:p w:rsidR="00231EBA" w:rsidRPr="00097A81" w:rsidRDefault="00A31854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13%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ED8E7"/>
          </w:tcPr>
          <w:p w:rsidR="00231EBA" w:rsidRPr="00097A81" w:rsidRDefault="00A31854" w:rsidP="005F33EA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208,379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CED8E7"/>
          </w:tcPr>
          <w:p w:rsidR="00231EBA" w:rsidRPr="00097A81" w:rsidRDefault="00A31854" w:rsidP="00A31854">
            <w:pPr>
              <w:jc w:val="center"/>
              <w:rPr>
                <w:rFonts w:cs="Arial"/>
                <w:color w:val="000000"/>
                <w:sz w:val="20"/>
                <w:lang w:eastAsia="en-AU"/>
              </w:rPr>
            </w:pPr>
            <w:r w:rsidRPr="00097A81">
              <w:rPr>
                <w:rFonts w:cs="Arial"/>
                <w:color w:val="000000"/>
                <w:sz w:val="20"/>
                <w:lang w:eastAsia="en-AU"/>
              </w:rPr>
              <w:t>131,980 (8)</w:t>
            </w:r>
          </w:p>
        </w:tc>
      </w:tr>
    </w:tbl>
    <w:p w:rsidR="00400765" w:rsidRDefault="00247F26" w:rsidP="00A814A1">
      <w:pPr>
        <w:spacing w:before="120"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 xml:space="preserve">However,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Table 1 demonstrates that the 2015 UIS data for </w:t>
      </w:r>
      <w:r>
        <w:rPr>
          <w:rFonts w:asciiTheme="minorHAnsi" w:hAnsiTheme="minorHAnsi" w:cs="Calibri"/>
          <w:color w:val="000000" w:themeColor="text1"/>
          <w:szCs w:val="22"/>
        </w:rPr>
        <w:t xml:space="preserve">the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countries in 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Table 1 </w:t>
      </w:r>
      <w:r w:rsidR="00231EBA">
        <w:rPr>
          <w:rFonts w:asciiTheme="minorHAnsi" w:hAnsiTheme="minorHAnsi" w:cs="Calibri"/>
          <w:color w:val="000000" w:themeColor="text1"/>
          <w:szCs w:val="22"/>
        </w:rPr>
        <w:t xml:space="preserve">are substantially different </w:t>
      </w:r>
      <w:proofErr w:type="gramStart"/>
      <w:r w:rsidR="00231EBA">
        <w:rPr>
          <w:rFonts w:asciiTheme="minorHAnsi" w:hAnsiTheme="minorHAnsi" w:cs="Calibri"/>
          <w:color w:val="000000" w:themeColor="text1"/>
          <w:szCs w:val="22"/>
        </w:rPr>
        <w:t>than</w:t>
      </w:r>
      <w:proofErr w:type="gramEnd"/>
      <w:r w:rsidR="00231EBA">
        <w:rPr>
          <w:rFonts w:asciiTheme="minorHAnsi" w:hAnsiTheme="minorHAnsi" w:cs="Calibri"/>
          <w:color w:val="000000" w:themeColor="text1"/>
          <w:szCs w:val="22"/>
        </w:rPr>
        <w:t xml:space="preserve"> data self-reported by those countries in 2015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. This </w:t>
      </w:r>
      <w:r w:rsidR="000E684B">
        <w:rPr>
          <w:rFonts w:asciiTheme="minorHAnsi" w:hAnsiTheme="minorHAnsi" w:cs="Calibri"/>
          <w:color w:val="000000" w:themeColor="text1"/>
          <w:szCs w:val="22"/>
        </w:rPr>
        <w:t>means</w:t>
      </w:r>
      <w:r w:rsidR="009E2029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that caution is required in comparing </w:t>
      </w:r>
      <w:r w:rsidR="009E2029">
        <w:rPr>
          <w:rFonts w:asciiTheme="minorHAnsi" w:hAnsiTheme="minorHAnsi" w:cs="Calibri"/>
          <w:color w:val="000000" w:themeColor="text1"/>
          <w:szCs w:val="22"/>
        </w:rPr>
        <w:t>self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-reported data from different countries, albeit such </w:t>
      </w:r>
      <w:r w:rsidR="009E2029">
        <w:rPr>
          <w:rFonts w:asciiTheme="minorHAnsi" w:hAnsiTheme="minorHAnsi" w:cs="Calibri"/>
          <w:color w:val="000000" w:themeColor="text1"/>
          <w:szCs w:val="22"/>
        </w:rPr>
        <w:t>data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061823">
        <w:rPr>
          <w:rFonts w:asciiTheme="minorHAnsi" w:hAnsiTheme="minorHAnsi" w:cs="Calibri"/>
          <w:color w:val="000000" w:themeColor="text1"/>
          <w:szCs w:val="22"/>
        </w:rPr>
        <w:t>are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 </w:t>
      </w:r>
      <w:r>
        <w:rPr>
          <w:rFonts w:asciiTheme="minorHAnsi" w:hAnsiTheme="minorHAnsi" w:cs="Calibri"/>
          <w:color w:val="000000" w:themeColor="text1"/>
          <w:szCs w:val="22"/>
        </w:rPr>
        <w:t>accurate</w:t>
      </w:r>
      <w:r w:rsidR="000E684B">
        <w:rPr>
          <w:rFonts w:asciiTheme="minorHAnsi" w:hAnsiTheme="minorHAnsi" w:cs="Calibri"/>
          <w:color w:val="000000" w:themeColor="text1"/>
          <w:szCs w:val="22"/>
        </w:rPr>
        <w:t xml:space="preserve"> with respect to how each country chooses to report </w:t>
      </w:r>
      <w:r w:rsidR="003C7BF1">
        <w:rPr>
          <w:rFonts w:asciiTheme="minorHAnsi" w:hAnsiTheme="minorHAnsi" w:cs="Calibri"/>
          <w:color w:val="000000" w:themeColor="text1"/>
          <w:szCs w:val="22"/>
        </w:rPr>
        <w:t>its</w:t>
      </w:r>
      <w:r w:rsidR="000E684B">
        <w:rPr>
          <w:rFonts w:asciiTheme="minorHAnsi" w:hAnsiTheme="minorHAnsi" w:cs="Calibri"/>
          <w:color w:val="000000" w:themeColor="text1"/>
          <w:szCs w:val="22"/>
        </w:rPr>
        <w:t xml:space="preserve"> data.</w:t>
      </w:r>
      <w:r w:rsidR="00A814A1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912E19">
        <w:rPr>
          <w:rFonts w:asciiTheme="minorHAnsi" w:hAnsiTheme="minorHAnsi" w:cs="Calibri"/>
          <w:color w:val="000000" w:themeColor="text1"/>
          <w:szCs w:val="22"/>
        </w:rPr>
        <w:t>For these reasons</w:t>
      </w:r>
      <w:r w:rsidR="00061823">
        <w:rPr>
          <w:rFonts w:asciiTheme="minorHAnsi" w:hAnsiTheme="minorHAnsi" w:cs="Calibri"/>
          <w:color w:val="000000" w:themeColor="text1"/>
          <w:szCs w:val="22"/>
        </w:rPr>
        <w:t>, t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he </w:t>
      </w:r>
      <w:r w:rsidR="00061823">
        <w:rPr>
          <w:rFonts w:asciiTheme="minorHAnsi" w:hAnsiTheme="minorHAnsi" w:cs="Calibri"/>
          <w:color w:val="000000" w:themeColor="text1"/>
          <w:szCs w:val="22"/>
        </w:rPr>
        <w:t xml:space="preserve">2015 UIS </w:t>
      </w:r>
      <w:r w:rsidR="008548F6">
        <w:rPr>
          <w:rFonts w:asciiTheme="minorHAnsi" w:hAnsiTheme="minorHAnsi" w:cs="Calibri"/>
          <w:color w:val="000000" w:themeColor="text1"/>
          <w:szCs w:val="22"/>
        </w:rPr>
        <w:t>data</w:t>
      </w:r>
      <w:r w:rsidR="00061823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is the basis </w:t>
      </w:r>
      <w:r w:rsidR="00B3442F">
        <w:rPr>
          <w:rFonts w:asciiTheme="minorHAnsi" w:hAnsiTheme="minorHAnsi" w:cs="Calibri"/>
          <w:color w:val="000000" w:themeColor="text1"/>
          <w:szCs w:val="22"/>
        </w:rPr>
        <w:t>for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Australia’s claim </w:t>
      </w:r>
      <w:r w:rsidR="003C7BF1">
        <w:rPr>
          <w:rFonts w:asciiTheme="minorHAnsi" w:hAnsiTheme="minorHAnsi" w:cs="Calibri"/>
          <w:color w:val="000000" w:themeColor="text1"/>
          <w:szCs w:val="22"/>
        </w:rPr>
        <w:t>of being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the world’s third most popular study destination.</w:t>
      </w:r>
    </w:p>
    <w:p w:rsidR="00A814A1" w:rsidRDefault="00912E19" w:rsidP="00A814A1">
      <w:pPr>
        <w:spacing w:before="120"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>Nonetheless, different countries’ self-reported data can provide important insights into their international education sectors. For example, t</w:t>
      </w:r>
      <w:r w:rsidR="00061823">
        <w:rPr>
          <w:rFonts w:asciiTheme="minorHAnsi" w:hAnsiTheme="minorHAnsi" w:cs="Calibri"/>
          <w:color w:val="000000" w:themeColor="text1"/>
          <w:szCs w:val="22"/>
        </w:rPr>
        <w:t>he UIS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 2015 count for Australia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represents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 only 59% of the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count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548F6">
        <w:rPr>
          <w:rFonts w:asciiTheme="minorHAnsi" w:hAnsiTheme="minorHAnsi" w:cs="Calibri"/>
          <w:color w:val="000000" w:themeColor="text1"/>
          <w:szCs w:val="22"/>
        </w:rPr>
        <w:t>self-reported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 by Australia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in 2015</w:t>
      </w:r>
      <w:r w:rsidR="00B54355">
        <w:rPr>
          <w:rFonts w:asciiTheme="minorHAnsi" w:hAnsiTheme="minorHAnsi" w:cs="Calibri"/>
          <w:color w:val="000000" w:themeColor="text1"/>
          <w:szCs w:val="22"/>
        </w:rPr>
        <w:t>,</w:t>
      </w:r>
      <w:r>
        <w:rPr>
          <w:rFonts w:asciiTheme="minorHAnsi" w:hAnsiTheme="minorHAnsi" w:cs="Calibri"/>
          <w:color w:val="000000" w:themeColor="text1"/>
          <w:szCs w:val="22"/>
        </w:rPr>
        <w:t xml:space="preserve"> </w:t>
      </w:r>
      <w:proofErr w:type="gramStart"/>
      <w:r>
        <w:rPr>
          <w:rFonts w:asciiTheme="minorHAnsi" w:hAnsiTheme="minorHAnsi" w:cs="Calibri"/>
          <w:color w:val="000000" w:themeColor="text1"/>
          <w:szCs w:val="22"/>
        </w:rPr>
        <w:t xml:space="preserve">as a </w:t>
      </w:r>
      <w:r w:rsidR="00B54355">
        <w:rPr>
          <w:rFonts w:asciiTheme="minorHAnsi" w:hAnsiTheme="minorHAnsi" w:cs="Calibri"/>
          <w:color w:val="000000" w:themeColor="text1"/>
          <w:szCs w:val="22"/>
        </w:rPr>
        <w:t>consequence</w:t>
      </w:r>
      <w:proofErr w:type="gramEnd"/>
      <w:r>
        <w:rPr>
          <w:rFonts w:asciiTheme="minorHAnsi" w:hAnsiTheme="minorHAnsi" w:cs="Calibri"/>
          <w:color w:val="000000" w:themeColor="text1"/>
          <w:szCs w:val="22"/>
        </w:rPr>
        <w:t xml:space="preserve"> of Australia hosting many international students who do not fit the UIS definition of tertiary student</w:t>
      </w:r>
      <w:r w:rsidR="00842EAE">
        <w:rPr>
          <w:rFonts w:asciiTheme="minorHAnsi" w:hAnsiTheme="minorHAnsi" w:cs="Calibri"/>
          <w:color w:val="000000" w:themeColor="text1"/>
          <w:szCs w:val="22"/>
        </w:rPr>
        <w:t>, notably certificate-level VET students, as well as English language, non-award and school students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. Canada </w:t>
      </w:r>
      <w:r w:rsidR="00061823">
        <w:rPr>
          <w:rFonts w:asciiTheme="minorHAnsi" w:hAnsiTheme="minorHAnsi" w:cs="Calibri"/>
          <w:color w:val="000000" w:themeColor="text1"/>
          <w:szCs w:val="22"/>
        </w:rPr>
        <w:t>uses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 a similar approach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to Australia</w:t>
      </w:r>
      <w:r w:rsidR="00066B43">
        <w:rPr>
          <w:rFonts w:asciiTheme="minorHAnsi" w:hAnsiTheme="minorHAnsi" w:cs="Calibri"/>
          <w:color w:val="000000" w:themeColor="text1"/>
          <w:szCs w:val="22"/>
        </w:rPr>
        <w:t xml:space="preserve">, in reporting all study permit holders across all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its </w:t>
      </w:r>
      <w:r w:rsidR="00066B43">
        <w:rPr>
          <w:rFonts w:asciiTheme="minorHAnsi" w:hAnsiTheme="minorHAnsi" w:cs="Calibri"/>
          <w:color w:val="000000" w:themeColor="text1"/>
          <w:szCs w:val="22"/>
        </w:rPr>
        <w:t>education sectors</w:t>
      </w:r>
      <w:r w:rsidR="00912F72">
        <w:rPr>
          <w:rFonts w:asciiTheme="minorHAnsi" w:hAnsiTheme="minorHAnsi" w:cs="Calibri"/>
          <w:color w:val="000000" w:themeColor="text1"/>
          <w:szCs w:val="22"/>
        </w:rPr>
        <w:t>,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42EAE">
        <w:rPr>
          <w:rFonts w:asciiTheme="minorHAnsi" w:hAnsiTheme="minorHAnsi" w:cs="Calibri"/>
          <w:color w:val="000000" w:themeColor="text1"/>
          <w:szCs w:val="22"/>
        </w:rPr>
        <w:t>such that</w:t>
      </w:r>
      <w:r w:rsidR="00912F72">
        <w:rPr>
          <w:rFonts w:asciiTheme="minorHAnsi" w:hAnsiTheme="minorHAnsi" w:cs="Calibri"/>
          <w:color w:val="000000" w:themeColor="text1"/>
          <w:szCs w:val="22"/>
        </w:rPr>
        <w:t xml:space="preserve"> only 49% </w:t>
      </w:r>
      <w:r w:rsidR="008548F6">
        <w:rPr>
          <w:rFonts w:asciiTheme="minorHAnsi" w:hAnsiTheme="minorHAnsi" w:cs="Calibri"/>
          <w:color w:val="000000" w:themeColor="text1"/>
          <w:szCs w:val="22"/>
        </w:rPr>
        <w:t>of those were</w:t>
      </w:r>
      <w:r w:rsidR="00912F72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reported </w:t>
      </w:r>
      <w:r w:rsidR="00B54355">
        <w:rPr>
          <w:rFonts w:asciiTheme="minorHAnsi" w:hAnsiTheme="minorHAnsi" w:cs="Calibri"/>
          <w:color w:val="000000" w:themeColor="text1"/>
          <w:szCs w:val="22"/>
        </w:rPr>
        <w:t>in the</w:t>
      </w:r>
      <w:r w:rsidR="00842EAE">
        <w:rPr>
          <w:rFonts w:asciiTheme="minorHAnsi" w:hAnsiTheme="minorHAnsi" w:cs="Calibri"/>
          <w:color w:val="000000" w:themeColor="text1"/>
          <w:szCs w:val="22"/>
        </w:rPr>
        <w:t xml:space="preserve"> 2015</w:t>
      </w:r>
      <w:r w:rsidR="00B54355">
        <w:rPr>
          <w:rFonts w:asciiTheme="minorHAnsi" w:hAnsiTheme="minorHAnsi" w:cs="Calibri"/>
          <w:color w:val="000000" w:themeColor="text1"/>
          <w:szCs w:val="22"/>
        </w:rPr>
        <w:t xml:space="preserve"> UIS data</w:t>
      </w:r>
      <w:r w:rsidR="00066B43">
        <w:rPr>
          <w:rFonts w:asciiTheme="minorHAnsi" w:hAnsiTheme="minorHAnsi" w:cs="Calibri"/>
          <w:color w:val="000000" w:themeColor="text1"/>
          <w:szCs w:val="22"/>
        </w:rPr>
        <w:t>. China’</w:t>
      </w:r>
      <w:r w:rsidR="002B7592">
        <w:rPr>
          <w:rFonts w:asciiTheme="minorHAnsi" w:hAnsiTheme="minorHAnsi" w:cs="Calibri"/>
          <w:color w:val="000000" w:themeColor="text1"/>
          <w:szCs w:val="22"/>
        </w:rPr>
        <w:t>s self</w:t>
      </w:r>
      <w:r w:rsidR="00FA2C6E">
        <w:rPr>
          <w:rFonts w:asciiTheme="minorHAnsi" w:hAnsiTheme="minorHAnsi" w:cs="Calibri"/>
          <w:color w:val="000000" w:themeColor="text1"/>
          <w:szCs w:val="22"/>
        </w:rPr>
        <w:t xml:space="preserve">-reported </w:t>
      </w:r>
      <w:r w:rsidR="002B7592">
        <w:rPr>
          <w:rFonts w:asciiTheme="minorHAnsi" w:hAnsiTheme="minorHAnsi" w:cs="Calibri"/>
          <w:color w:val="000000" w:themeColor="text1"/>
          <w:szCs w:val="22"/>
        </w:rPr>
        <w:t>data</w:t>
      </w:r>
      <w:r w:rsidR="00FA2C6E">
        <w:rPr>
          <w:rFonts w:asciiTheme="minorHAnsi" w:hAnsiTheme="minorHAnsi" w:cs="Calibri"/>
          <w:color w:val="000000" w:themeColor="text1"/>
          <w:szCs w:val="22"/>
        </w:rPr>
        <w:t xml:space="preserve"> incorporates a </w:t>
      </w:r>
      <w:r w:rsidR="00B54355">
        <w:rPr>
          <w:rFonts w:asciiTheme="minorHAnsi" w:hAnsiTheme="minorHAnsi" w:cs="Calibri"/>
          <w:color w:val="000000" w:themeColor="text1"/>
          <w:szCs w:val="22"/>
        </w:rPr>
        <w:t>high proportion</w:t>
      </w:r>
      <w:r w:rsidR="00FA2C6E">
        <w:rPr>
          <w:rFonts w:asciiTheme="minorHAnsi" w:hAnsiTheme="minorHAnsi" w:cs="Calibri"/>
          <w:color w:val="000000" w:themeColor="text1"/>
          <w:szCs w:val="22"/>
        </w:rPr>
        <w:t xml:space="preserve"> of </w:t>
      </w:r>
      <w:r w:rsidR="00066B43">
        <w:rPr>
          <w:rFonts w:asciiTheme="minorHAnsi" w:hAnsiTheme="minorHAnsi" w:cs="Calibri"/>
          <w:color w:val="000000" w:themeColor="text1"/>
          <w:szCs w:val="22"/>
        </w:rPr>
        <w:t>non-award students</w:t>
      </w:r>
      <w:r w:rsidR="00FA2C6E">
        <w:rPr>
          <w:rFonts w:asciiTheme="minorHAnsi" w:hAnsiTheme="minorHAnsi" w:cs="Calibri"/>
          <w:color w:val="000000" w:themeColor="text1"/>
          <w:szCs w:val="22"/>
        </w:rPr>
        <w:t xml:space="preserve"> (</w:t>
      </w:r>
      <w:r w:rsidR="002B7592">
        <w:rPr>
          <w:rFonts w:asciiTheme="minorHAnsi" w:hAnsiTheme="minorHAnsi" w:cs="Calibri"/>
          <w:color w:val="000000" w:themeColor="text1"/>
          <w:szCs w:val="22"/>
        </w:rPr>
        <w:t>54%</w:t>
      </w:r>
      <w:r w:rsidR="00FA2C6E">
        <w:rPr>
          <w:rFonts w:asciiTheme="minorHAnsi" w:hAnsiTheme="minorHAnsi" w:cs="Calibri"/>
          <w:color w:val="000000" w:themeColor="text1"/>
          <w:szCs w:val="22"/>
        </w:rPr>
        <w:t xml:space="preserve"> in 2015</w:t>
      </w:r>
      <w:r w:rsidR="00B54355" w:rsidRPr="00B54355">
        <w:rPr>
          <w:rFonts w:asciiTheme="minorHAnsi" w:hAnsiTheme="minorHAnsi" w:cs="Calibri"/>
          <w:color w:val="000000" w:themeColor="text1"/>
          <w:szCs w:val="22"/>
          <w:vertAlign w:val="superscript"/>
        </w:rPr>
        <w:t>3</w:t>
      </w:r>
      <w:r w:rsidR="00FA2C6E">
        <w:rPr>
          <w:rFonts w:asciiTheme="minorHAnsi" w:hAnsiTheme="minorHAnsi" w:cs="Calibri"/>
          <w:color w:val="000000" w:themeColor="text1"/>
          <w:szCs w:val="22"/>
        </w:rPr>
        <w:t>)</w:t>
      </w:r>
      <w:r w:rsidR="002B7592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54355">
        <w:rPr>
          <w:rFonts w:asciiTheme="minorHAnsi" w:hAnsiTheme="minorHAnsi" w:cs="Calibri"/>
          <w:color w:val="000000" w:themeColor="text1"/>
          <w:szCs w:val="22"/>
        </w:rPr>
        <w:t>such that</w:t>
      </w:r>
      <w:r w:rsidR="002B7592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only 31% </w:t>
      </w:r>
      <w:r w:rsidR="002B7592">
        <w:rPr>
          <w:rFonts w:asciiTheme="minorHAnsi" w:hAnsiTheme="minorHAnsi" w:cs="Calibri"/>
          <w:color w:val="000000" w:themeColor="text1"/>
          <w:szCs w:val="22"/>
        </w:rPr>
        <w:t xml:space="preserve">of its self-reported numbers </w:t>
      </w:r>
      <w:proofErr w:type="gramStart"/>
      <w:r w:rsidR="008548F6">
        <w:rPr>
          <w:rFonts w:asciiTheme="minorHAnsi" w:hAnsiTheme="minorHAnsi" w:cs="Calibri"/>
          <w:color w:val="000000" w:themeColor="text1"/>
          <w:szCs w:val="22"/>
        </w:rPr>
        <w:t>a</w:t>
      </w:r>
      <w:r w:rsidR="002B7592">
        <w:rPr>
          <w:rFonts w:asciiTheme="minorHAnsi" w:hAnsiTheme="minorHAnsi" w:cs="Calibri"/>
          <w:color w:val="000000" w:themeColor="text1"/>
          <w:szCs w:val="22"/>
        </w:rPr>
        <w:t>re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42EAE">
        <w:rPr>
          <w:rFonts w:asciiTheme="minorHAnsi" w:hAnsiTheme="minorHAnsi" w:cs="Calibri"/>
          <w:color w:val="000000" w:themeColor="text1"/>
          <w:szCs w:val="22"/>
        </w:rPr>
        <w:t>captured</w:t>
      </w:r>
      <w:proofErr w:type="gramEnd"/>
      <w:r w:rsidR="00842EAE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in the </w:t>
      </w:r>
      <w:r w:rsidR="002B7592">
        <w:rPr>
          <w:rFonts w:asciiTheme="minorHAnsi" w:hAnsiTheme="minorHAnsi" w:cs="Calibri"/>
          <w:color w:val="000000" w:themeColor="text1"/>
          <w:szCs w:val="22"/>
        </w:rPr>
        <w:t xml:space="preserve">2015 </w:t>
      </w:r>
      <w:r w:rsidR="008548F6">
        <w:rPr>
          <w:rFonts w:asciiTheme="minorHAnsi" w:hAnsiTheme="minorHAnsi" w:cs="Calibri"/>
          <w:color w:val="000000" w:themeColor="text1"/>
          <w:szCs w:val="22"/>
        </w:rPr>
        <w:t>UIS data</w:t>
      </w:r>
      <w:r w:rsidR="00FA2C6E">
        <w:rPr>
          <w:rFonts w:asciiTheme="minorHAnsi" w:hAnsiTheme="minorHAnsi" w:cs="Calibri"/>
          <w:color w:val="000000" w:themeColor="text1"/>
          <w:szCs w:val="22"/>
        </w:rPr>
        <w:t>.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Conversely, the UK</w:t>
      </w:r>
      <w:r w:rsidR="00B3442F">
        <w:rPr>
          <w:rFonts w:asciiTheme="minorHAnsi" w:hAnsiTheme="minorHAnsi" w:cs="Calibri"/>
          <w:color w:val="000000" w:themeColor="text1"/>
          <w:szCs w:val="22"/>
        </w:rPr>
        <w:t>’s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self-reported data </w:t>
      </w:r>
      <w:r w:rsidR="00B3442F">
        <w:rPr>
          <w:rFonts w:asciiTheme="minorHAnsi" w:hAnsiTheme="minorHAnsi" w:cs="Calibri"/>
          <w:color w:val="000000" w:themeColor="text1"/>
          <w:szCs w:val="22"/>
        </w:rPr>
        <w:t>(</w:t>
      </w:r>
      <w:r w:rsidR="00B54355">
        <w:rPr>
          <w:rFonts w:asciiTheme="minorHAnsi" w:hAnsiTheme="minorHAnsi" w:cs="Calibri"/>
          <w:color w:val="000000" w:themeColor="text1"/>
          <w:szCs w:val="22"/>
        </w:rPr>
        <w:t xml:space="preserve">primarily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higher education </w:t>
      </w:r>
      <w:r w:rsidR="00B54355">
        <w:rPr>
          <w:rFonts w:asciiTheme="minorHAnsi" w:hAnsiTheme="minorHAnsi" w:cs="Calibri"/>
          <w:color w:val="000000" w:themeColor="text1"/>
          <w:szCs w:val="22"/>
        </w:rPr>
        <w:t>awar</w:t>
      </w:r>
      <w:bookmarkStart w:id="0" w:name="_GoBack"/>
      <w:bookmarkEnd w:id="0"/>
      <w:r w:rsidR="00B54355">
        <w:rPr>
          <w:rFonts w:asciiTheme="minorHAnsi" w:hAnsiTheme="minorHAnsi" w:cs="Calibri"/>
          <w:color w:val="000000" w:themeColor="text1"/>
          <w:szCs w:val="22"/>
        </w:rPr>
        <w:t xml:space="preserve">d </w:t>
      </w:r>
      <w:r w:rsidR="008548F6">
        <w:rPr>
          <w:rFonts w:asciiTheme="minorHAnsi" w:hAnsiTheme="minorHAnsi" w:cs="Calibri"/>
          <w:color w:val="000000" w:themeColor="text1"/>
          <w:szCs w:val="22"/>
        </w:rPr>
        <w:t>students only</w:t>
      </w:r>
      <w:r w:rsidR="00B3442F">
        <w:rPr>
          <w:rFonts w:asciiTheme="minorHAnsi" w:hAnsiTheme="minorHAnsi" w:cs="Calibri"/>
          <w:color w:val="000000" w:themeColor="text1"/>
          <w:szCs w:val="22"/>
        </w:rPr>
        <w:t>)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3442F">
        <w:rPr>
          <w:rFonts w:asciiTheme="minorHAnsi" w:hAnsiTheme="minorHAnsi" w:cs="Calibri"/>
          <w:color w:val="000000" w:themeColor="text1"/>
          <w:szCs w:val="22"/>
        </w:rPr>
        <w:t>represents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a close match to </w:t>
      </w:r>
      <w:r w:rsidR="00B54355">
        <w:rPr>
          <w:rFonts w:asciiTheme="minorHAnsi" w:hAnsiTheme="minorHAnsi" w:cs="Calibri"/>
          <w:color w:val="000000" w:themeColor="text1"/>
          <w:szCs w:val="22"/>
        </w:rPr>
        <w:t xml:space="preserve">2015 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UIS </w:t>
      </w:r>
      <w:r w:rsidR="00842EAE">
        <w:rPr>
          <w:rFonts w:asciiTheme="minorHAnsi" w:hAnsiTheme="minorHAnsi" w:cs="Calibri"/>
          <w:color w:val="000000" w:themeColor="text1"/>
          <w:szCs w:val="22"/>
        </w:rPr>
        <w:t>data</w:t>
      </w:r>
      <w:r w:rsidR="008548F6">
        <w:rPr>
          <w:rFonts w:asciiTheme="minorHAnsi" w:hAnsiTheme="minorHAnsi" w:cs="Calibri"/>
          <w:color w:val="000000" w:themeColor="text1"/>
          <w:szCs w:val="22"/>
        </w:rPr>
        <w:t>.</w:t>
      </w:r>
    </w:p>
    <w:p w:rsidR="00D26FFA" w:rsidRDefault="00842EAE" w:rsidP="00AB4205">
      <w:pPr>
        <w:spacing w:before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>D</w:t>
      </w:r>
      <w:r w:rsidR="00521EF6">
        <w:rPr>
          <w:rFonts w:asciiTheme="minorHAnsi" w:hAnsiTheme="minorHAnsi" w:cs="Calibri"/>
          <w:color w:val="000000" w:themeColor="text1"/>
          <w:szCs w:val="22"/>
        </w:rPr>
        <w:t>ifferent countr</w:t>
      </w:r>
      <w:r w:rsidR="00775BE9">
        <w:rPr>
          <w:rFonts w:asciiTheme="minorHAnsi" w:hAnsiTheme="minorHAnsi" w:cs="Calibri"/>
          <w:color w:val="000000" w:themeColor="text1"/>
          <w:szCs w:val="22"/>
        </w:rPr>
        <w:t>ies</w:t>
      </w:r>
      <w:r w:rsidR="00521EF6">
        <w:rPr>
          <w:rFonts w:asciiTheme="minorHAnsi" w:hAnsiTheme="minorHAnsi" w:cs="Calibri"/>
          <w:color w:val="000000" w:themeColor="text1"/>
          <w:szCs w:val="22"/>
        </w:rPr>
        <w:t xml:space="preserve">’ </w:t>
      </w:r>
      <w:r w:rsidR="008548F6">
        <w:rPr>
          <w:rFonts w:asciiTheme="minorHAnsi" w:hAnsiTheme="minorHAnsi" w:cs="Calibri"/>
          <w:color w:val="000000" w:themeColor="text1"/>
          <w:szCs w:val="22"/>
        </w:rPr>
        <w:t>self</w:t>
      </w:r>
      <w:r w:rsidR="00400765">
        <w:rPr>
          <w:rFonts w:asciiTheme="minorHAnsi" w:hAnsiTheme="minorHAnsi" w:cs="Calibri"/>
          <w:color w:val="000000" w:themeColor="text1"/>
          <w:szCs w:val="22"/>
        </w:rPr>
        <w:t xml:space="preserve">-reported data </w:t>
      </w:r>
      <w:r>
        <w:rPr>
          <w:rFonts w:asciiTheme="minorHAnsi" w:hAnsiTheme="minorHAnsi" w:cs="Calibri"/>
          <w:color w:val="000000" w:themeColor="text1"/>
          <w:szCs w:val="22"/>
        </w:rPr>
        <w:t xml:space="preserve">also </w:t>
      </w:r>
      <w:r w:rsidR="00F43B33">
        <w:rPr>
          <w:rFonts w:asciiTheme="minorHAnsi" w:hAnsiTheme="minorHAnsi" w:cs="Calibri"/>
          <w:color w:val="000000" w:themeColor="text1"/>
          <w:szCs w:val="22"/>
        </w:rPr>
        <w:t>gives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521EF6">
        <w:rPr>
          <w:rFonts w:asciiTheme="minorHAnsi" w:hAnsiTheme="minorHAnsi" w:cs="Calibri"/>
          <w:color w:val="000000" w:themeColor="text1"/>
          <w:szCs w:val="22"/>
        </w:rPr>
        <w:t>the most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 current view of </w:t>
      </w:r>
      <w:r>
        <w:rPr>
          <w:rFonts w:asciiTheme="minorHAnsi" w:hAnsiTheme="minorHAnsi" w:cs="Calibri"/>
          <w:color w:val="000000" w:themeColor="text1"/>
          <w:szCs w:val="22"/>
        </w:rPr>
        <w:t>the global market</w:t>
      </w:r>
      <w:r w:rsidR="008548F6">
        <w:rPr>
          <w:rFonts w:asciiTheme="minorHAnsi" w:hAnsiTheme="minorHAnsi" w:cs="Calibri"/>
          <w:color w:val="000000" w:themeColor="text1"/>
          <w:szCs w:val="22"/>
        </w:rPr>
        <w:t xml:space="preserve">. A comparison of the latest available growth rates shown in Table 1 </w:t>
      </w:r>
      <w:r w:rsidR="00B3442F">
        <w:rPr>
          <w:rFonts w:asciiTheme="minorHAnsi" w:hAnsiTheme="minorHAnsi" w:cs="Calibri"/>
          <w:color w:val="000000" w:themeColor="text1"/>
          <w:szCs w:val="22"/>
        </w:rPr>
        <w:t>indicate</w:t>
      </w:r>
      <w:r w:rsidR="00912F72">
        <w:rPr>
          <w:rFonts w:asciiTheme="minorHAnsi" w:hAnsiTheme="minorHAnsi" w:cs="Calibri"/>
          <w:color w:val="000000" w:themeColor="text1"/>
          <w:szCs w:val="22"/>
        </w:rPr>
        <w:t xml:space="preserve"> that Canada, Australia and China have </w:t>
      </w:r>
      <w:r w:rsidR="009D6130">
        <w:rPr>
          <w:rFonts w:asciiTheme="minorHAnsi" w:hAnsiTheme="minorHAnsi" w:cs="Calibri"/>
          <w:color w:val="000000" w:themeColor="text1"/>
          <w:szCs w:val="22"/>
        </w:rPr>
        <w:t>had</w:t>
      </w:r>
      <w:r w:rsidR="00912F72">
        <w:rPr>
          <w:rFonts w:asciiTheme="minorHAnsi" w:hAnsiTheme="minorHAnsi" w:cs="Calibri"/>
          <w:color w:val="000000" w:themeColor="text1"/>
          <w:szCs w:val="22"/>
        </w:rPr>
        <w:t xml:space="preserve"> recent double-digit </w:t>
      </w:r>
      <w:r w:rsidR="00B47B02">
        <w:rPr>
          <w:rFonts w:asciiTheme="minorHAnsi" w:hAnsiTheme="minorHAnsi" w:cs="Calibri"/>
          <w:color w:val="000000" w:themeColor="text1"/>
          <w:szCs w:val="22"/>
        </w:rPr>
        <w:t>growth</w:t>
      </w:r>
      <w:r w:rsidR="00B3442F">
        <w:rPr>
          <w:rFonts w:asciiTheme="minorHAnsi" w:hAnsiTheme="minorHAnsi" w:cs="Calibri"/>
          <w:color w:val="000000" w:themeColor="text1"/>
          <w:szCs w:val="22"/>
        </w:rPr>
        <w:t xml:space="preserve">, while growth in the UK and USA </w:t>
      </w:r>
      <w:r w:rsidR="009D6130">
        <w:rPr>
          <w:rFonts w:asciiTheme="minorHAnsi" w:hAnsiTheme="minorHAnsi" w:cs="Calibri"/>
          <w:color w:val="000000" w:themeColor="text1"/>
          <w:szCs w:val="22"/>
        </w:rPr>
        <w:t>has been</w:t>
      </w:r>
      <w:r w:rsidR="00B3442F">
        <w:rPr>
          <w:rFonts w:asciiTheme="minorHAnsi" w:hAnsiTheme="minorHAnsi" w:cs="Calibri"/>
          <w:color w:val="000000" w:themeColor="text1"/>
          <w:szCs w:val="22"/>
        </w:rPr>
        <w:t xml:space="preserve"> relatively low</w:t>
      </w:r>
      <w:r w:rsidR="00B54355">
        <w:rPr>
          <w:rFonts w:asciiTheme="minorHAnsi" w:hAnsiTheme="minorHAnsi" w:cs="Calibri"/>
          <w:color w:val="000000" w:themeColor="text1"/>
          <w:szCs w:val="22"/>
        </w:rPr>
        <w:t>er</w:t>
      </w:r>
      <w:r w:rsidR="00B3442F">
        <w:rPr>
          <w:rFonts w:asciiTheme="minorHAnsi" w:hAnsiTheme="minorHAnsi" w:cs="Calibri"/>
          <w:color w:val="000000" w:themeColor="text1"/>
          <w:szCs w:val="22"/>
        </w:rPr>
        <w:t xml:space="preserve">. </w:t>
      </w:r>
      <w:r>
        <w:rPr>
          <w:rFonts w:asciiTheme="minorHAnsi" w:hAnsiTheme="minorHAnsi" w:cs="Calibri"/>
          <w:color w:val="000000" w:themeColor="text1"/>
          <w:szCs w:val="22"/>
        </w:rPr>
        <w:t xml:space="preserve">Consideration of the relative growth rates of the major hosting countries in the years since 2015, </w:t>
      </w:r>
      <w:r w:rsidR="002B7592">
        <w:rPr>
          <w:rFonts w:asciiTheme="minorHAnsi" w:hAnsiTheme="minorHAnsi" w:cs="Calibri"/>
          <w:color w:val="000000" w:themeColor="text1"/>
          <w:szCs w:val="22"/>
        </w:rPr>
        <w:t>suggest</w:t>
      </w:r>
      <w:r>
        <w:rPr>
          <w:rFonts w:asciiTheme="minorHAnsi" w:hAnsiTheme="minorHAnsi" w:cs="Calibri"/>
          <w:color w:val="000000" w:themeColor="text1"/>
          <w:szCs w:val="22"/>
        </w:rPr>
        <w:t>s</w:t>
      </w:r>
      <w:r w:rsidR="00891471">
        <w:rPr>
          <w:rFonts w:asciiTheme="minorHAnsi" w:hAnsiTheme="minorHAnsi" w:cs="Calibri"/>
          <w:color w:val="000000" w:themeColor="text1"/>
          <w:szCs w:val="22"/>
        </w:rPr>
        <w:t xml:space="preserve"> Australia </w:t>
      </w:r>
      <w:r w:rsidR="009D6130">
        <w:rPr>
          <w:rFonts w:asciiTheme="minorHAnsi" w:hAnsiTheme="minorHAnsi" w:cs="Calibri"/>
          <w:color w:val="000000" w:themeColor="text1"/>
          <w:szCs w:val="22"/>
        </w:rPr>
        <w:t>is likely to</w:t>
      </w:r>
      <w:r w:rsidR="00891471">
        <w:rPr>
          <w:rFonts w:asciiTheme="minorHAnsi" w:hAnsiTheme="minorHAnsi" w:cs="Calibri"/>
          <w:color w:val="000000" w:themeColor="text1"/>
          <w:szCs w:val="22"/>
        </w:rPr>
        <w:t xml:space="preserve"> remain the world’s third most popular study destination</w:t>
      </w:r>
      <w:r w:rsidR="00775BE9">
        <w:rPr>
          <w:rFonts w:asciiTheme="minorHAnsi" w:hAnsiTheme="minorHAnsi" w:cs="Calibri"/>
          <w:color w:val="000000" w:themeColor="text1"/>
          <w:szCs w:val="22"/>
        </w:rPr>
        <w:t>,</w:t>
      </w:r>
      <w:r w:rsidR="00891471">
        <w:rPr>
          <w:rFonts w:asciiTheme="minorHAnsi" w:hAnsiTheme="minorHAnsi" w:cs="Calibri"/>
          <w:color w:val="000000" w:themeColor="text1"/>
          <w:szCs w:val="22"/>
        </w:rPr>
        <w:t xml:space="preserve"> when a comprehensive </w:t>
      </w:r>
      <w:r w:rsidR="00775BE9">
        <w:rPr>
          <w:rFonts w:asciiTheme="minorHAnsi" w:hAnsiTheme="minorHAnsi" w:cs="Calibri"/>
          <w:color w:val="000000" w:themeColor="text1"/>
          <w:szCs w:val="22"/>
        </w:rPr>
        <w:t xml:space="preserve">2016 </w:t>
      </w:r>
      <w:r w:rsidR="00097A81">
        <w:rPr>
          <w:rFonts w:asciiTheme="minorHAnsi" w:hAnsiTheme="minorHAnsi" w:cs="Calibri"/>
          <w:color w:val="000000" w:themeColor="text1"/>
          <w:szCs w:val="22"/>
        </w:rPr>
        <w:t xml:space="preserve">UIS </w:t>
      </w:r>
      <w:r w:rsidR="00891471">
        <w:rPr>
          <w:rFonts w:asciiTheme="minorHAnsi" w:hAnsiTheme="minorHAnsi" w:cs="Calibri"/>
          <w:color w:val="000000" w:themeColor="text1"/>
          <w:szCs w:val="22"/>
        </w:rPr>
        <w:t>data set becomes available</w:t>
      </w:r>
      <w:r w:rsidR="003C7BF1" w:rsidRPr="003C7BF1">
        <w:rPr>
          <w:rFonts w:asciiTheme="minorHAnsi" w:hAnsiTheme="minorHAnsi" w:cs="Calibri"/>
          <w:color w:val="000000" w:themeColor="text1"/>
          <w:szCs w:val="22"/>
          <w:vertAlign w:val="superscript"/>
        </w:rPr>
        <w:t>4</w:t>
      </w:r>
      <w:r w:rsidR="00891471">
        <w:rPr>
          <w:rFonts w:asciiTheme="minorHAnsi" w:hAnsiTheme="minorHAnsi" w:cs="Calibri"/>
          <w:color w:val="000000" w:themeColor="text1"/>
          <w:szCs w:val="22"/>
        </w:rPr>
        <w:t>.</w:t>
      </w:r>
      <w:r w:rsidR="009D5C00">
        <w:rPr>
          <w:rFonts w:asciiTheme="minorHAnsi" w:hAnsiTheme="minorHAnsi" w:cs="Calibri"/>
          <w:color w:val="000000" w:themeColor="text1"/>
          <w:szCs w:val="22"/>
        </w:rPr>
        <w:t xml:space="preserve"> It has been suggested</w:t>
      </w:r>
      <w:r w:rsidR="003C7BF1" w:rsidRPr="003C7BF1">
        <w:rPr>
          <w:rFonts w:asciiTheme="minorHAnsi" w:hAnsiTheme="minorHAnsi" w:cs="Calibri"/>
          <w:color w:val="000000" w:themeColor="text1"/>
          <w:szCs w:val="22"/>
          <w:vertAlign w:val="superscript"/>
        </w:rPr>
        <w:t>5</w:t>
      </w:r>
      <w:r w:rsidR="009D5C00">
        <w:rPr>
          <w:rFonts w:asciiTheme="minorHAnsi" w:hAnsiTheme="minorHAnsi" w:cs="Calibri"/>
          <w:color w:val="000000" w:themeColor="text1"/>
          <w:szCs w:val="22"/>
        </w:rPr>
        <w:t xml:space="preserve"> that Australia may overtake the </w:t>
      </w:r>
      <w:r w:rsidR="009D5C00" w:rsidRPr="00D92D56">
        <w:rPr>
          <w:rFonts w:asciiTheme="minorHAnsi" w:hAnsiTheme="minorHAnsi" w:cs="Calibri"/>
          <w:color w:val="000000" w:themeColor="text1"/>
          <w:sz w:val="20"/>
          <w:szCs w:val="22"/>
        </w:rPr>
        <w:t xml:space="preserve">United Kingdom as </w:t>
      </w:r>
      <w:r w:rsidR="009D40DD" w:rsidRPr="00D92D56">
        <w:rPr>
          <w:rFonts w:asciiTheme="minorHAnsi" w:hAnsiTheme="minorHAnsi" w:cs="Calibri"/>
          <w:color w:val="000000" w:themeColor="text1"/>
          <w:sz w:val="20"/>
          <w:szCs w:val="22"/>
        </w:rPr>
        <w:t xml:space="preserve">the world’s </w:t>
      </w:r>
      <w:r w:rsidR="009D5C00" w:rsidRPr="00D92D56">
        <w:rPr>
          <w:rFonts w:asciiTheme="minorHAnsi" w:hAnsiTheme="minorHAnsi" w:cs="Calibri"/>
          <w:color w:val="000000" w:themeColor="text1"/>
          <w:sz w:val="20"/>
          <w:szCs w:val="22"/>
        </w:rPr>
        <w:t xml:space="preserve">second most popular </w:t>
      </w:r>
      <w:r w:rsidR="009D40DD" w:rsidRPr="00D92D56">
        <w:rPr>
          <w:rFonts w:asciiTheme="minorHAnsi" w:hAnsiTheme="minorHAnsi" w:cs="Calibri"/>
          <w:color w:val="000000" w:themeColor="text1"/>
          <w:sz w:val="20"/>
          <w:szCs w:val="22"/>
        </w:rPr>
        <w:t xml:space="preserve">study </w:t>
      </w:r>
      <w:r w:rsidR="009D5C00" w:rsidRPr="00D92D56">
        <w:rPr>
          <w:rFonts w:asciiTheme="minorHAnsi" w:hAnsiTheme="minorHAnsi" w:cs="Calibri"/>
          <w:color w:val="000000" w:themeColor="text1"/>
          <w:sz w:val="20"/>
          <w:szCs w:val="22"/>
        </w:rPr>
        <w:t>destination</w:t>
      </w:r>
      <w:r w:rsidR="009D40DD" w:rsidRPr="00D92D56">
        <w:rPr>
          <w:rFonts w:asciiTheme="minorHAnsi" w:hAnsiTheme="minorHAnsi" w:cs="Calibri"/>
          <w:color w:val="000000" w:themeColor="text1"/>
          <w:sz w:val="20"/>
          <w:szCs w:val="22"/>
        </w:rPr>
        <w:t>,</w:t>
      </w:r>
      <w:r w:rsidR="009D5C00" w:rsidRPr="00D92D56">
        <w:rPr>
          <w:rFonts w:asciiTheme="minorHAnsi" w:hAnsiTheme="minorHAnsi" w:cs="Calibri"/>
          <w:color w:val="000000" w:themeColor="text1"/>
          <w:sz w:val="20"/>
          <w:szCs w:val="22"/>
        </w:rPr>
        <w:t xml:space="preserve"> when the 2018 UIS data set </w:t>
      </w:r>
      <w:r w:rsidR="009D5C00">
        <w:rPr>
          <w:rFonts w:asciiTheme="minorHAnsi" w:hAnsiTheme="minorHAnsi" w:cs="Calibri"/>
          <w:color w:val="000000" w:themeColor="text1"/>
          <w:szCs w:val="22"/>
        </w:rPr>
        <w:t>becomes available.</w:t>
      </w:r>
    </w:p>
    <w:sectPr w:rsidR="00D26FFA" w:rsidSect="00124BE5">
      <w:headerReference w:type="default" r:id="rId9"/>
      <w:footerReference w:type="even" r:id="rId10"/>
      <w:footerReference w:type="default" r:id="rId11"/>
      <w:type w:val="continuous"/>
      <w:pgSz w:w="11906" w:h="16838" w:code="9"/>
      <w:pgMar w:top="284" w:right="424" w:bottom="567" w:left="709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5D" w:rsidRDefault="004E5A5D">
      <w:r>
        <w:separator/>
      </w:r>
    </w:p>
  </w:endnote>
  <w:endnote w:type="continuationSeparator" w:id="0">
    <w:p w:rsidR="004E5A5D" w:rsidRDefault="004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A" w:rsidRDefault="00D26FFA" w:rsidP="00D26FFA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E7" w:rsidRPr="001D2CE7" w:rsidRDefault="00FB11FD" w:rsidP="00D26FFA">
    <w:pPr>
      <w:pStyle w:val="ListParagraph"/>
      <w:numPr>
        <w:ilvl w:val="0"/>
        <w:numId w:val="8"/>
      </w:numPr>
      <w:spacing w:after="120" w:line="160" w:lineRule="exact"/>
      <w:ind w:left="142" w:hanging="142"/>
      <w:rPr>
        <w:rStyle w:val="Hyperlink"/>
        <w:rFonts w:ascii="Cambria" w:hAnsi="Cambria" w:cstheme="minorHAnsi"/>
        <w:i/>
        <w:color w:val="000000"/>
        <w:sz w:val="14"/>
        <w:szCs w:val="16"/>
        <w:u w:val="none"/>
      </w:rPr>
    </w:pPr>
    <w:r>
      <w:rPr>
        <w:rFonts w:ascii="Cambria" w:hAnsi="Cambria" w:cstheme="minorHAnsi"/>
        <w:i/>
        <w:color w:val="000000"/>
        <w:sz w:val="14"/>
        <w:szCs w:val="16"/>
      </w:rPr>
      <w:t xml:space="preserve">UIS student mobility data from 2011 onwards is available </w:t>
    </w:r>
    <w:proofErr w:type="gramStart"/>
    <w:r>
      <w:rPr>
        <w:rFonts w:ascii="Cambria" w:hAnsi="Cambria" w:cstheme="minorHAnsi"/>
        <w:i/>
        <w:color w:val="000000"/>
        <w:sz w:val="14"/>
        <w:szCs w:val="16"/>
      </w:rPr>
      <w:t>at:</w:t>
    </w:r>
    <w:proofErr w:type="gramEnd"/>
    <w:r>
      <w:rPr>
        <w:rFonts w:ascii="Cambria" w:hAnsi="Cambria" w:cstheme="minorHAnsi"/>
        <w:i/>
        <w:color w:val="000000"/>
        <w:sz w:val="14"/>
        <w:szCs w:val="16"/>
      </w:rPr>
      <w:t xml:space="preserve"> </w:t>
    </w:r>
    <w:hyperlink r:id="rId1" w:history="1">
      <w:r w:rsidRPr="00061823">
        <w:rPr>
          <w:rStyle w:val="Hyperlink"/>
          <w:rFonts w:ascii="Cambria" w:hAnsi="Cambria" w:cstheme="minorHAnsi"/>
          <w:i/>
          <w:sz w:val="13"/>
          <w:szCs w:val="13"/>
        </w:rPr>
        <w:t>http://data.uis.unesco.org/</w:t>
      </w:r>
    </w:hyperlink>
    <w:r w:rsidR="00E86D8C" w:rsidRPr="00E86D8C">
      <w:rPr>
        <w:color w:val="000000"/>
        <w:sz w:val="14"/>
        <w:szCs w:val="16"/>
      </w:rPr>
      <w:t xml:space="preserve">. </w:t>
    </w:r>
    <w:r w:rsidR="000A6C50">
      <w:rPr>
        <w:rFonts w:ascii="Cambria" w:hAnsi="Cambria" w:cstheme="minorHAnsi"/>
        <w:i/>
        <w:color w:val="000000"/>
        <w:sz w:val="14"/>
        <w:szCs w:val="16"/>
      </w:rPr>
      <w:t>The l</w:t>
    </w:r>
    <w:r w:rsidR="00E86D8C">
      <w:rPr>
        <w:rFonts w:ascii="Cambria" w:hAnsi="Cambria" w:cstheme="minorHAnsi"/>
        <w:i/>
        <w:color w:val="000000"/>
        <w:sz w:val="14"/>
        <w:szCs w:val="16"/>
      </w:rPr>
      <w:t xml:space="preserve">atest </w:t>
    </w:r>
    <w:r w:rsidR="000A6C50">
      <w:rPr>
        <w:rFonts w:ascii="Cambria" w:hAnsi="Cambria" w:cstheme="minorHAnsi"/>
        <w:i/>
        <w:color w:val="000000"/>
        <w:sz w:val="14"/>
        <w:szCs w:val="16"/>
      </w:rPr>
      <w:t xml:space="preserve">UIS </w:t>
    </w:r>
    <w:r w:rsidR="00E86D8C">
      <w:rPr>
        <w:rFonts w:ascii="Cambria" w:hAnsi="Cambria" w:cstheme="minorHAnsi"/>
        <w:i/>
        <w:color w:val="000000"/>
        <w:sz w:val="14"/>
        <w:szCs w:val="16"/>
      </w:rPr>
      <w:t xml:space="preserve">data </w:t>
    </w:r>
    <w:r w:rsidR="000A6C50">
      <w:rPr>
        <w:rFonts w:ascii="Cambria" w:hAnsi="Cambria" w:cstheme="minorHAnsi"/>
        <w:i/>
        <w:color w:val="000000"/>
        <w:sz w:val="14"/>
        <w:szCs w:val="16"/>
      </w:rPr>
      <w:t>also underlies the</w:t>
    </w:r>
    <w:r w:rsidR="00E86D8C" w:rsidRPr="00E86D8C">
      <w:rPr>
        <w:rFonts w:ascii="Cambria" w:hAnsi="Cambria" w:cstheme="minorHAnsi"/>
        <w:i/>
        <w:color w:val="000000"/>
        <w:sz w:val="14"/>
        <w:szCs w:val="16"/>
      </w:rPr>
      <w:t xml:space="preserve"> </w:t>
    </w:r>
    <w:hyperlink r:id="rId2" w:history="1">
      <w:r w:rsidR="00E86D8C" w:rsidRPr="00E86D8C">
        <w:rPr>
          <w:rStyle w:val="Hyperlink"/>
          <w:rFonts w:ascii="Cambria" w:hAnsi="Cambria" w:cstheme="minorHAnsi"/>
          <w:i/>
          <w:sz w:val="13"/>
          <w:szCs w:val="13"/>
        </w:rPr>
        <w:t>Global Flow of Tertiary-Level Students</w:t>
      </w:r>
    </w:hyperlink>
    <w:r w:rsidR="00E86D8C" w:rsidRPr="00E86D8C">
      <w:rPr>
        <w:rFonts w:ascii="Cambria" w:hAnsi="Cambria" w:cstheme="minorHAnsi"/>
        <w:i/>
        <w:color w:val="000000"/>
        <w:sz w:val="14"/>
        <w:szCs w:val="16"/>
      </w:rPr>
      <w:t xml:space="preserve"> visualisation tool</w:t>
    </w:r>
    <w:r w:rsidR="00E86D8C">
      <w:rPr>
        <w:rFonts w:ascii="Cambria" w:hAnsi="Cambria" w:cstheme="minorHAnsi"/>
        <w:i/>
        <w:color w:val="000000"/>
        <w:sz w:val="14"/>
        <w:szCs w:val="16"/>
      </w:rPr>
      <w:t>.</w:t>
    </w:r>
  </w:p>
  <w:p w:rsidR="001D2CE7" w:rsidRPr="004C67B1" w:rsidRDefault="00775BE9" w:rsidP="00D26FFA">
    <w:pPr>
      <w:pStyle w:val="ListParagraph"/>
      <w:numPr>
        <w:ilvl w:val="0"/>
        <w:numId w:val="8"/>
      </w:numPr>
      <w:spacing w:after="120" w:line="160" w:lineRule="exact"/>
      <w:ind w:left="142" w:hanging="142"/>
      <w:rPr>
        <w:rFonts w:ascii="Cambria" w:hAnsi="Cambria" w:cstheme="minorHAnsi"/>
        <w:i/>
        <w:color w:val="000000"/>
        <w:sz w:val="14"/>
        <w:szCs w:val="16"/>
      </w:rPr>
    </w:pPr>
    <w:r w:rsidRPr="001D2CE7">
      <w:rPr>
        <w:rFonts w:ascii="Cambria" w:hAnsi="Cambria" w:cstheme="minorHAnsi"/>
        <w:i/>
        <w:color w:val="000000"/>
        <w:sz w:val="14"/>
        <w:szCs w:val="16"/>
      </w:rPr>
      <w:t xml:space="preserve">These </w:t>
    </w:r>
    <w:r w:rsidR="002B7592" w:rsidRPr="001D2CE7">
      <w:rPr>
        <w:rFonts w:ascii="Cambria" w:hAnsi="Cambria" w:cstheme="minorHAnsi"/>
        <w:i/>
        <w:color w:val="000000"/>
        <w:sz w:val="14"/>
        <w:szCs w:val="16"/>
      </w:rPr>
      <w:t xml:space="preserve">selected </w:t>
    </w:r>
    <w:r w:rsidRPr="001D2CE7">
      <w:rPr>
        <w:rFonts w:ascii="Cambria" w:hAnsi="Cambria" w:cstheme="minorHAnsi"/>
        <w:i/>
        <w:color w:val="000000"/>
        <w:sz w:val="14"/>
        <w:szCs w:val="16"/>
      </w:rPr>
      <w:t>countries w</w:t>
    </w:r>
    <w:r w:rsidR="000F7EF7" w:rsidRPr="001D2CE7">
      <w:rPr>
        <w:rFonts w:ascii="Cambria" w:hAnsi="Cambria" w:cstheme="minorHAnsi"/>
        <w:i/>
        <w:color w:val="000000"/>
        <w:sz w:val="14"/>
        <w:szCs w:val="16"/>
      </w:rPr>
      <w:t>ere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 </w:t>
    </w:r>
    <w:r w:rsidR="00FB11FD" w:rsidRPr="001D2CE7">
      <w:rPr>
        <w:rFonts w:ascii="Cambria" w:hAnsi="Cambria" w:cstheme="minorHAnsi"/>
        <w:i/>
        <w:color w:val="000000"/>
        <w:sz w:val="14"/>
        <w:szCs w:val="16"/>
      </w:rPr>
      <w:t>among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 the top 10 countries </w:t>
    </w:r>
    <w:r w:rsidR="00574258" w:rsidRPr="001D2CE7">
      <w:rPr>
        <w:rFonts w:ascii="Cambria" w:hAnsi="Cambria" w:cstheme="minorHAnsi"/>
        <w:i/>
        <w:color w:val="000000"/>
        <w:sz w:val="14"/>
        <w:szCs w:val="16"/>
      </w:rPr>
      <w:t>in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 UIS 2015 data. No data </w:t>
    </w:r>
    <w:r w:rsidR="002B7592" w:rsidRPr="001D2CE7">
      <w:rPr>
        <w:rFonts w:ascii="Cambria" w:hAnsi="Cambria" w:cstheme="minorHAnsi"/>
        <w:i/>
        <w:color w:val="000000"/>
        <w:sz w:val="14"/>
        <w:szCs w:val="16"/>
      </w:rPr>
      <w:t xml:space="preserve">later 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than 2015 </w:t>
    </w:r>
    <w:proofErr w:type="gramStart"/>
    <w:r w:rsidR="00FB11FD" w:rsidRPr="001D2CE7">
      <w:rPr>
        <w:rFonts w:ascii="Cambria" w:hAnsi="Cambria" w:cstheme="minorHAnsi"/>
        <w:i/>
        <w:color w:val="000000"/>
        <w:sz w:val="14"/>
        <w:szCs w:val="16"/>
      </w:rPr>
      <w:t>was found</w:t>
    </w:r>
    <w:proofErr w:type="gramEnd"/>
    <w:r w:rsidRPr="001D2CE7">
      <w:rPr>
        <w:rFonts w:ascii="Cambria" w:hAnsi="Cambria" w:cstheme="minorHAnsi"/>
        <w:i/>
        <w:color w:val="000000"/>
        <w:sz w:val="14"/>
        <w:szCs w:val="16"/>
      </w:rPr>
      <w:t xml:space="preserve"> for the other top 10</w:t>
    </w:r>
    <w:r w:rsidR="009F62D6">
      <w:rPr>
        <w:rFonts w:ascii="Cambria" w:hAnsi="Cambria" w:cstheme="minorHAnsi"/>
        <w:i/>
        <w:color w:val="000000"/>
        <w:sz w:val="14"/>
        <w:szCs w:val="16"/>
      </w:rPr>
      <w:t xml:space="preserve"> UIS-ranked countries,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 being France (4</w:t>
    </w:r>
    <w:r w:rsidR="000F7EF7" w:rsidRPr="001D2CE7">
      <w:rPr>
        <w:rFonts w:ascii="Cambria" w:hAnsi="Cambria" w:cstheme="minorHAnsi"/>
        <w:i/>
        <w:color w:val="000000"/>
        <w:sz w:val="14"/>
        <w:szCs w:val="16"/>
        <w:vertAlign w:val="superscript"/>
      </w:rPr>
      <w:t>th</w:t>
    </w:r>
    <w:r w:rsidR="004C67B1"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r w:rsidR="004C67B1">
      <w:rPr>
        <w:rFonts w:ascii="Cambria" w:hAnsi="Cambria" w:cstheme="minorHAnsi"/>
        <w:i/>
        <w:color w:val="000000"/>
        <w:sz w:val="14"/>
        <w:szCs w:val="16"/>
      </w:rPr>
      <w:t xml:space="preserve">with </w:t>
    </w:r>
    <w:r w:rsidR="004C67B1" w:rsidRPr="004C67B1">
      <w:rPr>
        <w:rFonts w:ascii="Cambria" w:hAnsi="Cambria" w:cstheme="minorHAnsi"/>
        <w:i/>
        <w:color w:val="000000"/>
        <w:sz w:val="14"/>
        <w:szCs w:val="16"/>
      </w:rPr>
      <w:t>239,409</w:t>
    </w:r>
    <w:r w:rsidR="004C67B1">
      <w:rPr>
        <w:rFonts w:ascii="Cambria" w:hAnsi="Cambria" w:cstheme="minorHAnsi"/>
        <w:i/>
        <w:color w:val="000000"/>
        <w:sz w:val="14"/>
        <w:szCs w:val="16"/>
      </w:rPr>
      <w:t>)</w:t>
    </w:r>
    <w:r w:rsidRPr="004C67B1">
      <w:rPr>
        <w:rFonts w:ascii="Cambria" w:hAnsi="Cambria" w:cstheme="minorHAnsi"/>
        <w:i/>
        <w:color w:val="000000"/>
        <w:sz w:val="14"/>
        <w:szCs w:val="16"/>
      </w:rPr>
      <w:t>, Russia</w:t>
    </w:r>
    <w:r w:rsidR="000F7EF7" w:rsidRPr="004C67B1">
      <w:rPr>
        <w:rFonts w:ascii="Cambria" w:hAnsi="Cambria" w:cstheme="minorHAnsi"/>
        <w:i/>
        <w:color w:val="000000"/>
        <w:sz w:val="14"/>
        <w:szCs w:val="16"/>
      </w:rPr>
      <w:t xml:space="preserve"> (6</w:t>
    </w:r>
    <w:r w:rsidR="000F7EF7" w:rsidRPr="004C67B1">
      <w:rPr>
        <w:rFonts w:ascii="Cambria" w:hAnsi="Cambria" w:cstheme="minorHAnsi"/>
        <w:i/>
        <w:color w:val="000000"/>
        <w:sz w:val="14"/>
        <w:szCs w:val="16"/>
        <w:vertAlign w:val="superscript"/>
      </w:rPr>
      <w:t>th</w:t>
    </w:r>
    <w:r w:rsidR="004C67B1" w:rsidRPr="004C67B1"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r w:rsidR="004C67B1" w:rsidRPr="004C67B1">
      <w:rPr>
        <w:rFonts w:ascii="Cambria" w:hAnsi="Cambria" w:cstheme="minorHAnsi"/>
        <w:i/>
        <w:color w:val="000000"/>
        <w:sz w:val="14"/>
        <w:szCs w:val="16"/>
      </w:rPr>
      <w:t>with 226,431)</w:t>
    </w:r>
    <w:r w:rsidRPr="004C67B1">
      <w:rPr>
        <w:rFonts w:ascii="Cambria" w:hAnsi="Cambria" w:cstheme="minorHAnsi"/>
        <w:i/>
        <w:color w:val="000000"/>
        <w:sz w:val="14"/>
        <w:szCs w:val="16"/>
      </w:rPr>
      <w:t xml:space="preserve"> </w:t>
    </w:r>
    <w:r w:rsidR="000F7EF7" w:rsidRPr="004C67B1">
      <w:rPr>
        <w:rFonts w:ascii="Cambria" w:hAnsi="Cambria" w:cstheme="minorHAnsi"/>
        <w:i/>
        <w:color w:val="000000"/>
        <w:sz w:val="14"/>
        <w:szCs w:val="16"/>
      </w:rPr>
      <w:t xml:space="preserve">and </w:t>
    </w:r>
    <w:r w:rsidRPr="004C67B1">
      <w:rPr>
        <w:rFonts w:ascii="Cambria" w:hAnsi="Cambria" w:cstheme="minorHAnsi"/>
        <w:i/>
        <w:color w:val="000000"/>
        <w:sz w:val="14"/>
        <w:szCs w:val="16"/>
      </w:rPr>
      <w:t>Malaysia</w:t>
    </w:r>
    <w:r w:rsidR="000F7EF7" w:rsidRPr="004C67B1">
      <w:rPr>
        <w:rFonts w:ascii="Cambria" w:hAnsi="Cambria" w:cstheme="minorHAnsi"/>
        <w:i/>
        <w:color w:val="000000"/>
        <w:sz w:val="14"/>
        <w:szCs w:val="16"/>
      </w:rPr>
      <w:t xml:space="preserve"> (10</w:t>
    </w:r>
    <w:r w:rsidR="000F7EF7" w:rsidRPr="004C67B1">
      <w:rPr>
        <w:rFonts w:ascii="Cambria" w:hAnsi="Cambria" w:cstheme="minorHAnsi"/>
        <w:i/>
        <w:color w:val="000000"/>
        <w:sz w:val="14"/>
        <w:szCs w:val="16"/>
        <w:vertAlign w:val="superscript"/>
      </w:rPr>
      <w:t>th</w:t>
    </w:r>
    <w:r w:rsidR="004C67B1" w:rsidRPr="004C67B1">
      <w:rPr>
        <w:rFonts w:ascii="Cambria" w:hAnsi="Cambria" w:cstheme="minorHAnsi"/>
        <w:i/>
        <w:color w:val="000000"/>
        <w:sz w:val="14"/>
        <w:szCs w:val="16"/>
      </w:rPr>
      <w:t xml:space="preserve"> with 111,443)</w:t>
    </w:r>
    <w:r w:rsidR="001D2CE7" w:rsidRPr="004C67B1">
      <w:rPr>
        <w:rFonts w:ascii="Cambria" w:hAnsi="Cambria" w:cstheme="minorHAnsi"/>
        <w:i/>
        <w:color w:val="000000"/>
        <w:sz w:val="14"/>
        <w:szCs w:val="16"/>
      </w:rPr>
      <w:t>.</w:t>
    </w:r>
  </w:p>
  <w:p w:rsidR="000D027F" w:rsidRPr="009D5C00" w:rsidRDefault="00A31854" w:rsidP="00D26FFA">
    <w:pPr>
      <w:pStyle w:val="ListParagraph"/>
      <w:numPr>
        <w:ilvl w:val="0"/>
        <w:numId w:val="8"/>
      </w:numPr>
      <w:spacing w:after="120" w:line="160" w:lineRule="exact"/>
      <w:ind w:left="142" w:hanging="142"/>
      <w:rPr>
        <w:rStyle w:val="Hyperlink"/>
        <w:rFonts w:ascii="Cambria" w:hAnsi="Cambria" w:cstheme="minorHAnsi"/>
        <w:i/>
        <w:color w:val="000000"/>
        <w:sz w:val="14"/>
        <w:szCs w:val="16"/>
        <w:u w:val="none"/>
      </w:rPr>
    </w:pPr>
    <w:r w:rsidRPr="001D2CE7">
      <w:rPr>
        <w:rFonts w:ascii="Cambria" w:hAnsi="Cambria" w:cstheme="minorHAnsi"/>
        <w:i/>
        <w:color w:val="000000"/>
        <w:sz w:val="14"/>
        <w:szCs w:val="16"/>
      </w:rPr>
      <w:t xml:space="preserve">USA </w:t>
    </w:r>
    <w:hyperlink r:id="rId3" w:history="1">
      <w:r w:rsidRPr="001D2CE7">
        <w:rPr>
          <w:rStyle w:val="Hyperlink"/>
          <w:rFonts w:ascii="Cambria" w:hAnsi="Cambria" w:cstheme="minorHAnsi"/>
          <w:i/>
          <w:sz w:val="13"/>
          <w:szCs w:val="13"/>
        </w:rPr>
        <w:t>https://www.iie.org/Research-and-Insights/Open-Doors/Fact-Sheets-and-Infographics/Fast-Facts</w:t>
      </w:r>
    </w:hyperlink>
    <w:r w:rsidR="00061823" w:rsidRPr="001D2CE7">
      <w:rPr>
        <w:rStyle w:val="Hyperlink"/>
        <w:rFonts w:cstheme="minorHAnsi"/>
        <w:sz w:val="13"/>
        <w:szCs w:val="13"/>
      </w:rPr>
      <w:t>;</w:t>
    </w:r>
    <w:r w:rsidR="00061823" w:rsidRPr="001D2CE7">
      <w:rPr>
        <w:rFonts w:ascii="Cambria" w:hAnsi="Cambria" w:cstheme="minorHAnsi"/>
        <w:i/>
        <w:color w:val="000000"/>
        <w:sz w:val="14"/>
        <w:szCs w:val="16"/>
      </w:rPr>
      <w:t xml:space="preserve"> </w:t>
    </w:r>
    <w:r w:rsidRPr="001D2CE7">
      <w:rPr>
        <w:rFonts w:ascii="Cambria" w:hAnsi="Cambria" w:cstheme="minorHAnsi"/>
        <w:i/>
        <w:color w:val="000000"/>
        <w:sz w:val="14"/>
        <w:szCs w:val="16"/>
      </w:rPr>
      <w:t xml:space="preserve">UK: </w:t>
    </w:r>
    <w:hyperlink r:id="rId4" w:history="1">
      <w:r w:rsidRPr="001D2CE7">
        <w:rPr>
          <w:rStyle w:val="Hyperlink"/>
          <w:rFonts w:ascii="Cambria" w:hAnsi="Cambria" w:cstheme="minorHAnsi"/>
          <w:i/>
          <w:sz w:val="13"/>
          <w:szCs w:val="13"/>
        </w:rPr>
        <w:t>https://www.ukcisa.org.uk/Research--Policy/Statistics/International-student-statistics-UK-higher-education</w:t>
      </w:r>
    </w:hyperlink>
    <w:r w:rsidR="00061823" w:rsidRPr="001D2CE7">
      <w:rPr>
        <w:rStyle w:val="Hyperlink"/>
        <w:rFonts w:cstheme="minorHAnsi"/>
        <w:sz w:val="13"/>
        <w:szCs w:val="13"/>
      </w:rPr>
      <w:t xml:space="preserve">; </w:t>
    </w:r>
    <w:r w:rsidRPr="001D2CE7">
      <w:rPr>
        <w:rFonts w:ascii="Cambria" w:hAnsi="Cambria" w:cstheme="minorHAnsi"/>
        <w:i/>
        <w:color w:val="000000"/>
        <w:sz w:val="14"/>
        <w:szCs w:val="16"/>
      </w:rPr>
      <w:t>Australia:</w:t>
    </w:r>
    <w:r w:rsidRPr="00A31854">
      <w:t xml:space="preserve"> </w:t>
    </w:r>
    <w:hyperlink r:id="rId5" w:history="1">
      <w:r w:rsidRPr="001D2CE7">
        <w:rPr>
          <w:rStyle w:val="Hyperlink"/>
          <w:rFonts w:ascii="Cambria" w:hAnsi="Cambria" w:cstheme="minorHAnsi"/>
          <w:i/>
          <w:sz w:val="13"/>
          <w:szCs w:val="13"/>
        </w:rPr>
        <w:t>https://internationaleducation.gov.au/research/DataVisualisations/Pages/Student-number.aspx</w:t>
      </w:r>
    </w:hyperlink>
    <w:r w:rsidR="00061823" w:rsidRPr="001D2CE7">
      <w:rPr>
        <w:rStyle w:val="Hyperlink"/>
        <w:rFonts w:cstheme="minorHAnsi"/>
        <w:sz w:val="13"/>
        <w:szCs w:val="13"/>
      </w:rPr>
      <w:t>;</w:t>
    </w:r>
    <w:r w:rsidR="00061823" w:rsidRPr="001D2CE7">
      <w:rPr>
        <w:rFonts w:ascii="Cambria" w:hAnsi="Cambria" w:cstheme="minorHAnsi"/>
        <w:i/>
        <w:color w:val="000000"/>
        <w:sz w:val="14"/>
        <w:szCs w:val="16"/>
      </w:rPr>
      <w:t xml:space="preserve"> </w:t>
    </w:r>
    <w:r w:rsidR="000F7EF7" w:rsidRPr="001D2CE7">
      <w:rPr>
        <w:rFonts w:ascii="Cambria" w:hAnsi="Cambria" w:cstheme="minorHAnsi"/>
        <w:i/>
        <w:color w:val="000000"/>
        <w:sz w:val="14"/>
        <w:szCs w:val="16"/>
      </w:rPr>
      <w:t>Canada</w:t>
    </w:r>
    <w:r w:rsidR="00A75C39" w:rsidRPr="001D2CE7">
      <w:rPr>
        <w:rFonts w:ascii="Cambria" w:hAnsi="Cambria" w:cstheme="minorHAnsi"/>
        <w:i/>
        <w:color w:val="000000"/>
        <w:sz w:val="14"/>
        <w:szCs w:val="16"/>
      </w:rPr>
      <w:t xml:space="preserve"> (all years)</w:t>
    </w:r>
    <w:r w:rsidR="0078077F" w:rsidRPr="001D2CE7">
      <w:rPr>
        <w:rFonts w:ascii="Cambria" w:hAnsi="Cambria" w:cstheme="minorHAnsi"/>
        <w:i/>
        <w:color w:val="000000"/>
        <w:sz w:val="14"/>
        <w:szCs w:val="16"/>
      </w:rPr>
      <w:t xml:space="preserve">: </w:t>
    </w:r>
    <w:hyperlink r:id="rId6" w:history="1">
      <w:r w:rsidR="000F7EF7" w:rsidRPr="001D2CE7">
        <w:rPr>
          <w:rStyle w:val="Hyperlink"/>
          <w:rFonts w:ascii="Cambria" w:hAnsi="Cambria" w:cstheme="minorHAnsi"/>
          <w:i/>
          <w:sz w:val="13"/>
          <w:szCs w:val="13"/>
        </w:rPr>
        <w:t>http://www.cic.gc.ca/opendata-donneesouvertes/data/IRCC_M_TRStudy_0009_E.xls</w:t>
      </w:r>
    </w:hyperlink>
    <w:r w:rsidR="00061823" w:rsidRPr="001D2CE7">
      <w:rPr>
        <w:rStyle w:val="Hyperlink"/>
        <w:rFonts w:ascii="Cambria" w:hAnsi="Cambria" w:cstheme="minorHAnsi"/>
        <w:i/>
        <w:sz w:val="13"/>
        <w:szCs w:val="13"/>
      </w:rPr>
      <w:t>;</w:t>
    </w:r>
    <w:r w:rsidR="00061823" w:rsidRPr="001D2CE7">
      <w:rPr>
        <w:rStyle w:val="Hyperlink"/>
        <w:rFonts w:ascii="Cambria" w:hAnsi="Cambria" w:cstheme="minorHAnsi"/>
        <w:i/>
        <w:sz w:val="14"/>
        <w:szCs w:val="16"/>
      </w:rPr>
      <w:t xml:space="preserve"> </w:t>
    </w:r>
    <w:r w:rsidR="000D027F" w:rsidRPr="001D2CE7">
      <w:rPr>
        <w:rFonts w:ascii="Cambria" w:hAnsi="Cambria" w:cstheme="minorHAnsi"/>
        <w:i/>
        <w:color w:val="000000"/>
        <w:sz w:val="14"/>
        <w:szCs w:val="16"/>
      </w:rPr>
      <w:t xml:space="preserve">China 2016: </w:t>
    </w:r>
    <w:hyperlink r:id="rId7" w:history="1">
      <w:r w:rsidR="000D027F" w:rsidRPr="001D2CE7">
        <w:rPr>
          <w:rStyle w:val="Hyperlink"/>
          <w:rFonts w:ascii="Cambria" w:hAnsi="Cambria" w:cstheme="minorHAnsi"/>
          <w:i/>
          <w:sz w:val="13"/>
          <w:szCs w:val="13"/>
        </w:rPr>
        <w:t>Google translated page</w:t>
      </w:r>
    </w:hyperlink>
    <w:r w:rsidR="000D027F" w:rsidRPr="001D2CE7">
      <w:rPr>
        <w:rStyle w:val="Hyperlink"/>
        <w:rFonts w:cstheme="minorHAnsi"/>
        <w:sz w:val="13"/>
        <w:szCs w:val="13"/>
      </w:rPr>
      <w:t>;</w:t>
    </w:r>
    <w:r w:rsidR="000D027F" w:rsidRPr="001D2CE7">
      <w:rPr>
        <w:rFonts w:ascii="Cambria" w:hAnsi="Cambria" w:cstheme="minorHAnsi"/>
        <w:i/>
        <w:color w:val="000000"/>
        <w:sz w:val="14"/>
        <w:szCs w:val="16"/>
      </w:rPr>
      <w:t xml:space="preserve"> China (2015): </w:t>
    </w:r>
    <w:hyperlink r:id="rId8" w:history="1">
      <w:r w:rsidR="000D027F" w:rsidRPr="001D2CE7">
        <w:rPr>
          <w:rStyle w:val="Hyperlink"/>
          <w:rFonts w:ascii="Cambria" w:hAnsi="Cambria" w:cstheme="minorHAnsi"/>
          <w:i/>
          <w:sz w:val="13"/>
          <w:szCs w:val="13"/>
        </w:rPr>
        <w:t>Google translated page</w:t>
      </w:r>
    </w:hyperlink>
    <w:r w:rsidR="00061823" w:rsidRPr="001D2CE7">
      <w:rPr>
        <w:rStyle w:val="Hyperlink"/>
        <w:rFonts w:cstheme="minorHAnsi"/>
        <w:sz w:val="13"/>
        <w:szCs w:val="13"/>
      </w:rPr>
      <w:t>;</w:t>
    </w:r>
    <w:r w:rsidR="00061823" w:rsidRPr="001D2CE7">
      <w:rPr>
        <w:rFonts w:ascii="Cambria" w:hAnsi="Cambria" w:cstheme="minorHAnsi"/>
        <w:i/>
        <w:color w:val="000000"/>
        <w:sz w:val="14"/>
        <w:szCs w:val="16"/>
      </w:rPr>
      <w:t xml:space="preserve"> Germany (2017) </w:t>
    </w:r>
    <w:hyperlink r:id="rId9" w:history="1">
      <w:r w:rsidR="00061823" w:rsidRPr="001D2CE7">
        <w:rPr>
          <w:rStyle w:val="Hyperlink"/>
          <w:rFonts w:ascii="Cambria" w:hAnsi="Cambria" w:cstheme="minorHAnsi"/>
          <w:i/>
          <w:sz w:val="13"/>
          <w:szCs w:val="13"/>
        </w:rPr>
        <w:t>http://www.wissenschaftweltoffen.de/kompakt/wwo2018_kompakt_de.pdf</w:t>
      </w:r>
    </w:hyperlink>
    <w:r w:rsidR="00061823" w:rsidRPr="001D2CE7">
      <w:rPr>
        <w:rFonts w:ascii="Cambria" w:hAnsi="Cambria" w:cstheme="minorHAnsi"/>
        <w:i/>
        <w:color w:val="000000"/>
        <w:sz w:val="13"/>
        <w:szCs w:val="13"/>
      </w:rPr>
      <w:t>;</w:t>
    </w:r>
    <w:r w:rsidR="00061823" w:rsidRPr="001D2CE7">
      <w:rPr>
        <w:rFonts w:ascii="Cambria" w:hAnsi="Cambria" w:cstheme="minorHAnsi"/>
        <w:i/>
        <w:color w:val="000000"/>
        <w:sz w:val="14"/>
        <w:szCs w:val="16"/>
      </w:rPr>
      <w:t xml:space="preserve"> Germany (2015):</w:t>
    </w:r>
    <w:r w:rsidR="00061823" w:rsidRPr="001D2CE7">
      <w:rPr>
        <w:rFonts w:ascii="Cambria" w:hAnsi="Cambria" w:cstheme="minorHAnsi"/>
        <w:i/>
        <w:color w:val="000000"/>
        <w:sz w:val="13"/>
        <w:szCs w:val="13"/>
      </w:rPr>
      <w:t xml:space="preserve"> </w:t>
    </w:r>
    <w:hyperlink r:id="rId10" w:history="1">
      <w:r w:rsidR="00061823" w:rsidRPr="001D2CE7">
        <w:rPr>
          <w:rStyle w:val="Hyperlink"/>
          <w:rFonts w:ascii="Cambria" w:hAnsi="Cambria" w:cstheme="minorHAnsi"/>
          <w:i/>
          <w:sz w:val="13"/>
          <w:szCs w:val="13"/>
        </w:rPr>
        <w:t>http://www.wissenschaftweltoffen.de/kompakt/wwo2016_kompakt_en.pdf</w:t>
      </w:r>
    </w:hyperlink>
    <w:r w:rsidR="00061823" w:rsidRPr="001D2CE7">
      <w:rPr>
        <w:rFonts w:ascii="Cambria" w:hAnsi="Cambria" w:cstheme="minorHAnsi"/>
        <w:i/>
        <w:color w:val="000000"/>
        <w:sz w:val="13"/>
        <w:szCs w:val="13"/>
      </w:rPr>
      <w:t xml:space="preserve">; </w:t>
    </w:r>
    <w:r w:rsidR="00A75C39" w:rsidRPr="001D2CE7">
      <w:rPr>
        <w:rFonts w:ascii="Cambria" w:hAnsi="Cambria" w:cstheme="minorHAnsi"/>
        <w:i/>
        <w:color w:val="000000"/>
        <w:sz w:val="14"/>
        <w:szCs w:val="14"/>
      </w:rPr>
      <w:t xml:space="preserve">Japan (2017): </w:t>
    </w:r>
    <w:hyperlink r:id="rId11" w:history="1">
      <w:r w:rsidRPr="001D2CE7">
        <w:rPr>
          <w:rStyle w:val="Hyperlink"/>
          <w:rFonts w:ascii="Cambria" w:hAnsi="Cambria" w:cstheme="minorHAnsi"/>
          <w:i/>
          <w:sz w:val="13"/>
          <w:szCs w:val="13"/>
        </w:rPr>
        <w:t>https://www.jasso.go.jp/en/about/statistics/intl_student/data2017.html</w:t>
      </w:r>
    </w:hyperlink>
    <w:r w:rsidRPr="001D2CE7">
      <w:rPr>
        <w:rStyle w:val="Hyperlink"/>
        <w:rFonts w:cstheme="minorHAnsi"/>
      </w:rPr>
      <w:t xml:space="preserve">; </w:t>
    </w:r>
    <w:r w:rsidR="00A75C39" w:rsidRPr="001D2CE7">
      <w:rPr>
        <w:rStyle w:val="Hyperlink"/>
        <w:rFonts w:cstheme="minorHAnsi"/>
        <w:sz w:val="13"/>
        <w:szCs w:val="13"/>
      </w:rPr>
      <w:t xml:space="preserve">Japan (2015): </w:t>
    </w:r>
    <w:hyperlink r:id="rId12" w:history="1">
      <w:r w:rsidR="00A75C39" w:rsidRPr="001D2CE7">
        <w:rPr>
          <w:rStyle w:val="Hyperlink"/>
          <w:rFonts w:ascii="Cambria" w:hAnsi="Cambria" w:cstheme="minorHAnsi"/>
          <w:i/>
          <w:sz w:val="13"/>
          <w:szCs w:val="13"/>
        </w:rPr>
        <w:t>https://www.jasso.go.jp/en/about/statistics/intl_student/data2015.html</w:t>
      </w:r>
    </w:hyperlink>
  </w:p>
  <w:p w:rsidR="003C7BF1" w:rsidRPr="003C7BF1" w:rsidRDefault="009D5C00" w:rsidP="00D26FFA">
    <w:pPr>
      <w:pStyle w:val="ListParagraph"/>
      <w:numPr>
        <w:ilvl w:val="0"/>
        <w:numId w:val="8"/>
      </w:numPr>
      <w:spacing w:after="120" w:line="160" w:lineRule="exact"/>
      <w:ind w:left="142" w:hanging="142"/>
    </w:pPr>
    <w:r w:rsidRPr="009D5C00">
      <w:rPr>
        <w:rFonts w:ascii="Cambria" w:hAnsi="Cambria" w:cstheme="minorHAnsi"/>
        <w:i/>
        <w:color w:val="000000"/>
        <w:sz w:val="14"/>
        <w:szCs w:val="16"/>
      </w:rPr>
      <w:t xml:space="preserve">A comprehensive 2016 data set </w:t>
    </w:r>
    <w:proofErr w:type="gramStart"/>
    <w:r w:rsidRPr="009D5C00">
      <w:rPr>
        <w:rFonts w:ascii="Cambria" w:hAnsi="Cambria" w:cstheme="minorHAnsi"/>
        <w:i/>
        <w:color w:val="000000"/>
        <w:sz w:val="14"/>
        <w:szCs w:val="16"/>
      </w:rPr>
      <w:t>is not expected</w:t>
    </w:r>
    <w:proofErr w:type="gramEnd"/>
    <w:r w:rsidRPr="009D5C00">
      <w:rPr>
        <w:rFonts w:ascii="Cambria" w:hAnsi="Cambria" w:cstheme="minorHAnsi"/>
        <w:i/>
        <w:color w:val="000000"/>
        <w:sz w:val="14"/>
        <w:szCs w:val="16"/>
      </w:rPr>
      <w:t xml:space="preserve"> from the UIS much before release of the OECD Education at a Glance report in September 2018.</w:t>
    </w:r>
  </w:p>
  <w:p w:rsidR="00775BE9" w:rsidRPr="00BF5C3E" w:rsidRDefault="00D26FFA" w:rsidP="00D26FFA">
    <w:pPr>
      <w:pStyle w:val="ListParagraph"/>
      <w:numPr>
        <w:ilvl w:val="0"/>
        <w:numId w:val="8"/>
      </w:numPr>
      <w:spacing w:after="120" w:line="160" w:lineRule="exact"/>
      <w:ind w:left="142" w:hanging="142"/>
    </w:pPr>
    <w:hyperlink r:id="rId13" w:history="1">
      <w:r w:rsidR="00097A81" w:rsidRPr="00097A81">
        <w:rPr>
          <w:rStyle w:val="Hyperlink"/>
          <w:rFonts w:ascii="Cambria" w:hAnsi="Cambria" w:cstheme="minorHAnsi"/>
          <w:i/>
          <w:sz w:val="14"/>
          <w:szCs w:val="16"/>
        </w:rPr>
        <w:t>https://thepienews.com/news/uk-likely-overtaken-australia-cghe/</w:t>
      </w:r>
    </w:hyperlink>
    <w:r w:rsidR="009D5C00" w:rsidRPr="00BF5C3E">
      <w:rPr>
        <w:sz w:val="4"/>
        <w:szCs w:val="4"/>
      </w:rPr>
      <w:tab/>
    </w:r>
  </w:p>
  <w:p w:rsidR="006067D7" w:rsidRPr="00EB6DFD" w:rsidRDefault="00A13577" w:rsidP="00D26FFA">
    <w:pPr>
      <w:spacing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color w:val="000000"/>
        <w:sz w:val="14"/>
        <w:szCs w:val="16"/>
      </w:rPr>
      <w:t xml:space="preserve">For further information about this Research Snapshot or the Research Snapshot Series contact the International Research and Analysis Unit by email </w:t>
    </w:r>
    <w:hyperlink r:id="rId14" w:history="1">
      <w:r w:rsidRPr="00EB6DFD">
        <w:rPr>
          <w:rStyle w:val="Hyperlink"/>
          <w:rFonts w:ascii="Cambria" w:hAnsi="Cambria" w:cstheme="minorHAnsi"/>
          <w:sz w:val="14"/>
          <w:szCs w:val="16"/>
        </w:rPr>
        <w:t>IEResearch@education.gov.au</w:t>
      </w:r>
    </w:hyperlink>
    <w:r w:rsidRPr="00EB6DFD">
      <w:rPr>
        <w:rFonts w:ascii="Cambria" w:hAnsi="Cambria" w:cstheme="minorHAnsi"/>
        <w:sz w:val="14"/>
        <w:szCs w:val="16"/>
      </w:rPr>
      <w:t>.</w:t>
    </w:r>
  </w:p>
  <w:p w:rsidR="00A13577" w:rsidRPr="00EB6DFD" w:rsidRDefault="00A13577" w:rsidP="00D26FFA">
    <w:pPr>
      <w:spacing w:after="120"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sz w:val="14"/>
        <w:szCs w:val="16"/>
      </w:rPr>
      <w:t xml:space="preserve">The Research Snapshot series can be accessed from </w:t>
    </w:r>
    <w:hyperlink r:id="rId15" w:history="1">
      <w:r w:rsidRPr="00EB6DFD">
        <w:rPr>
          <w:rStyle w:val="Hyperlink"/>
          <w:rFonts w:ascii="Cambria" w:hAnsi="Cambria" w:cstheme="minorHAnsi"/>
          <w:sz w:val="14"/>
          <w:szCs w:val="16"/>
        </w:rPr>
        <w:t>https://internationaleducation.gov.au/research/research-snapshots/pages/default.aspx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5D" w:rsidRPr="00FD1250" w:rsidRDefault="004E5A5D" w:rsidP="00FD1250">
      <w:pPr>
        <w:pStyle w:val="Footer"/>
      </w:pPr>
    </w:p>
  </w:footnote>
  <w:footnote w:type="continuationSeparator" w:id="0">
    <w:p w:rsidR="004E5A5D" w:rsidRDefault="004E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FFA" w:rsidRDefault="00D26FFA" w:rsidP="00D26FFA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960"/>
    <w:multiLevelType w:val="hybridMultilevel"/>
    <w:tmpl w:val="D1787AD2"/>
    <w:lvl w:ilvl="0" w:tplc="50E0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5C3"/>
    <w:multiLevelType w:val="hybridMultilevel"/>
    <w:tmpl w:val="09545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4BB6"/>
    <w:multiLevelType w:val="hybridMultilevel"/>
    <w:tmpl w:val="91F6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7790"/>
    <w:multiLevelType w:val="hybridMultilevel"/>
    <w:tmpl w:val="BA2C9CF4"/>
    <w:lvl w:ilvl="0" w:tplc="C97E778A">
      <w:start w:val="1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E4A"/>
    <w:multiLevelType w:val="hybridMultilevel"/>
    <w:tmpl w:val="4A3A1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3A6"/>
    <w:multiLevelType w:val="hybridMultilevel"/>
    <w:tmpl w:val="FFD63FFC"/>
    <w:lvl w:ilvl="0" w:tplc="9BA22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E818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4D8A"/>
    <w:multiLevelType w:val="hybridMultilevel"/>
    <w:tmpl w:val="2CDA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7"/>
    <w:rsid w:val="000006D0"/>
    <w:rsid w:val="0000134E"/>
    <w:rsid w:val="00006A94"/>
    <w:rsid w:val="00006D7A"/>
    <w:rsid w:val="000076C9"/>
    <w:rsid w:val="00010D51"/>
    <w:rsid w:val="00011FE6"/>
    <w:rsid w:val="00012AFC"/>
    <w:rsid w:val="000154BA"/>
    <w:rsid w:val="00015C60"/>
    <w:rsid w:val="00015D21"/>
    <w:rsid w:val="00016FA6"/>
    <w:rsid w:val="0002497E"/>
    <w:rsid w:val="00031338"/>
    <w:rsid w:val="000324C0"/>
    <w:rsid w:val="00033829"/>
    <w:rsid w:val="00034A7D"/>
    <w:rsid w:val="00034F54"/>
    <w:rsid w:val="00035FE5"/>
    <w:rsid w:val="000371ED"/>
    <w:rsid w:val="0003779B"/>
    <w:rsid w:val="0004008B"/>
    <w:rsid w:val="00040A0D"/>
    <w:rsid w:val="00040D90"/>
    <w:rsid w:val="00041B86"/>
    <w:rsid w:val="00042EED"/>
    <w:rsid w:val="0004753C"/>
    <w:rsid w:val="00047BF6"/>
    <w:rsid w:val="00050720"/>
    <w:rsid w:val="00052C4B"/>
    <w:rsid w:val="00056D7B"/>
    <w:rsid w:val="00056E16"/>
    <w:rsid w:val="0005799A"/>
    <w:rsid w:val="000579A6"/>
    <w:rsid w:val="000602DD"/>
    <w:rsid w:val="00061823"/>
    <w:rsid w:val="00061DFB"/>
    <w:rsid w:val="0006351D"/>
    <w:rsid w:val="0006363D"/>
    <w:rsid w:val="00064849"/>
    <w:rsid w:val="00065418"/>
    <w:rsid w:val="00065AB2"/>
    <w:rsid w:val="00066B43"/>
    <w:rsid w:val="0007133C"/>
    <w:rsid w:val="000715AE"/>
    <w:rsid w:val="00074D35"/>
    <w:rsid w:val="000860A7"/>
    <w:rsid w:val="00090DB0"/>
    <w:rsid w:val="000941CE"/>
    <w:rsid w:val="0009572B"/>
    <w:rsid w:val="00097A81"/>
    <w:rsid w:val="000A06FE"/>
    <w:rsid w:val="000A129C"/>
    <w:rsid w:val="000A6C50"/>
    <w:rsid w:val="000B3A2D"/>
    <w:rsid w:val="000B4E1B"/>
    <w:rsid w:val="000B7B27"/>
    <w:rsid w:val="000C0D2E"/>
    <w:rsid w:val="000C2E42"/>
    <w:rsid w:val="000C32A7"/>
    <w:rsid w:val="000D027F"/>
    <w:rsid w:val="000D12E2"/>
    <w:rsid w:val="000D1A0F"/>
    <w:rsid w:val="000D26AD"/>
    <w:rsid w:val="000D27E7"/>
    <w:rsid w:val="000D667E"/>
    <w:rsid w:val="000D7D65"/>
    <w:rsid w:val="000E218C"/>
    <w:rsid w:val="000E2B20"/>
    <w:rsid w:val="000E427C"/>
    <w:rsid w:val="000E5FAB"/>
    <w:rsid w:val="000E684B"/>
    <w:rsid w:val="000E7111"/>
    <w:rsid w:val="000F13CE"/>
    <w:rsid w:val="000F1E61"/>
    <w:rsid w:val="000F286F"/>
    <w:rsid w:val="000F2A82"/>
    <w:rsid w:val="000F549D"/>
    <w:rsid w:val="000F61E8"/>
    <w:rsid w:val="000F6496"/>
    <w:rsid w:val="000F76D0"/>
    <w:rsid w:val="000F7EF7"/>
    <w:rsid w:val="00103020"/>
    <w:rsid w:val="001030C3"/>
    <w:rsid w:val="00105D93"/>
    <w:rsid w:val="00110160"/>
    <w:rsid w:val="00110952"/>
    <w:rsid w:val="001117B5"/>
    <w:rsid w:val="00114803"/>
    <w:rsid w:val="00114A43"/>
    <w:rsid w:val="001166F1"/>
    <w:rsid w:val="00116985"/>
    <w:rsid w:val="001169B5"/>
    <w:rsid w:val="00116C2B"/>
    <w:rsid w:val="00120C87"/>
    <w:rsid w:val="00120E30"/>
    <w:rsid w:val="001218CA"/>
    <w:rsid w:val="00122577"/>
    <w:rsid w:val="00124BE5"/>
    <w:rsid w:val="00124E7A"/>
    <w:rsid w:val="00124EFA"/>
    <w:rsid w:val="00127D50"/>
    <w:rsid w:val="00127E38"/>
    <w:rsid w:val="0013095E"/>
    <w:rsid w:val="00131B3F"/>
    <w:rsid w:val="00131D4C"/>
    <w:rsid w:val="00136AE8"/>
    <w:rsid w:val="001413F8"/>
    <w:rsid w:val="00141E0F"/>
    <w:rsid w:val="00142132"/>
    <w:rsid w:val="00142837"/>
    <w:rsid w:val="001436E0"/>
    <w:rsid w:val="0014444A"/>
    <w:rsid w:val="00147D5B"/>
    <w:rsid w:val="00150F17"/>
    <w:rsid w:val="00151CE4"/>
    <w:rsid w:val="001621C9"/>
    <w:rsid w:val="001632C2"/>
    <w:rsid w:val="00170567"/>
    <w:rsid w:val="00171815"/>
    <w:rsid w:val="001727A2"/>
    <w:rsid w:val="001735B2"/>
    <w:rsid w:val="0017472E"/>
    <w:rsid w:val="00176503"/>
    <w:rsid w:val="00176A4F"/>
    <w:rsid w:val="001775B3"/>
    <w:rsid w:val="00182E76"/>
    <w:rsid w:val="00184563"/>
    <w:rsid w:val="00184D7C"/>
    <w:rsid w:val="001873C7"/>
    <w:rsid w:val="0019380E"/>
    <w:rsid w:val="00194B44"/>
    <w:rsid w:val="00195F6E"/>
    <w:rsid w:val="00197B12"/>
    <w:rsid w:val="001A081F"/>
    <w:rsid w:val="001A19C4"/>
    <w:rsid w:val="001A5293"/>
    <w:rsid w:val="001A67DA"/>
    <w:rsid w:val="001B15C2"/>
    <w:rsid w:val="001B3114"/>
    <w:rsid w:val="001B46ED"/>
    <w:rsid w:val="001C6184"/>
    <w:rsid w:val="001C7434"/>
    <w:rsid w:val="001D250B"/>
    <w:rsid w:val="001D2BBC"/>
    <w:rsid w:val="001D2CE7"/>
    <w:rsid w:val="001D5802"/>
    <w:rsid w:val="001D58D1"/>
    <w:rsid w:val="001D60E0"/>
    <w:rsid w:val="001E59B3"/>
    <w:rsid w:val="001E7993"/>
    <w:rsid w:val="001F0AA6"/>
    <w:rsid w:val="001F1319"/>
    <w:rsid w:val="001F4504"/>
    <w:rsid w:val="001F693A"/>
    <w:rsid w:val="002011FE"/>
    <w:rsid w:val="00201B1A"/>
    <w:rsid w:val="002029F8"/>
    <w:rsid w:val="002049E4"/>
    <w:rsid w:val="00205882"/>
    <w:rsid w:val="00207B5F"/>
    <w:rsid w:val="00207CD7"/>
    <w:rsid w:val="002109F0"/>
    <w:rsid w:val="00211C76"/>
    <w:rsid w:val="0021518B"/>
    <w:rsid w:val="00217475"/>
    <w:rsid w:val="002203D4"/>
    <w:rsid w:val="00220553"/>
    <w:rsid w:val="00221097"/>
    <w:rsid w:val="00221FE0"/>
    <w:rsid w:val="002222FA"/>
    <w:rsid w:val="00225063"/>
    <w:rsid w:val="002272BE"/>
    <w:rsid w:val="002278E9"/>
    <w:rsid w:val="00231EBA"/>
    <w:rsid w:val="00232CB1"/>
    <w:rsid w:val="002366D5"/>
    <w:rsid w:val="002369F4"/>
    <w:rsid w:val="002373AC"/>
    <w:rsid w:val="00240FF6"/>
    <w:rsid w:val="0024244B"/>
    <w:rsid w:val="0024451A"/>
    <w:rsid w:val="00246D07"/>
    <w:rsid w:val="00247F26"/>
    <w:rsid w:val="002505B3"/>
    <w:rsid w:val="00250DEA"/>
    <w:rsid w:val="00251D4E"/>
    <w:rsid w:val="00252223"/>
    <w:rsid w:val="00252322"/>
    <w:rsid w:val="00253C45"/>
    <w:rsid w:val="00253C56"/>
    <w:rsid w:val="0025460D"/>
    <w:rsid w:val="00254BEC"/>
    <w:rsid w:val="0026026F"/>
    <w:rsid w:val="0026157C"/>
    <w:rsid w:val="00262411"/>
    <w:rsid w:val="002674E7"/>
    <w:rsid w:val="00273A02"/>
    <w:rsid w:val="00276799"/>
    <w:rsid w:val="002803EA"/>
    <w:rsid w:val="00280D4C"/>
    <w:rsid w:val="00285250"/>
    <w:rsid w:val="002858EE"/>
    <w:rsid w:val="00287758"/>
    <w:rsid w:val="00290114"/>
    <w:rsid w:val="0029065F"/>
    <w:rsid w:val="002911E6"/>
    <w:rsid w:val="002914A7"/>
    <w:rsid w:val="0029290C"/>
    <w:rsid w:val="002930E5"/>
    <w:rsid w:val="002943B1"/>
    <w:rsid w:val="002A2F76"/>
    <w:rsid w:val="002A5585"/>
    <w:rsid w:val="002A57F3"/>
    <w:rsid w:val="002B11C4"/>
    <w:rsid w:val="002B5A00"/>
    <w:rsid w:val="002B634D"/>
    <w:rsid w:val="002B7592"/>
    <w:rsid w:val="002C0A8F"/>
    <w:rsid w:val="002C181D"/>
    <w:rsid w:val="002D0229"/>
    <w:rsid w:val="002D031D"/>
    <w:rsid w:val="002D13BE"/>
    <w:rsid w:val="002D4ADC"/>
    <w:rsid w:val="002D4BF2"/>
    <w:rsid w:val="002D656A"/>
    <w:rsid w:val="002D7B5D"/>
    <w:rsid w:val="002E09AE"/>
    <w:rsid w:val="002E1255"/>
    <w:rsid w:val="002E1E82"/>
    <w:rsid w:val="002E25C3"/>
    <w:rsid w:val="002E41D8"/>
    <w:rsid w:val="002E433A"/>
    <w:rsid w:val="002F09EC"/>
    <w:rsid w:val="002F262A"/>
    <w:rsid w:val="002F2910"/>
    <w:rsid w:val="002F43B3"/>
    <w:rsid w:val="002F6C5A"/>
    <w:rsid w:val="00300C87"/>
    <w:rsid w:val="0030176F"/>
    <w:rsid w:val="00305026"/>
    <w:rsid w:val="00307E64"/>
    <w:rsid w:val="003100A0"/>
    <w:rsid w:val="00311A93"/>
    <w:rsid w:val="0031720E"/>
    <w:rsid w:val="00322C12"/>
    <w:rsid w:val="00323D29"/>
    <w:rsid w:val="00323FEC"/>
    <w:rsid w:val="00325183"/>
    <w:rsid w:val="0032703B"/>
    <w:rsid w:val="00330106"/>
    <w:rsid w:val="0033440D"/>
    <w:rsid w:val="00334E02"/>
    <w:rsid w:val="00335C17"/>
    <w:rsid w:val="00335FB4"/>
    <w:rsid w:val="00337EF4"/>
    <w:rsid w:val="0034024C"/>
    <w:rsid w:val="003408D4"/>
    <w:rsid w:val="00340EF8"/>
    <w:rsid w:val="0034209B"/>
    <w:rsid w:val="00342B2E"/>
    <w:rsid w:val="00347AE4"/>
    <w:rsid w:val="00354FCE"/>
    <w:rsid w:val="003557A9"/>
    <w:rsid w:val="00357776"/>
    <w:rsid w:val="0036194E"/>
    <w:rsid w:val="00362500"/>
    <w:rsid w:val="0036377B"/>
    <w:rsid w:val="00364690"/>
    <w:rsid w:val="00364904"/>
    <w:rsid w:val="003661DD"/>
    <w:rsid w:val="003677E6"/>
    <w:rsid w:val="00370892"/>
    <w:rsid w:val="00377F34"/>
    <w:rsid w:val="00390937"/>
    <w:rsid w:val="00391124"/>
    <w:rsid w:val="003951D4"/>
    <w:rsid w:val="00395EC3"/>
    <w:rsid w:val="0039744B"/>
    <w:rsid w:val="003A0A6E"/>
    <w:rsid w:val="003A1B55"/>
    <w:rsid w:val="003B3AFE"/>
    <w:rsid w:val="003B418D"/>
    <w:rsid w:val="003B7FB4"/>
    <w:rsid w:val="003C0D9D"/>
    <w:rsid w:val="003C14D4"/>
    <w:rsid w:val="003C1C89"/>
    <w:rsid w:val="003C391C"/>
    <w:rsid w:val="003C472D"/>
    <w:rsid w:val="003C5188"/>
    <w:rsid w:val="003C560B"/>
    <w:rsid w:val="003C6DF8"/>
    <w:rsid w:val="003C7BF1"/>
    <w:rsid w:val="003D0DD6"/>
    <w:rsid w:val="003D2681"/>
    <w:rsid w:val="003D36DE"/>
    <w:rsid w:val="003D3728"/>
    <w:rsid w:val="003D4942"/>
    <w:rsid w:val="003D55A6"/>
    <w:rsid w:val="003D6094"/>
    <w:rsid w:val="003D7D24"/>
    <w:rsid w:val="003E03CF"/>
    <w:rsid w:val="003E13E7"/>
    <w:rsid w:val="003E1CF7"/>
    <w:rsid w:val="003E579B"/>
    <w:rsid w:val="003E5C3C"/>
    <w:rsid w:val="003E5F26"/>
    <w:rsid w:val="003E6E02"/>
    <w:rsid w:val="003F066F"/>
    <w:rsid w:val="003F0AD2"/>
    <w:rsid w:val="003F134A"/>
    <w:rsid w:val="003F31C1"/>
    <w:rsid w:val="003F3BFA"/>
    <w:rsid w:val="003F52C7"/>
    <w:rsid w:val="003F7D2B"/>
    <w:rsid w:val="00400765"/>
    <w:rsid w:val="004008A5"/>
    <w:rsid w:val="00400FCB"/>
    <w:rsid w:val="00406A43"/>
    <w:rsid w:val="00406CA9"/>
    <w:rsid w:val="00410E2C"/>
    <w:rsid w:val="00412290"/>
    <w:rsid w:val="00413541"/>
    <w:rsid w:val="00414BCF"/>
    <w:rsid w:val="00417C5D"/>
    <w:rsid w:val="00420DA9"/>
    <w:rsid w:val="00427FAA"/>
    <w:rsid w:val="0043003F"/>
    <w:rsid w:val="00432A8B"/>
    <w:rsid w:val="00432EB5"/>
    <w:rsid w:val="004360E7"/>
    <w:rsid w:val="004361BD"/>
    <w:rsid w:val="004401C2"/>
    <w:rsid w:val="0044083C"/>
    <w:rsid w:val="00440FB8"/>
    <w:rsid w:val="00441AC9"/>
    <w:rsid w:val="00441FC8"/>
    <w:rsid w:val="00444A50"/>
    <w:rsid w:val="00444F7E"/>
    <w:rsid w:val="00447550"/>
    <w:rsid w:val="00452290"/>
    <w:rsid w:val="0045411D"/>
    <w:rsid w:val="0045634D"/>
    <w:rsid w:val="0045661C"/>
    <w:rsid w:val="00457A89"/>
    <w:rsid w:val="00461948"/>
    <w:rsid w:val="004641BE"/>
    <w:rsid w:val="004652B6"/>
    <w:rsid w:val="004674D4"/>
    <w:rsid w:val="004708AC"/>
    <w:rsid w:val="0047191F"/>
    <w:rsid w:val="004723EC"/>
    <w:rsid w:val="004757EE"/>
    <w:rsid w:val="00477620"/>
    <w:rsid w:val="00482FA3"/>
    <w:rsid w:val="0048450D"/>
    <w:rsid w:val="00485F01"/>
    <w:rsid w:val="00486AFF"/>
    <w:rsid w:val="00490B54"/>
    <w:rsid w:val="00491991"/>
    <w:rsid w:val="00491F27"/>
    <w:rsid w:val="0049445B"/>
    <w:rsid w:val="00494B27"/>
    <w:rsid w:val="00494BF7"/>
    <w:rsid w:val="00496F73"/>
    <w:rsid w:val="00497791"/>
    <w:rsid w:val="00497A56"/>
    <w:rsid w:val="004A064E"/>
    <w:rsid w:val="004A0FB5"/>
    <w:rsid w:val="004A3598"/>
    <w:rsid w:val="004A3CB6"/>
    <w:rsid w:val="004A6FE8"/>
    <w:rsid w:val="004A76DC"/>
    <w:rsid w:val="004B1B86"/>
    <w:rsid w:val="004B1B94"/>
    <w:rsid w:val="004B1EEB"/>
    <w:rsid w:val="004B4D62"/>
    <w:rsid w:val="004B6925"/>
    <w:rsid w:val="004B6B5A"/>
    <w:rsid w:val="004B6E7B"/>
    <w:rsid w:val="004B7F8D"/>
    <w:rsid w:val="004C1FF6"/>
    <w:rsid w:val="004C5AD7"/>
    <w:rsid w:val="004C61B6"/>
    <w:rsid w:val="004C67B1"/>
    <w:rsid w:val="004D0D57"/>
    <w:rsid w:val="004D2814"/>
    <w:rsid w:val="004D3512"/>
    <w:rsid w:val="004D43B1"/>
    <w:rsid w:val="004D568A"/>
    <w:rsid w:val="004D57A0"/>
    <w:rsid w:val="004D6179"/>
    <w:rsid w:val="004D7836"/>
    <w:rsid w:val="004E017A"/>
    <w:rsid w:val="004E04B5"/>
    <w:rsid w:val="004E13D1"/>
    <w:rsid w:val="004E1E63"/>
    <w:rsid w:val="004E36DC"/>
    <w:rsid w:val="004E5A5D"/>
    <w:rsid w:val="004E5CEE"/>
    <w:rsid w:val="004E70D9"/>
    <w:rsid w:val="004F126E"/>
    <w:rsid w:val="004F3EE3"/>
    <w:rsid w:val="004F4458"/>
    <w:rsid w:val="00502BEC"/>
    <w:rsid w:val="0050631D"/>
    <w:rsid w:val="00511342"/>
    <w:rsid w:val="00511DA3"/>
    <w:rsid w:val="005138AF"/>
    <w:rsid w:val="00513D78"/>
    <w:rsid w:val="005143C1"/>
    <w:rsid w:val="00514E1D"/>
    <w:rsid w:val="005162A2"/>
    <w:rsid w:val="00520616"/>
    <w:rsid w:val="0052100A"/>
    <w:rsid w:val="00521EF6"/>
    <w:rsid w:val="00522136"/>
    <w:rsid w:val="005240C9"/>
    <w:rsid w:val="0052579E"/>
    <w:rsid w:val="00525DF7"/>
    <w:rsid w:val="00525E6F"/>
    <w:rsid w:val="005262E9"/>
    <w:rsid w:val="005270B1"/>
    <w:rsid w:val="00532ABD"/>
    <w:rsid w:val="00541FBB"/>
    <w:rsid w:val="0054317E"/>
    <w:rsid w:val="00544260"/>
    <w:rsid w:val="00544D96"/>
    <w:rsid w:val="00544FA9"/>
    <w:rsid w:val="005471AB"/>
    <w:rsid w:val="0054756E"/>
    <w:rsid w:val="005502B1"/>
    <w:rsid w:val="00553D55"/>
    <w:rsid w:val="00566F1D"/>
    <w:rsid w:val="005679EF"/>
    <w:rsid w:val="00574258"/>
    <w:rsid w:val="0057517A"/>
    <w:rsid w:val="005751E5"/>
    <w:rsid w:val="00576B0E"/>
    <w:rsid w:val="00576BC3"/>
    <w:rsid w:val="0058103D"/>
    <w:rsid w:val="00583450"/>
    <w:rsid w:val="00583726"/>
    <w:rsid w:val="00587E12"/>
    <w:rsid w:val="00590839"/>
    <w:rsid w:val="00591045"/>
    <w:rsid w:val="00591EBA"/>
    <w:rsid w:val="00594FA2"/>
    <w:rsid w:val="005965AD"/>
    <w:rsid w:val="00596C11"/>
    <w:rsid w:val="005978DB"/>
    <w:rsid w:val="005A18FE"/>
    <w:rsid w:val="005A2D8C"/>
    <w:rsid w:val="005A3326"/>
    <w:rsid w:val="005A37AF"/>
    <w:rsid w:val="005A4058"/>
    <w:rsid w:val="005A6A78"/>
    <w:rsid w:val="005B0E1F"/>
    <w:rsid w:val="005B29FD"/>
    <w:rsid w:val="005B688C"/>
    <w:rsid w:val="005C176C"/>
    <w:rsid w:val="005C5639"/>
    <w:rsid w:val="005C621D"/>
    <w:rsid w:val="005C6BE7"/>
    <w:rsid w:val="005D1AAE"/>
    <w:rsid w:val="005D236C"/>
    <w:rsid w:val="005D6B0D"/>
    <w:rsid w:val="005D71C3"/>
    <w:rsid w:val="005E22E9"/>
    <w:rsid w:val="005E2800"/>
    <w:rsid w:val="005E35AF"/>
    <w:rsid w:val="005E5517"/>
    <w:rsid w:val="005E5E3A"/>
    <w:rsid w:val="005E7DC6"/>
    <w:rsid w:val="005F0695"/>
    <w:rsid w:val="005F1A2E"/>
    <w:rsid w:val="005F33EA"/>
    <w:rsid w:val="005F44A1"/>
    <w:rsid w:val="005F4DEC"/>
    <w:rsid w:val="005F7571"/>
    <w:rsid w:val="005F76A2"/>
    <w:rsid w:val="005F7BAD"/>
    <w:rsid w:val="006014C0"/>
    <w:rsid w:val="006029F4"/>
    <w:rsid w:val="00602CFA"/>
    <w:rsid w:val="006044F8"/>
    <w:rsid w:val="00604E7B"/>
    <w:rsid w:val="006067D7"/>
    <w:rsid w:val="00607840"/>
    <w:rsid w:val="00607E56"/>
    <w:rsid w:val="006107F3"/>
    <w:rsid w:val="00610964"/>
    <w:rsid w:val="00610A7B"/>
    <w:rsid w:val="006113FB"/>
    <w:rsid w:val="006116CC"/>
    <w:rsid w:val="0061578D"/>
    <w:rsid w:val="006170D3"/>
    <w:rsid w:val="00620CB8"/>
    <w:rsid w:val="00625D3E"/>
    <w:rsid w:val="00626723"/>
    <w:rsid w:val="00630018"/>
    <w:rsid w:val="0063009F"/>
    <w:rsid w:val="006318FA"/>
    <w:rsid w:val="006338FC"/>
    <w:rsid w:val="00634E4A"/>
    <w:rsid w:val="006359C7"/>
    <w:rsid w:val="00636364"/>
    <w:rsid w:val="0063761C"/>
    <w:rsid w:val="00637726"/>
    <w:rsid w:val="00637782"/>
    <w:rsid w:val="0064174B"/>
    <w:rsid w:val="00642CB1"/>
    <w:rsid w:val="00652B52"/>
    <w:rsid w:val="00652EEE"/>
    <w:rsid w:val="00654BF1"/>
    <w:rsid w:val="00660952"/>
    <w:rsid w:val="00660BB4"/>
    <w:rsid w:val="00661F6C"/>
    <w:rsid w:val="00662A46"/>
    <w:rsid w:val="00663E9B"/>
    <w:rsid w:val="0066736A"/>
    <w:rsid w:val="00667455"/>
    <w:rsid w:val="00671F68"/>
    <w:rsid w:val="006721C5"/>
    <w:rsid w:val="006721CA"/>
    <w:rsid w:val="00672C6D"/>
    <w:rsid w:val="00672C77"/>
    <w:rsid w:val="00673272"/>
    <w:rsid w:val="00674680"/>
    <w:rsid w:val="00675A8A"/>
    <w:rsid w:val="00676110"/>
    <w:rsid w:val="00676A88"/>
    <w:rsid w:val="00680663"/>
    <w:rsid w:val="006806AA"/>
    <w:rsid w:val="00680F2D"/>
    <w:rsid w:val="0068113D"/>
    <w:rsid w:val="006812D9"/>
    <w:rsid w:val="00681CC4"/>
    <w:rsid w:val="00683086"/>
    <w:rsid w:val="00683673"/>
    <w:rsid w:val="00683833"/>
    <w:rsid w:val="00683EBD"/>
    <w:rsid w:val="0068604C"/>
    <w:rsid w:val="006876A6"/>
    <w:rsid w:val="00687798"/>
    <w:rsid w:val="00687D58"/>
    <w:rsid w:val="006913C7"/>
    <w:rsid w:val="00691C99"/>
    <w:rsid w:val="00691E79"/>
    <w:rsid w:val="0069305A"/>
    <w:rsid w:val="00695CC3"/>
    <w:rsid w:val="00696828"/>
    <w:rsid w:val="00696EFE"/>
    <w:rsid w:val="00697988"/>
    <w:rsid w:val="00697A2B"/>
    <w:rsid w:val="006A0001"/>
    <w:rsid w:val="006A27A2"/>
    <w:rsid w:val="006A4A5B"/>
    <w:rsid w:val="006B01B1"/>
    <w:rsid w:val="006B0D3B"/>
    <w:rsid w:val="006B0FEB"/>
    <w:rsid w:val="006B26C7"/>
    <w:rsid w:val="006B36DD"/>
    <w:rsid w:val="006B3AAB"/>
    <w:rsid w:val="006B4B87"/>
    <w:rsid w:val="006C1365"/>
    <w:rsid w:val="006C2455"/>
    <w:rsid w:val="006C4306"/>
    <w:rsid w:val="006C4659"/>
    <w:rsid w:val="006C5661"/>
    <w:rsid w:val="006C5808"/>
    <w:rsid w:val="006C65D5"/>
    <w:rsid w:val="006C79F8"/>
    <w:rsid w:val="006D0B98"/>
    <w:rsid w:val="006D211F"/>
    <w:rsid w:val="006D219A"/>
    <w:rsid w:val="006D4274"/>
    <w:rsid w:val="006D4395"/>
    <w:rsid w:val="006D56FA"/>
    <w:rsid w:val="006D5DEF"/>
    <w:rsid w:val="006D799C"/>
    <w:rsid w:val="006D7A55"/>
    <w:rsid w:val="006E2195"/>
    <w:rsid w:val="006E4372"/>
    <w:rsid w:val="006E453B"/>
    <w:rsid w:val="006E49AE"/>
    <w:rsid w:val="006F4CC1"/>
    <w:rsid w:val="00701FB8"/>
    <w:rsid w:val="0070470A"/>
    <w:rsid w:val="007059C3"/>
    <w:rsid w:val="007065BA"/>
    <w:rsid w:val="007072A5"/>
    <w:rsid w:val="00707FB2"/>
    <w:rsid w:val="0071003B"/>
    <w:rsid w:val="00710E5E"/>
    <w:rsid w:val="007123D4"/>
    <w:rsid w:val="00712786"/>
    <w:rsid w:val="0071482C"/>
    <w:rsid w:val="00715B2E"/>
    <w:rsid w:val="00722454"/>
    <w:rsid w:val="00723413"/>
    <w:rsid w:val="0072347F"/>
    <w:rsid w:val="00724F16"/>
    <w:rsid w:val="00726470"/>
    <w:rsid w:val="00727A34"/>
    <w:rsid w:val="00727E5F"/>
    <w:rsid w:val="00730B16"/>
    <w:rsid w:val="00730C7C"/>
    <w:rsid w:val="00732AD8"/>
    <w:rsid w:val="00733232"/>
    <w:rsid w:val="00737AB0"/>
    <w:rsid w:val="00740195"/>
    <w:rsid w:val="0074661A"/>
    <w:rsid w:val="00752669"/>
    <w:rsid w:val="00755D9C"/>
    <w:rsid w:val="0075711C"/>
    <w:rsid w:val="00760AF3"/>
    <w:rsid w:val="007620B0"/>
    <w:rsid w:val="00763F9B"/>
    <w:rsid w:val="00764913"/>
    <w:rsid w:val="00765EC1"/>
    <w:rsid w:val="00771A79"/>
    <w:rsid w:val="007722F9"/>
    <w:rsid w:val="00772D54"/>
    <w:rsid w:val="00772E99"/>
    <w:rsid w:val="00774202"/>
    <w:rsid w:val="00774231"/>
    <w:rsid w:val="00775BE9"/>
    <w:rsid w:val="00775F01"/>
    <w:rsid w:val="0078077F"/>
    <w:rsid w:val="007855A2"/>
    <w:rsid w:val="00785996"/>
    <w:rsid w:val="007859C6"/>
    <w:rsid w:val="007928BF"/>
    <w:rsid w:val="00792963"/>
    <w:rsid w:val="00795EC1"/>
    <w:rsid w:val="0079613C"/>
    <w:rsid w:val="0079629A"/>
    <w:rsid w:val="007A14AF"/>
    <w:rsid w:val="007A25DA"/>
    <w:rsid w:val="007A46CE"/>
    <w:rsid w:val="007A5A27"/>
    <w:rsid w:val="007A6E10"/>
    <w:rsid w:val="007A6F7D"/>
    <w:rsid w:val="007B53B7"/>
    <w:rsid w:val="007B71E3"/>
    <w:rsid w:val="007C0099"/>
    <w:rsid w:val="007C2140"/>
    <w:rsid w:val="007C229C"/>
    <w:rsid w:val="007C423F"/>
    <w:rsid w:val="007C4977"/>
    <w:rsid w:val="007C5691"/>
    <w:rsid w:val="007C6A9F"/>
    <w:rsid w:val="007C7029"/>
    <w:rsid w:val="007C7C7D"/>
    <w:rsid w:val="007D3D96"/>
    <w:rsid w:val="007D48F4"/>
    <w:rsid w:val="007D5019"/>
    <w:rsid w:val="007E0B88"/>
    <w:rsid w:val="007E2751"/>
    <w:rsid w:val="007E616F"/>
    <w:rsid w:val="007F0A9A"/>
    <w:rsid w:val="007F1072"/>
    <w:rsid w:val="007F1A58"/>
    <w:rsid w:val="007F2A88"/>
    <w:rsid w:val="007F3EBC"/>
    <w:rsid w:val="007F49D3"/>
    <w:rsid w:val="007F65D8"/>
    <w:rsid w:val="007F6DC4"/>
    <w:rsid w:val="00803FFC"/>
    <w:rsid w:val="008043DC"/>
    <w:rsid w:val="00804A7A"/>
    <w:rsid w:val="008051D2"/>
    <w:rsid w:val="00805DCE"/>
    <w:rsid w:val="00806BCE"/>
    <w:rsid w:val="008128C5"/>
    <w:rsid w:val="0081439F"/>
    <w:rsid w:val="00814CC0"/>
    <w:rsid w:val="00814FAA"/>
    <w:rsid w:val="0081637F"/>
    <w:rsid w:val="00816769"/>
    <w:rsid w:val="00816B5B"/>
    <w:rsid w:val="008224BE"/>
    <w:rsid w:val="00823112"/>
    <w:rsid w:val="00826E70"/>
    <w:rsid w:val="00827C4D"/>
    <w:rsid w:val="00834E6C"/>
    <w:rsid w:val="00834F05"/>
    <w:rsid w:val="00836986"/>
    <w:rsid w:val="00842EAE"/>
    <w:rsid w:val="00843ADD"/>
    <w:rsid w:val="00844283"/>
    <w:rsid w:val="00844D67"/>
    <w:rsid w:val="00846DFF"/>
    <w:rsid w:val="00847E61"/>
    <w:rsid w:val="00850D9A"/>
    <w:rsid w:val="008519C4"/>
    <w:rsid w:val="00851FC2"/>
    <w:rsid w:val="00852155"/>
    <w:rsid w:val="00852CD4"/>
    <w:rsid w:val="00853AC7"/>
    <w:rsid w:val="008548F6"/>
    <w:rsid w:val="00854EF3"/>
    <w:rsid w:val="008568C1"/>
    <w:rsid w:val="00857532"/>
    <w:rsid w:val="00860C5B"/>
    <w:rsid w:val="00862F57"/>
    <w:rsid w:val="00863680"/>
    <w:rsid w:val="0086393C"/>
    <w:rsid w:val="00865D94"/>
    <w:rsid w:val="00867846"/>
    <w:rsid w:val="00871471"/>
    <w:rsid w:val="00871C34"/>
    <w:rsid w:val="00871E8F"/>
    <w:rsid w:val="008730D2"/>
    <w:rsid w:val="008743AC"/>
    <w:rsid w:val="00880385"/>
    <w:rsid w:val="008812F9"/>
    <w:rsid w:val="00881CB9"/>
    <w:rsid w:val="008835A3"/>
    <w:rsid w:val="0088551B"/>
    <w:rsid w:val="00885C0D"/>
    <w:rsid w:val="00891471"/>
    <w:rsid w:val="00893941"/>
    <w:rsid w:val="00895BBD"/>
    <w:rsid w:val="00896DB1"/>
    <w:rsid w:val="008A25B0"/>
    <w:rsid w:val="008A2EC2"/>
    <w:rsid w:val="008A60AC"/>
    <w:rsid w:val="008B2561"/>
    <w:rsid w:val="008B41EB"/>
    <w:rsid w:val="008B5B4E"/>
    <w:rsid w:val="008C1DD2"/>
    <w:rsid w:val="008C5294"/>
    <w:rsid w:val="008C593D"/>
    <w:rsid w:val="008C6C56"/>
    <w:rsid w:val="008D0068"/>
    <w:rsid w:val="008D1AB0"/>
    <w:rsid w:val="008D38F4"/>
    <w:rsid w:val="008D486D"/>
    <w:rsid w:val="008D59E9"/>
    <w:rsid w:val="008D63CF"/>
    <w:rsid w:val="008D7644"/>
    <w:rsid w:val="008E066B"/>
    <w:rsid w:val="008E185A"/>
    <w:rsid w:val="008E3C74"/>
    <w:rsid w:val="008E52FE"/>
    <w:rsid w:val="008E6479"/>
    <w:rsid w:val="008E70AE"/>
    <w:rsid w:val="008E74BF"/>
    <w:rsid w:val="008E7A82"/>
    <w:rsid w:val="008F2BD9"/>
    <w:rsid w:val="008F336A"/>
    <w:rsid w:val="008F3684"/>
    <w:rsid w:val="008F3A31"/>
    <w:rsid w:val="008F59C2"/>
    <w:rsid w:val="008F641E"/>
    <w:rsid w:val="008F7276"/>
    <w:rsid w:val="009013F8"/>
    <w:rsid w:val="00903B1F"/>
    <w:rsid w:val="00906614"/>
    <w:rsid w:val="00906E7A"/>
    <w:rsid w:val="009104A8"/>
    <w:rsid w:val="00910A08"/>
    <w:rsid w:val="00911223"/>
    <w:rsid w:val="00911B7D"/>
    <w:rsid w:val="00911F2A"/>
    <w:rsid w:val="00912E19"/>
    <w:rsid w:val="00912F72"/>
    <w:rsid w:val="009135D8"/>
    <w:rsid w:val="00914F48"/>
    <w:rsid w:val="009153DA"/>
    <w:rsid w:val="0092066F"/>
    <w:rsid w:val="00923994"/>
    <w:rsid w:val="0092421D"/>
    <w:rsid w:val="00925858"/>
    <w:rsid w:val="0092724B"/>
    <w:rsid w:val="009279A0"/>
    <w:rsid w:val="00931D3F"/>
    <w:rsid w:val="0093364D"/>
    <w:rsid w:val="00933714"/>
    <w:rsid w:val="00933D7E"/>
    <w:rsid w:val="00933F56"/>
    <w:rsid w:val="009349A1"/>
    <w:rsid w:val="009414BA"/>
    <w:rsid w:val="00942372"/>
    <w:rsid w:val="00942E25"/>
    <w:rsid w:val="00943A74"/>
    <w:rsid w:val="00944A8F"/>
    <w:rsid w:val="00944BA7"/>
    <w:rsid w:val="00945EC3"/>
    <w:rsid w:val="009465ED"/>
    <w:rsid w:val="0095122E"/>
    <w:rsid w:val="00951F6C"/>
    <w:rsid w:val="00953B39"/>
    <w:rsid w:val="00953EA5"/>
    <w:rsid w:val="009544CC"/>
    <w:rsid w:val="00955FA2"/>
    <w:rsid w:val="00956014"/>
    <w:rsid w:val="00961D40"/>
    <w:rsid w:val="009628F3"/>
    <w:rsid w:val="00965C1F"/>
    <w:rsid w:val="009674CA"/>
    <w:rsid w:val="00970C82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09EA"/>
    <w:rsid w:val="00983B31"/>
    <w:rsid w:val="0098564F"/>
    <w:rsid w:val="00986F46"/>
    <w:rsid w:val="00992EFE"/>
    <w:rsid w:val="00993CF5"/>
    <w:rsid w:val="00994183"/>
    <w:rsid w:val="009946DC"/>
    <w:rsid w:val="00995948"/>
    <w:rsid w:val="0099624E"/>
    <w:rsid w:val="00997BBA"/>
    <w:rsid w:val="009A1E73"/>
    <w:rsid w:val="009A21C8"/>
    <w:rsid w:val="009A4020"/>
    <w:rsid w:val="009A565E"/>
    <w:rsid w:val="009A7A7E"/>
    <w:rsid w:val="009B10EC"/>
    <w:rsid w:val="009B1763"/>
    <w:rsid w:val="009B18B0"/>
    <w:rsid w:val="009B1992"/>
    <w:rsid w:val="009B4A8F"/>
    <w:rsid w:val="009B612E"/>
    <w:rsid w:val="009C1F28"/>
    <w:rsid w:val="009C3A55"/>
    <w:rsid w:val="009C6BF5"/>
    <w:rsid w:val="009C7861"/>
    <w:rsid w:val="009D1FD8"/>
    <w:rsid w:val="009D2D23"/>
    <w:rsid w:val="009D40DD"/>
    <w:rsid w:val="009D4FA1"/>
    <w:rsid w:val="009D5A0B"/>
    <w:rsid w:val="009D5C00"/>
    <w:rsid w:val="009D5D01"/>
    <w:rsid w:val="009D5D72"/>
    <w:rsid w:val="009D6130"/>
    <w:rsid w:val="009D63FC"/>
    <w:rsid w:val="009D6AEF"/>
    <w:rsid w:val="009D75E4"/>
    <w:rsid w:val="009E1D15"/>
    <w:rsid w:val="009E2029"/>
    <w:rsid w:val="009E4A5C"/>
    <w:rsid w:val="009E6343"/>
    <w:rsid w:val="009E7EA3"/>
    <w:rsid w:val="009F0BF1"/>
    <w:rsid w:val="009F0F45"/>
    <w:rsid w:val="009F62D6"/>
    <w:rsid w:val="009F65DD"/>
    <w:rsid w:val="00A02BA4"/>
    <w:rsid w:val="00A02CD0"/>
    <w:rsid w:val="00A0307F"/>
    <w:rsid w:val="00A07CDB"/>
    <w:rsid w:val="00A10FA6"/>
    <w:rsid w:val="00A13577"/>
    <w:rsid w:val="00A13B7A"/>
    <w:rsid w:val="00A13C7E"/>
    <w:rsid w:val="00A16133"/>
    <w:rsid w:val="00A16E79"/>
    <w:rsid w:val="00A2191C"/>
    <w:rsid w:val="00A21E29"/>
    <w:rsid w:val="00A241C4"/>
    <w:rsid w:val="00A264B9"/>
    <w:rsid w:val="00A31854"/>
    <w:rsid w:val="00A330FE"/>
    <w:rsid w:val="00A34D5E"/>
    <w:rsid w:val="00A35BAC"/>
    <w:rsid w:val="00A36A94"/>
    <w:rsid w:val="00A37263"/>
    <w:rsid w:val="00A446C0"/>
    <w:rsid w:val="00A44B3C"/>
    <w:rsid w:val="00A44DC5"/>
    <w:rsid w:val="00A469CD"/>
    <w:rsid w:val="00A524A5"/>
    <w:rsid w:val="00A563A2"/>
    <w:rsid w:val="00A56780"/>
    <w:rsid w:val="00A572B8"/>
    <w:rsid w:val="00A6018D"/>
    <w:rsid w:val="00A6068D"/>
    <w:rsid w:val="00A61869"/>
    <w:rsid w:val="00A62E87"/>
    <w:rsid w:val="00A6447D"/>
    <w:rsid w:val="00A66161"/>
    <w:rsid w:val="00A71809"/>
    <w:rsid w:val="00A7184B"/>
    <w:rsid w:val="00A7330F"/>
    <w:rsid w:val="00A75C39"/>
    <w:rsid w:val="00A7620D"/>
    <w:rsid w:val="00A767AA"/>
    <w:rsid w:val="00A814A1"/>
    <w:rsid w:val="00A83F71"/>
    <w:rsid w:val="00A84D44"/>
    <w:rsid w:val="00A85124"/>
    <w:rsid w:val="00A8525D"/>
    <w:rsid w:val="00A870FB"/>
    <w:rsid w:val="00A92298"/>
    <w:rsid w:val="00A940D4"/>
    <w:rsid w:val="00A95EF6"/>
    <w:rsid w:val="00A9641E"/>
    <w:rsid w:val="00AA2228"/>
    <w:rsid w:val="00AA34A0"/>
    <w:rsid w:val="00AA3FE2"/>
    <w:rsid w:val="00AB22FA"/>
    <w:rsid w:val="00AB2327"/>
    <w:rsid w:val="00AB3785"/>
    <w:rsid w:val="00AB3989"/>
    <w:rsid w:val="00AB39D3"/>
    <w:rsid w:val="00AB3F25"/>
    <w:rsid w:val="00AB4205"/>
    <w:rsid w:val="00AB4E58"/>
    <w:rsid w:val="00AB5668"/>
    <w:rsid w:val="00AB719E"/>
    <w:rsid w:val="00AB785F"/>
    <w:rsid w:val="00AB7D91"/>
    <w:rsid w:val="00AC135C"/>
    <w:rsid w:val="00AC35D0"/>
    <w:rsid w:val="00AC5969"/>
    <w:rsid w:val="00AC635B"/>
    <w:rsid w:val="00AD00A8"/>
    <w:rsid w:val="00AD1246"/>
    <w:rsid w:val="00AD1738"/>
    <w:rsid w:val="00AD455C"/>
    <w:rsid w:val="00AE0AFC"/>
    <w:rsid w:val="00AE30FF"/>
    <w:rsid w:val="00AE5F33"/>
    <w:rsid w:val="00AF3115"/>
    <w:rsid w:val="00AF3448"/>
    <w:rsid w:val="00AF4207"/>
    <w:rsid w:val="00AF5093"/>
    <w:rsid w:val="00AF5172"/>
    <w:rsid w:val="00AF57B7"/>
    <w:rsid w:val="00AF7717"/>
    <w:rsid w:val="00B0160A"/>
    <w:rsid w:val="00B01BF8"/>
    <w:rsid w:val="00B0209B"/>
    <w:rsid w:val="00B02411"/>
    <w:rsid w:val="00B04168"/>
    <w:rsid w:val="00B04A5C"/>
    <w:rsid w:val="00B05976"/>
    <w:rsid w:val="00B070B9"/>
    <w:rsid w:val="00B07895"/>
    <w:rsid w:val="00B07A31"/>
    <w:rsid w:val="00B14782"/>
    <w:rsid w:val="00B15628"/>
    <w:rsid w:val="00B168FB"/>
    <w:rsid w:val="00B177F5"/>
    <w:rsid w:val="00B2033C"/>
    <w:rsid w:val="00B20B7F"/>
    <w:rsid w:val="00B23185"/>
    <w:rsid w:val="00B23282"/>
    <w:rsid w:val="00B27AC0"/>
    <w:rsid w:val="00B27E55"/>
    <w:rsid w:val="00B30AB6"/>
    <w:rsid w:val="00B312A8"/>
    <w:rsid w:val="00B32272"/>
    <w:rsid w:val="00B3340A"/>
    <w:rsid w:val="00B336F6"/>
    <w:rsid w:val="00B3442F"/>
    <w:rsid w:val="00B34867"/>
    <w:rsid w:val="00B37FD9"/>
    <w:rsid w:val="00B41E21"/>
    <w:rsid w:val="00B4410E"/>
    <w:rsid w:val="00B44DCA"/>
    <w:rsid w:val="00B45305"/>
    <w:rsid w:val="00B457D9"/>
    <w:rsid w:val="00B45C9B"/>
    <w:rsid w:val="00B47399"/>
    <w:rsid w:val="00B47B02"/>
    <w:rsid w:val="00B53FBB"/>
    <w:rsid w:val="00B54355"/>
    <w:rsid w:val="00B558B7"/>
    <w:rsid w:val="00B57724"/>
    <w:rsid w:val="00B616B5"/>
    <w:rsid w:val="00B61BAA"/>
    <w:rsid w:val="00B61CA1"/>
    <w:rsid w:val="00B622F9"/>
    <w:rsid w:val="00B63618"/>
    <w:rsid w:val="00B64E4A"/>
    <w:rsid w:val="00B6510E"/>
    <w:rsid w:val="00B675C1"/>
    <w:rsid w:val="00B706A7"/>
    <w:rsid w:val="00B748B2"/>
    <w:rsid w:val="00B770FE"/>
    <w:rsid w:val="00B778FF"/>
    <w:rsid w:val="00B802B8"/>
    <w:rsid w:val="00B8164B"/>
    <w:rsid w:val="00B817CE"/>
    <w:rsid w:val="00B8544F"/>
    <w:rsid w:val="00B85A9D"/>
    <w:rsid w:val="00B864DF"/>
    <w:rsid w:val="00B866A1"/>
    <w:rsid w:val="00B86E76"/>
    <w:rsid w:val="00B9003D"/>
    <w:rsid w:val="00B90F92"/>
    <w:rsid w:val="00B91F5C"/>
    <w:rsid w:val="00B93954"/>
    <w:rsid w:val="00B948FC"/>
    <w:rsid w:val="00B954C3"/>
    <w:rsid w:val="00B970C0"/>
    <w:rsid w:val="00BA30DF"/>
    <w:rsid w:val="00BA4DB0"/>
    <w:rsid w:val="00BA4F59"/>
    <w:rsid w:val="00BA5B05"/>
    <w:rsid w:val="00BA7488"/>
    <w:rsid w:val="00BA7791"/>
    <w:rsid w:val="00BA7E86"/>
    <w:rsid w:val="00BB1269"/>
    <w:rsid w:val="00BB13A1"/>
    <w:rsid w:val="00BB2441"/>
    <w:rsid w:val="00BB2486"/>
    <w:rsid w:val="00BB3A3C"/>
    <w:rsid w:val="00BB3BDE"/>
    <w:rsid w:val="00BB74E9"/>
    <w:rsid w:val="00BC11A4"/>
    <w:rsid w:val="00BC2323"/>
    <w:rsid w:val="00BC4FE5"/>
    <w:rsid w:val="00BC5A82"/>
    <w:rsid w:val="00BD0BB9"/>
    <w:rsid w:val="00BD0F4D"/>
    <w:rsid w:val="00BD4583"/>
    <w:rsid w:val="00BD4BEB"/>
    <w:rsid w:val="00BD662C"/>
    <w:rsid w:val="00BE0EA3"/>
    <w:rsid w:val="00BE18BE"/>
    <w:rsid w:val="00BE3E24"/>
    <w:rsid w:val="00BE6418"/>
    <w:rsid w:val="00BE7F65"/>
    <w:rsid w:val="00BF09EE"/>
    <w:rsid w:val="00BF5C3E"/>
    <w:rsid w:val="00BF713C"/>
    <w:rsid w:val="00BF7924"/>
    <w:rsid w:val="00C019A9"/>
    <w:rsid w:val="00C02048"/>
    <w:rsid w:val="00C03933"/>
    <w:rsid w:val="00C03C2C"/>
    <w:rsid w:val="00C061C4"/>
    <w:rsid w:val="00C07B60"/>
    <w:rsid w:val="00C139EB"/>
    <w:rsid w:val="00C22071"/>
    <w:rsid w:val="00C23F34"/>
    <w:rsid w:val="00C2525C"/>
    <w:rsid w:val="00C267EB"/>
    <w:rsid w:val="00C31DB1"/>
    <w:rsid w:val="00C32EDA"/>
    <w:rsid w:val="00C33093"/>
    <w:rsid w:val="00C331A9"/>
    <w:rsid w:val="00C33944"/>
    <w:rsid w:val="00C349D8"/>
    <w:rsid w:val="00C401E5"/>
    <w:rsid w:val="00C424E5"/>
    <w:rsid w:val="00C42852"/>
    <w:rsid w:val="00C449FE"/>
    <w:rsid w:val="00C44F77"/>
    <w:rsid w:val="00C457CA"/>
    <w:rsid w:val="00C45CEE"/>
    <w:rsid w:val="00C511A1"/>
    <w:rsid w:val="00C515EB"/>
    <w:rsid w:val="00C5259D"/>
    <w:rsid w:val="00C526BF"/>
    <w:rsid w:val="00C54676"/>
    <w:rsid w:val="00C6180A"/>
    <w:rsid w:val="00C6215F"/>
    <w:rsid w:val="00C62325"/>
    <w:rsid w:val="00C62C58"/>
    <w:rsid w:val="00C63937"/>
    <w:rsid w:val="00C6455C"/>
    <w:rsid w:val="00C647DA"/>
    <w:rsid w:val="00C66440"/>
    <w:rsid w:val="00C67A2B"/>
    <w:rsid w:val="00C71BC7"/>
    <w:rsid w:val="00C71CDF"/>
    <w:rsid w:val="00C73ACF"/>
    <w:rsid w:val="00C75E24"/>
    <w:rsid w:val="00C80D8A"/>
    <w:rsid w:val="00C81525"/>
    <w:rsid w:val="00C83F16"/>
    <w:rsid w:val="00C84F56"/>
    <w:rsid w:val="00C879C7"/>
    <w:rsid w:val="00C87C86"/>
    <w:rsid w:val="00C9099E"/>
    <w:rsid w:val="00C915FD"/>
    <w:rsid w:val="00C9302F"/>
    <w:rsid w:val="00C956E1"/>
    <w:rsid w:val="00C96248"/>
    <w:rsid w:val="00C966D0"/>
    <w:rsid w:val="00CA0184"/>
    <w:rsid w:val="00CA299E"/>
    <w:rsid w:val="00CA3C4E"/>
    <w:rsid w:val="00CA4A6C"/>
    <w:rsid w:val="00CA69B0"/>
    <w:rsid w:val="00CA6C7D"/>
    <w:rsid w:val="00CA703F"/>
    <w:rsid w:val="00CB0DCE"/>
    <w:rsid w:val="00CB4FBE"/>
    <w:rsid w:val="00CB657C"/>
    <w:rsid w:val="00CC0343"/>
    <w:rsid w:val="00CC2939"/>
    <w:rsid w:val="00CC609D"/>
    <w:rsid w:val="00CD14FC"/>
    <w:rsid w:val="00CD3F40"/>
    <w:rsid w:val="00CD459F"/>
    <w:rsid w:val="00CE0B53"/>
    <w:rsid w:val="00CF02BA"/>
    <w:rsid w:val="00CF1D14"/>
    <w:rsid w:val="00CF353C"/>
    <w:rsid w:val="00CF3B4D"/>
    <w:rsid w:val="00CF4872"/>
    <w:rsid w:val="00CF5494"/>
    <w:rsid w:val="00CF7F82"/>
    <w:rsid w:val="00D01384"/>
    <w:rsid w:val="00D0156A"/>
    <w:rsid w:val="00D02B59"/>
    <w:rsid w:val="00D053B1"/>
    <w:rsid w:val="00D06D3E"/>
    <w:rsid w:val="00D07DCD"/>
    <w:rsid w:val="00D12A6A"/>
    <w:rsid w:val="00D13196"/>
    <w:rsid w:val="00D15751"/>
    <w:rsid w:val="00D16342"/>
    <w:rsid w:val="00D17E18"/>
    <w:rsid w:val="00D21E0D"/>
    <w:rsid w:val="00D225F5"/>
    <w:rsid w:val="00D22BF0"/>
    <w:rsid w:val="00D26FFA"/>
    <w:rsid w:val="00D27FBF"/>
    <w:rsid w:val="00D30B77"/>
    <w:rsid w:val="00D31E7A"/>
    <w:rsid w:val="00D32A6E"/>
    <w:rsid w:val="00D377A3"/>
    <w:rsid w:val="00D37E39"/>
    <w:rsid w:val="00D42025"/>
    <w:rsid w:val="00D42D30"/>
    <w:rsid w:val="00D467B8"/>
    <w:rsid w:val="00D46E5E"/>
    <w:rsid w:val="00D50B59"/>
    <w:rsid w:val="00D5216D"/>
    <w:rsid w:val="00D5300B"/>
    <w:rsid w:val="00D5622F"/>
    <w:rsid w:val="00D572DD"/>
    <w:rsid w:val="00D63664"/>
    <w:rsid w:val="00D7068C"/>
    <w:rsid w:val="00D7475C"/>
    <w:rsid w:val="00D76778"/>
    <w:rsid w:val="00D76CDF"/>
    <w:rsid w:val="00D771E7"/>
    <w:rsid w:val="00D814F3"/>
    <w:rsid w:val="00D81FCF"/>
    <w:rsid w:val="00D82913"/>
    <w:rsid w:val="00D83F44"/>
    <w:rsid w:val="00D9259B"/>
    <w:rsid w:val="00D92D56"/>
    <w:rsid w:val="00D92DE0"/>
    <w:rsid w:val="00D95289"/>
    <w:rsid w:val="00D9667E"/>
    <w:rsid w:val="00D9786A"/>
    <w:rsid w:val="00DA049A"/>
    <w:rsid w:val="00DA08B4"/>
    <w:rsid w:val="00DA105A"/>
    <w:rsid w:val="00DA15D1"/>
    <w:rsid w:val="00DA2043"/>
    <w:rsid w:val="00DA2BC5"/>
    <w:rsid w:val="00DA2C61"/>
    <w:rsid w:val="00DA3600"/>
    <w:rsid w:val="00DA5F09"/>
    <w:rsid w:val="00DA645F"/>
    <w:rsid w:val="00DA6B7A"/>
    <w:rsid w:val="00DB1767"/>
    <w:rsid w:val="00DB2939"/>
    <w:rsid w:val="00DB3C4A"/>
    <w:rsid w:val="00DB3EE2"/>
    <w:rsid w:val="00DB4F18"/>
    <w:rsid w:val="00DB5988"/>
    <w:rsid w:val="00DB6691"/>
    <w:rsid w:val="00DC33E7"/>
    <w:rsid w:val="00DC4777"/>
    <w:rsid w:val="00DC48D8"/>
    <w:rsid w:val="00DC4B1E"/>
    <w:rsid w:val="00DC58F2"/>
    <w:rsid w:val="00DC61F9"/>
    <w:rsid w:val="00DD0BD6"/>
    <w:rsid w:val="00DD2EB2"/>
    <w:rsid w:val="00DD2ECF"/>
    <w:rsid w:val="00DD4070"/>
    <w:rsid w:val="00DD5BFA"/>
    <w:rsid w:val="00DD5FEF"/>
    <w:rsid w:val="00DD63DC"/>
    <w:rsid w:val="00DD7C3B"/>
    <w:rsid w:val="00DE0972"/>
    <w:rsid w:val="00DE0C09"/>
    <w:rsid w:val="00DE1983"/>
    <w:rsid w:val="00DE1A13"/>
    <w:rsid w:val="00DE2EFD"/>
    <w:rsid w:val="00DE4177"/>
    <w:rsid w:val="00DE497E"/>
    <w:rsid w:val="00DE507D"/>
    <w:rsid w:val="00DE5240"/>
    <w:rsid w:val="00DE5FCF"/>
    <w:rsid w:val="00DE6F86"/>
    <w:rsid w:val="00DF4131"/>
    <w:rsid w:val="00DF64CE"/>
    <w:rsid w:val="00DF6BEC"/>
    <w:rsid w:val="00E00A72"/>
    <w:rsid w:val="00E02A36"/>
    <w:rsid w:val="00E03B91"/>
    <w:rsid w:val="00E04569"/>
    <w:rsid w:val="00E0569B"/>
    <w:rsid w:val="00E0586B"/>
    <w:rsid w:val="00E1146F"/>
    <w:rsid w:val="00E119C6"/>
    <w:rsid w:val="00E119E9"/>
    <w:rsid w:val="00E13063"/>
    <w:rsid w:val="00E139D8"/>
    <w:rsid w:val="00E156EA"/>
    <w:rsid w:val="00E172BD"/>
    <w:rsid w:val="00E2022A"/>
    <w:rsid w:val="00E23184"/>
    <w:rsid w:val="00E25C19"/>
    <w:rsid w:val="00E2772A"/>
    <w:rsid w:val="00E34DB2"/>
    <w:rsid w:val="00E3770A"/>
    <w:rsid w:val="00E37B65"/>
    <w:rsid w:val="00E37D5D"/>
    <w:rsid w:val="00E37E35"/>
    <w:rsid w:val="00E40B05"/>
    <w:rsid w:val="00E420C5"/>
    <w:rsid w:val="00E42763"/>
    <w:rsid w:val="00E42D18"/>
    <w:rsid w:val="00E442CA"/>
    <w:rsid w:val="00E45BA9"/>
    <w:rsid w:val="00E46559"/>
    <w:rsid w:val="00E46F1E"/>
    <w:rsid w:val="00E51B02"/>
    <w:rsid w:val="00E52A83"/>
    <w:rsid w:val="00E52DDC"/>
    <w:rsid w:val="00E53290"/>
    <w:rsid w:val="00E5354D"/>
    <w:rsid w:val="00E5384C"/>
    <w:rsid w:val="00E53DD2"/>
    <w:rsid w:val="00E54E28"/>
    <w:rsid w:val="00E574B7"/>
    <w:rsid w:val="00E6074F"/>
    <w:rsid w:val="00E625E0"/>
    <w:rsid w:val="00E6384E"/>
    <w:rsid w:val="00E6496A"/>
    <w:rsid w:val="00E6594F"/>
    <w:rsid w:val="00E65DE5"/>
    <w:rsid w:val="00E700E2"/>
    <w:rsid w:val="00E71636"/>
    <w:rsid w:val="00E729DD"/>
    <w:rsid w:val="00E73005"/>
    <w:rsid w:val="00E7314D"/>
    <w:rsid w:val="00E73448"/>
    <w:rsid w:val="00E73FC0"/>
    <w:rsid w:val="00E7457E"/>
    <w:rsid w:val="00E8018A"/>
    <w:rsid w:val="00E81112"/>
    <w:rsid w:val="00E83086"/>
    <w:rsid w:val="00E86995"/>
    <w:rsid w:val="00E86CD8"/>
    <w:rsid w:val="00E86D8C"/>
    <w:rsid w:val="00E9140F"/>
    <w:rsid w:val="00E92C58"/>
    <w:rsid w:val="00E95E1C"/>
    <w:rsid w:val="00E96E2B"/>
    <w:rsid w:val="00E979D1"/>
    <w:rsid w:val="00EA0265"/>
    <w:rsid w:val="00EA0E43"/>
    <w:rsid w:val="00EA301C"/>
    <w:rsid w:val="00EA5592"/>
    <w:rsid w:val="00EB6DFD"/>
    <w:rsid w:val="00EC127B"/>
    <w:rsid w:val="00EC6572"/>
    <w:rsid w:val="00EC6B22"/>
    <w:rsid w:val="00ED0304"/>
    <w:rsid w:val="00ED3D25"/>
    <w:rsid w:val="00ED59F8"/>
    <w:rsid w:val="00EE03C3"/>
    <w:rsid w:val="00EE0E2B"/>
    <w:rsid w:val="00EE1397"/>
    <w:rsid w:val="00EE1846"/>
    <w:rsid w:val="00EE2886"/>
    <w:rsid w:val="00EE3371"/>
    <w:rsid w:val="00EE33BC"/>
    <w:rsid w:val="00EE3D50"/>
    <w:rsid w:val="00EE5919"/>
    <w:rsid w:val="00EE5B09"/>
    <w:rsid w:val="00EE5DC5"/>
    <w:rsid w:val="00EF3B05"/>
    <w:rsid w:val="00EF3E83"/>
    <w:rsid w:val="00EF7FAF"/>
    <w:rsid w:val="00F02753"/>
    <w:rsid w:val="00F03B3C"/>
    <w:rsid w:val="00F041F3"/>
    <w:rsid w:val="00F057FE"/>
    <w:rsid w:val="00F06A71"/>
    <w:rsid w:val="00F1119C"/>
    <w:rsid w:val="00F117AF"/>
    <w:rsid w:val="00F1353B"/>
    <w:rsid w:val="00F13F55"/>
    <w:rsid w:val="00F1645A"/>
    <w:rsid w:val="00F173D1"/>
    <w:rsid w:val="00F174B2"/>
    <w:rsid w:val="00F20261"/>
    <w:rsid w:val="00F21166"/>
    <w:rsid w:val="00F21DD6"/>
    <w:rsid w:val="00F2407F"/>
    <w:rsid w:val="00F304D8"/>
    <w:rsid w:val="00F30823"/>
    <w:rsid w:val="00F3092B"/>
    <w:rsid w:val="00F334D2"/>
    <w:rsid w:val="00F33CC2"/>
    <w:rsid w:val="00F33EDD"/>
    <w:rsid w:val="00F40AF5"/>
    <w:rsid w:val="00F41D9F"/>
    <w:rsid w:val="00F43B33"/>
    <w:rsid w:val="00F47901"/>
    <w:rsid w:val="00F501EB"/>
    <w:rsid w:val="00F51BFA"/>
    <w:rsid w:val="00F536BB"/>
    <w:rsid w:val="00F54BED"/>
    <w:rsid w:val="00F54FAF"/>
    <w:rsid w:val="00F55CDA"/>
    <w:rsid w:val="00F55E6C"/>
    <w:rsid w:val="00F564C8"/>
    <w:rsid w:val="00F568CA"/>
    <w:rsid w:val="00F56B0C"/>
    <w:rsid w:val="00F573E0"/>
    <w:rsid w:val="00F57E19"/>
    <w:rsid w:val="00F57F4D"/>
    <w:rsid w:val="00F60743"/>
    <w:rsid w:val="00F60D1D"/>
    <w:rsid w:val="00F62546"/>
    <w:rsid w:val="00F63308"/>
    <w:rsid w:val="00F65BA0"/>
    <w:rsid w:val="00F664A7"/>
    <w:rsid w:val="00F66E88"/>
    <w:rsid w:val="00F6769A"/>
    <w:rsid w:val="00F679DF"/>
    <w:rsid w:val="00F72599"/>
    <w:rsid w:val="00F73A1D"/>
    <w:rsid w:val="00F7453E"/>
    <w:rsid w:val="00F74711"/>
    <w:rsid w:val="00F7500A"/>
    <w:rsid w:val="00F76EDB"/>
    <w:rsid w:val="00F770BC"/>
    <w:rsid w:val="00F772BE"/>
    <w:rsid w:val="00F77581"/>
    <w:rsid w:val="00F80D8B"/>
    <w:rsid w:val="00F847F8"/>
    <w:rsid w:val="00F85146"/>
    <w:rsid w:val="00F93921"/>
    <w:rsid w:val="00F94572"/>
    <w:rsid w:val="00F95D9A"/>
    <w:rsid w:val="00F970EB"/>
    <w:rsid w:val="00FA2657"/>
    <w:rsid w:val="00FA2C6E"/>
    <w:rsid w:val="00FA34AF"/>
    <w:rsid w:val="00FA561F"/>
    <w:rsid w:val="00FA6322"/>
    <w:rsid w:val="00FA68F7"/>
    <w:rsid w:val="00FA73C3"/>
    <w:rsid w:val="00FB11FD"/>
    <w:rsid w:val="00FB45AA"/>
    <w:rsid w:val="00FB4A64"/>
    <w:rsid w:val="00FB4F6D"/>
    <w:rsid w:val="00FB760C"/>
    <w:rsid w:val="00FB76FB"/>
    <w:rsid w:val="00FB7B23"/>
    <w:rsid w:val="00FC6ABD"/>
    <w:rsid w:val="00FC73F5"/>
    <w:rsid w:val="00FD1250"/>
    <w:rsid w:val="00FD16BC"/>
    <w:rsid w:val="00FD29CD"/>
    <w:rsid w:val="00FD311B"/>
    <w:rsid w:val="00FD4BD7"/>
    <w:rsid w:val="00FD643F"/>
    <w:rsid w:val="00FE4E8F"/>
    <w:rsid w:val="00FE5081"/>
    <w:rsid w:val="00FE5617"/>
    <w:rsid w:val="00FE5DEB"/>
    <w:rsid w:val="00FE7398"/>
    <w:rsid w:val="00FF169E"/>
    <w:rsid w:val="00FF4026"/>
    <w:rsid w:val="00FF4E0A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09B532"/>
  <w14:defaultImageDpi w14:val="0"/>
  <w15:docId w15:val="{03096F2C-B5B6-43F3-8059-6CD5F860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C77"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hAnsiTheme="minorHAnsi"/>
      <w:sz w:val="22"/>
      <w:lang w:val="x-none" w:eastAsia="en-US"/>
    </w:rPr>
  </w:style>
  <w:style w:type="paragraph" w:styleId="NoSpacing">
    <w:name w:val="No Spacing"/>
    <w:uiPriority w:val="1"/>
    <w:qFormat/>
    <w:rsid w:val="002278E9"/>
    <w:pPr>
      <w:spacing w:beforeAutospacing="1" w:afterAutospacing="1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xs1">
    <w:name w:val="exs1"/>
    <w:basedOn w:val="DefaultParagraphFont"/>
    <w:rsid w:val="008F7276"/>
    <w:rPr>
      <w:rFonts w:cs="Times New Roman"/>
    </w:rPr>
  </w:style>
  <w:style w:type="character" w:customStyle="1" w:styleId="hy1">
    <w:name w:val="hy1"/>
    <w:basedOn w:val="DefaultParagraphFont"/>
    <w:rsid w:val="008F7276"/>
    <w:rPr>
      <w:rFonts w:cs="Times New Roman"/>
      <w:shd w:val="clear" w:color="auto" w:fill="FFFF66"/>
    </w:rPr>
  </w:style>
  <w:style w:type="paragraph" w:styleId="NormalWeb">
    <w:name w:val="Normal (Web)"/>
    <w:basedOn w:val="Normal"/>
    <w:uiPriority w:val="99"/>
    <w:semiHidden/>
    <w:unhideWhenUsed/>
    <w:rsid w:val="004C67B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au/translate?sl=auto&amp;tl=en&amp;js=y&amp;prev=_t&amp;hl=en&amp;ie=UTF-8&amp;u=http%3A%2F%2Fwww.cafsa.org.cn%2Fresearch%2Fshow-1662.html&amp;edit-text=&amp;act=url" TargetMode="External"/><Relationship Id="rId13" Type="http://schemas.openxmlformats.org/officeDocument/2006/relationships/hyperlink" Target="https://thepienews.com/news/uk-likely-overtaken-australia-cghe/" TargetMode="External"/><Relationship Id="rId3" Type="http://schemas.openxmlformats.org/officeDocument/2006/relationships/hyperlink" Target="https://www.iie.org/Research-and-Insights/Open-Doors/Fact-Sheets-and-Infographics/Fast-Facts" TargetMode="External"/><Relationship Id="rId7" Type="http://schemas.openxmlformats.org/officeDocument/2006/relationships/hyperlink" Target="https://translate.google.com.au/translate?sl=auto&amp;tl=en&amp;js=y&amp;prev=_t&amp;hl=en&amp;ie=UTF-8&amp;u=http%3A%2F%2Fwww.moe.gov.cn%2Fjyb_xwfb%2Fxw_fbh%2Fmoe_2069%2Fxwfbh_2017n%2Fxwfb_170301%2F170301_sjtj%2F201703%2Ft20170301_297677.html&amp;edit-text=&amp;act=url" TargetMode="External"/><Relationship Id="rId12" Type="http://schemas.openxmlformats.org/officeDocument/2006/relationships/hyperlink" Target="https://www.jasso.go.jp/en/about/statistics/intl_student/data2015.html" TargetMode="External"/><Relationship Id="rId2" Type="http://schemas.openxmlformats.org/officeDocument/2006/relationships/hyperlink" Target="http://uis.unesco.org/en/uis-student-flow" TargetMode="External"/><Relationship Id="rId1" Type="http://schemas.openxmlformats.org/officeDocument/2006/relationships/hyperlink" Target="http://data.uis.unesco.org/" TargetMode="External"/><Relationship Id="rId6" Type="http://schemas.openxmlformats.org/officeDocument/2006/relationships/hyperlink" Target="http://www.cic.gc.ca/opendata-donneesouvertes/data/IRCC_M_TRStudy_0009_E.xls" TargetMode="External"/><Relationship Id="rId11" Type="http://schemas.openxmlformats.org/officeDocument/2006/relationships/hyperlink" Target="https://www.jasso.go.jp/en/about/statistics/intl_student/data2017.html" TargetMode="External"/><Relationship Id="rId5" Type="http://schemas.openxmlformats.org/officeDocument/2006/relationships/hyperlink" Target="https://internationaleducation.gov.au/research/DataVisualisations/Pages/Student-number.aspx" TargetMode="External"/><Relationship Id="rId15" Type="http://schemas.openxmlformats.org/officeDocument/2006/relationships/hyperlink" Target="https://internationaleducation.gov.au/research/research-snapshots/pages/default.aspx" TargetMode="External"/><Relationship Id="rId10" Type="http://schemas.openxmlformats.org/officeDocument/2006/relationships/hyperlink" Target="http://www.wissenschaftweltoffen.de/kompakt/wwo2016_kompakt_en.pdf" TargetMode="External"/><Relationship Id="rId4" Type="http://schemas.openxmlformats.org/officeDocument/2006/relationships/hyperlink" Target="https://www.ukcisa.org.uk/Research--Policy/Statistics/International-student-statistics-UK-higher-education" TargetMode="External"/><Relationship Id="rId9" Type="http://schemas.openxmlformats.org/officeDocument/2006/relationships/hyperlink" Target="http://www.wissenschaftweltoffen.de/kompakt/wwo2018_kompakt_de.pdf" TargetMode="External"/><Relationship Id="rId14" Type="http://schemas.openxmlformats.org/officeDocument/2006/relationships/hyperlink" Target="mailto:IEResearch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05700-7FC4-4767-85E4-87D5E206BEA0}"/>
</file>

<file path=customXml/itemProps2.xml><?xml version="1.0" encoding="utf-8"?>
<ds:datastoreItem xmlns:ds="http://schemas.openxmlformats.org/officeDocument/2006/customXml" ds:itemID="{ADBB88E3-FD1C-4AFE-8985-448F7E73396E}"/>
</file>

<file path=customXml/itemProps3.xml><?xml version="1.0" encoding="utf-8"?>
<ds:datastoreItem xmlns:ds="http://schemas.openxmlformats.org/officeDocument/2006/customXml" ds:itemID="{9A78096F-B96B-4AB9-9E58-DCF4C13C03CD}"/>
</file>

<file path=customXml/itemProps4.xml><?xml version="1.0" encoding="utf-8"?>
<ds:datastoreItem xmlns:ds="http://schemas.openxmlformats.org/officeDocument/2006/customXml" ds:itemID="{B2AB6EA5-A6E6-478E-A4DF-E93898FCCD86}"/>
</file>

<file path=docProps/app.xml><?xml version="1.0" encoding="utf-8"?>
<Properties xmlns="http://schemas.openxmlformats.org/officeDocument/2006/extended-properties" xmlns:vt="http://schemas.openxmlformats.org/officeDocument/2006/docPropsVTypes">
  <Template>12D6E146.dotm</Template>
  <TotalTime>41</TotalTime>
  <Pages>1</Pages>
  <Words>621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NERLICH,Steve</cp:lastModifiedBy>
  <cp:revision>8</cp:revision>
  <cp:lastPrinted>2018-07-27T00:44:00Z</cp:lastPrinted>
  <dcterms:created xsi:type="dcterms:W3CDTF">2018-07-16T05:37:00Z</dcterms:created>
  <dcterms:modified xsi:type="dcterms:W3CDTF">2018-07-27T00:44:00Z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29100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