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Caption w:val="Table"/>
        <w:tblDescription w:val="The first row is a decorative banner showing the Department of Education and Training logo and the heading titled ‘Research Snapshot'. The second row shows the research snapshot date (June 2016). The third row shows the title of the research snapshot, ‘Study locations of international students in 2015’.&#10;"/>
      </w:tblPr>
      <w:tblGrid>
        <w:gridCol w:w="11319"/>
      </w:tblGrid>
      <w:tr w:rsidR="007C1CA3" w:rsidTr="00D3643F">
        <w:trPr>
          <w:trHeight w:val="284"/>
        </w:trPr>
        <w:tc>
          <w:tcPr>
            <w:tcW w:w="11319" w:type="dxa"/>
          </w:tcPr>
          <w:p w:rsidR="007C1CA3" w:rsidRDefault="001E3B0C" w:rsidP="00304EF9">
            <w:r>
              <w:rPr>
                <w:noProof/>
              </w:rPr>
              <w:drawing>
                <wp:inline distT="0" distB="0" distL="0" distR="0" wp14:anchorId="7F658313" wp14:editId="74626D1B">
                  <wp:extent cx="7037222" cy="1097280"/>
                  <wp:effectExtent l="0" t="0" r="0" b="7620"/>
                  <wp:docPr id="1" name="Picture 1" descr="Showing the Department of Education and Training logo and the heading titled 'Research Snapshot'." title="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r="2532"/>
                          <a:stretch/>
                        </pic:blipFill>
                        <pic:spPr bwMode="auto">
                          <a:xfrm>
                            <a:off x="0" y="0"/>
                            <a:ext cx="7042455" cy="1098096"/>
                          </a:xfrm>
                          <a:prstGeom prst="rect">
                            <a:avLst/>
                          </a:prstGeom>
                          <a:ln>
                            <a:noFill/>
                          </a:ln>
                          <a:extLst>
                            <a:ext uri="{53640926-AAD7-44D8-BBD7-CCE9431645EC}">
                              <a14:shadowObscured xmlns:a14="http://schemas.microsoft.com/office/drawing/2010/main"/>
                            </a:ext>
                          </a:extLst>
                        </pic:spPr>
                      </pic:pic>
                    </a:graphicData>
                  </a:graphic>
                </wp:inline>
              </w:drawing>
            </w:r>
          </w:p>
        </w:tc>
      </w:tr>
      <w:tr w:rsidR="007C1CA3" w:rsidTr="00D3643F">
        <w:trPr>
          <w:trHeight w:hRule="exact" w:val="340"/>
        </w:trPr>
        <w:tc>
          <w:tcPr>
            <w:tcW w:w="11319" w:type="dxa"/>
          </w:tcPr>
          <w:p w:rsidR="007C1CA3" w:rsidRPr="001871E9" w:rsidRDefault="00FB7402" w:rsidP="0097508A">
            <w:pPr>
              <w:spacing w:before="80"/>
              <w:ind w:right="57"/>
              <w:jc w:val="right"/>
              <w:rPr>
                <w:b/>
                <w:color w:val="000000"/>
                <w:sz w:val="20"/>
              </w:rPr>
            </w:pPr>
            <w:r>
              <w:rPr>
                <w:b/>
                <w:color w:val="000000"/>
                <w:sz w:val="20"/>
              </w:rPr>
              <w:t>June</w:t>
            </w:r>
            <w:r w:rsidR="00263025" w:rsidRPr="001871E9">
              <w:rPr>
                <w:b/>
                <w:color w:val="000000"/>
                <w:sz w:val="20"/>
              </w:rPr>
              <w:t xml:space="preserve"> </w:t>
            </w:r>
            <w:r w:rsidR="007C1CA3" w:rsidRPr="001871E9">
              <w:rPr>
                <w:b/>
                <w:color w:val="000000"/>
                <w:sz w:val="20"/>
              </w:rPr>
              <w:t>20</w:t>
            </w:r>
            <w:r w:rsidR="00322227" w:rsidRPr="001871E9">
              <w:rPr>
                <w:b/>
                <w:color w:val="000000"/>
                <w:sz w:val="20"/>
              </w:rPr>
              <w:t>1</w:t>
            </w:r>
            <w:r w:rsidR="0097508A">
              <w:rPr>
                <w:b/>
                <w:color w:val="000000"/>
                <w:sz w:val="20"/>
              </w:rPr>
              <w:t>6</w:t>
            </w:r>
          </w:p>
        </w:tc>
      </w:tr>
      <w:tr w:rsidR="007C1CA3" w:rsidRPr="001871E9" w:rsidTr="001871E9">
        <w:trPr>
          <w:trHeight w:val="263"/>
        </w:trPr>
        <w:tc>
          <w:tcPr>
            <w:tcW w:w="11319" w:type="dxa"/>
          </w:tcPr>
          <w:p w:rsidR="007C1CA3" w:rsidRPr="00AE62CE" w:rsidRDefault="009A2050" w:rsidP="00060443">
            <w:pPr>
              <w:pStyle w:val="heading10"/>
              <w:rPr>
                <w:rFonts w:asciiTheme="minorHAnsi" w:hAnsiTheme="minorHAnsi" w:cstheme="minorHAnsi"/>
                <w:sz w:val="28"/>
                <w:szCs w:val="28"/>
              </w:rPr>
            </w:pPr>
            <w:r>
              <w:rPr>
                <w:rFonts w:asciiTheme="minorHAnsi" w:hAnsiTheme="minorHAnsi" w:cstheme="minorHAnsi"/>
                <w:szCs w:val="28"/>
              </w:rPr>
              <w:t>S</w:t>
            </w:r>
            <w:r w:rsidR="00460B09" w:rsidRPr="004D0B24">
              <w:rPr>
                <w:rFonts w:asciiTheme="minorHAnsi" w:hAnsiTheme="minorHAnsi" w:cstheme="minorHAnsi"/>
                <w:szCs w:val="28"/>
              </w:rPr>
              <w:t>tudy locations of international students</w:t>
            </w:r>
            <w:r w:rsidR="00264ED4" w:rsidRPr="004D0B24">
              <w:rPr>
                <w:rFonts w:asciiTheme="minorHAnsi" w:hAnsiTheme="minorHAnsi" w:cstheme="minorHAnsi"/>
                <w:szCs w:val="28"/>
              </w:rPr>
              <w:t xml:space="preserve"> </w:t>
            </w:r>
            <w:r w:rsidR="00E26C3F" w:rsidRPr="004D0B24">
              <w:rPr>
                <w:rFonts w:asciiTheme="minorHAnsi" w:hAnsiTheme="minorHAnsi" w:cstheme="minorHAnsi"/>
                <w:szCs w:val="28"/>
              </w:rPr>
              <w:t>in 20</w:t>
            </w:r>
            <w:r w:rsidR="003F1548" w:rsidRPr="004D0B24">
              <w:rPr>
                <w:rFonts w:asciiTheme="minorHAnsi" w:hAnsiTheme="minorHAnsi" w:cstheme="minorHAnsi"/>
                <w:szCs w:val="28"/>
              </w:rPr>
              <w:t>1</w:t>
            </w:r>
            <w:r w:rsidR="0097508A" w:rsidRPr="004D0B24">
              <w:rPr>
                <w:rFonts w:asciiTheme="minorHAnsi" w:hAnsiTheme="minorHAnsi" w:cstheme="minorHAnsi"/>
                <w:szCs w:val="28"/>
              </w:rPr>
              <w:t>5</w:t>
            </w:r>
          </w:p>
        </w:tc>
      </w:tr>
    </w:tbl>
    <w:p w:rsidR="00022C3C" w:rsidRDefault="00022C3C" w:rsidP="00022C3C">
      <w:pPr>
        <w:spacing w:before="120" w:after="40"/>
        <w:rPr>
          <w:sz w:val="18"/>
          <w:szCs w:val="18"/>
        </w:rPr>
        <w:sectPr w:rsidR="00022C3C" w:rsidSect="00D810B1">
          <w:footerReference w:type="default" r:id="rId10"/>
          <w:footnotePr>
            <w:numFmt w:val="chicago"/>
          </w:footnotePr>
          <w:pgSz w:w="11906" w:h="16838" w:code="9"/>
          <w:pgMar w:top="238" w:right="340" w:bottom="272" w:left="397" w:header="567" w:footer="259" w:gutter="0"/>
          <w:cols w:space="720"/>
          <w:docGrid w:linePitch="272"/>
        </w:sectPr>
      </w:pPr>
    </w:p>
    <w:p w:rsidR="005746C8" w:rsidRDefault="005746C8" w:rsidP="00D3643F">
      <w:pPr>
        <w:rPr>
          <w:sz w:val="14"/>
          <w:szCs w:val="14"/>
        </w:rPr>
      </w:pPr>
    </w:p>
    <w:p w:rsidR="00336FC2" w:rsidRDefault="00336FC2" w:rsidP="005746C8">
      <w:pPr>
        <w:pStyle w:val="HeadingMajor"/>
        <w:pageBreakBefore w:val="0"/>
        <w:widowControl w:val="0"/>
        <w:pBdr>
          <w:top w:val="none" w:sz="0" w:space="0" w:color="auto"/>
          <w:left w:val="none" w:sz="0" w:space="0" w:color="auto"/>
          <w:bottom w:val="none" w:sz="0" w:space="0" w:color="auto"/>
          <w:right w:val="none" w:sz="0" w:space="0" w:color="auto"/>
        </w:pBdr>
        <w:shd w:val="clear" w:color="auto" w:fill="auto"/>
        <w:spacing w:before="0" w:after="80" w:line="240" w:lineRule="auto"/>
        <w:jc w:val="both"/>
        <w:outlineLvl w:val="0"/>
        <w:rPr>
          <w:rFonts w:asciiTheme="minorHAnsi" w:hAnsiTheme="minorHAnsi" w:cstheme="minorHAnsi"/>
          <w:b w:val="0"/>
          <w:bCs w:val="0"/>
          <w:color w:val="000000" w:themeColor="text1"/>
          <w:sz w:val="22"/>
          <w:szCs w:val="22"/>
        </w:rPr>
        <w:sectPr w:rsidR="00336FC2" w:rsidSect="00D810B1">
          <w:footnotePr>
            <w:numFmt w:val="chicago"/>
          </w:footnotePr>
          <w:type w:val="continuous"/>
          <w:pgSz w:w="11906" w:h="16838" w:code="9"/>
          <w:pgMar w:top="238" w:right="340" w:bottom="272" w:left="397" w:header="567" w:footer="259" w:gutter="0"/>
          <w:cols w:space="720"/>
          <w:docGrid w:linePitch="272"/>
        </w:sectPr>
      </w:pPr>
    </w:p>
    <w:p w:rsidR="001E024B" w:rsidRDefault="00E30950" w:rsidP="00140A41">
      <w:pPr>
        <w:spacing w:before="120" w:after="120"/>
        <w:rPr>
          <w:rFonts w:asciiTheme="minorHAnsi" w:hAnsiTheme="minorHAnsi" w:cstheme="minorHAnsi"/>
          <w:szCs w:val="20"/>
        </w:rPr>
      </w:pPr>
      <w:r>
        <w:rPr>
          <w:rFonts w:asciiTheme="minorHAnsi" w:hAnsiTheme="minorHAnsi" w:cstheme="minorHAnsi"/>
          <w:color w:val="000000" w:themeColor="text1"/>
        </w:rPr>
        <w:lastRenderedPageBreak/>
        <w:t xml:space="preserve">In 2015, </w:t>
      </w:r>
      <w:r w:rsidR="004A252B">
        <w:rPr>
          <w:rFonts w:asciiTheme="minorHAnsi" w:hAnsiTheme="minorHAnsi" w:cstheme="minorHAnsi"/>
          <w:color w:val="000000" w:themeColor="text1"/>
        </w:rPr>
        <w:t xml:space="preserve">around </w:t>
      </w:r>
      <w:r w:rsidR="005E4DCA">
        <w:rPr>
          <w:rFonts w:asciiTheme="minorHAnsi" w:hAnsiTheme="minorHAnsi" w:cstheme="minorHAnsi"/>
          <w:color w:val="000000" w:themeColor="text1"/>
        </w:rPr>
        <w:t>five</w:t>
      </w:r>
      <w:r w:rsidR="008D5D9A">
        <w:rPr>
          <w:rFonts w:asciiTheme="minorHAnsi" w:hAnsiTheme="minorHAnsi" w:cstheme="minorHAnsi"/>
          <w:color w:val="000000" w:themeColor="text1"/>
        </w:rPr>
        <w:t xml:space="preserve"> per cent</w:t>
      </w:r>
      <w:r w:rsidR="009A2050">
        <w:rPr>
          <w:rFonts w:asciiTheme="minorHAnsi" w:hAnsiTheme="minorHAnsi" w:cstheme="minorHAnsi"/>
          <w:color w:val="000000" w:themeColor="text1"/>
        </w:rPr>
        <w:t xml:space="preserve"> of onshore</w:t>
      </w:r>
      <w:r w:rsidR="00645FA9">
        <w:rPr>
          <w:rFonts w:asciiTheme="minorHAnsi" w:hAnsiTheme="minorHAnsi" w:cstheme="minorHAnsi"/>
          <w:color w:val="000000" w:themeColor="text1"/>
        </w:rPr>
        <w:t xml:space="preserve"> international student enrolments </w:t>
      </w:r>
      <w:r w:rsidR="009A2050">
        <w:rPr>
          <w:rFonts w:asciiTheme="minorHAnsi" w:hAnsiTheme="minorHAnsi" w:cstheme="minorHAnsi"/>
          <w:color w:val="000000" w:themeColor="text1"/>
        </w:rPr>
        <w:t xml:space="preserve">in Australia </w:t>
      </w:r>
      <w:r w:rsidR="00645FA9">
        <w:rPr>
          <w:rFonts w:asciiTheme="minorHAnsi" w:hAnsiTheme="minorHAnsi" w:cstheme="minorHAnsi"/>
          <w:color w:val="000000" w:themeColor="text1"/>
        </w:rPr>
        <w:t xml:space="preserve">were based </w:t>
      </w:r>
      <w:r w:rsidR="004A252B">
        <w:rPr>
          <w:rFonts w:asciiTheme="minorHAnsi" w:hAnsiTheme="minorHAnsi" w:cstheme="minorHAnsi"/>
          <w:color w:val="000000" w:themeColor="text1"/>
        </w:rPr>
        <w:t>in regional campuses</w:t>
      </w:r>
      <w:r w:rsidR="00053ECF">
        <w:rPr>
          <w:rFonts w:asciiTheme="minorHAnsi" w:hAnsiTheme="minorHAnsi" w:cstheme="minorHAnsi"/>
          <w:color w:val="000000" w:themeColor="text1"/>
        </w:rPr>
        <w:t xml:space="preserve"> of Australia</w:t>
      </w:r>
      <w:r>
        <w:rPr>
          <w:rFonts w:asciiTheme="minorHAnsi" w:hAnsiTheme="minorHAnsi" w:cstheme="minorHAnsi"/>
          <w:color w:val="000000" w:themeColor="text1"/>
        </w:rPr>
        <w:t>n institutions</w:t>
      </w:r>
      <w:r w:rsidR="00053ECF">
        <w:rPr>
          <w:rFonts w:asciiTheme="minorHAnsi" w:hAnsiTheme="minorHAnsi" w:cstheme="minorHAnsi"/>
          <w:color w:val="000000" w:themeColor="text1"/>
        </w:rPr>
        <w:t>.</w:t>
      </w:r>
      <w:r w:rsidR="004A573E">
        <w:rPr>
          <w:rFonts w:asciiTheme="minorHAnsi" w:hAnsiTheme="minorHAnsi" w:cstheme="minorHAnsi"/>
          <w:color w:val="000000" w:themeColor="text1"/>
        </w:rPr>
        <w:t xml:space="preserve"> </w:t>
      </w:r>
      <w:r w:rsidR="0046163A">
        <w:rPr>
          <w:rFonts w:asciiTheme="minorHAnsi" w:hAnsiTheme="minorHAnsi" w:cstheme="minorHAnsi"/>
        </w:rPr>
        <w:t>Queensland had</w:t>
      </w:r>
      <w:r w:rsidR="001E024B" w:rsidRPr="004A573E">
        <w:rPr>
          <w:rFonts w:asciiTheme="minorHAnsi" w:hAnsiTheme="minorHAnsi" w:cstheme="minorHAnsi"/>
        </w:rPr>
        <w:t xml:space="preserve"> the highest pr</w:t>
      </w:r>
      <w:r w:rsidR="00371733">
        <w:rPr>
          <w:rFonts w:asciiTheme="minorHAnsi" w:hAnsiTheme="minorHAnsi" w:cstheme="minorHAnsi"/>
        </w:rPr>
        <w:t>oportion</w:t>
      </w:r>
      <w:r w:rsidR="009A2050">
        <w:rPr>
          <w:rFonts w:asciiTheme="minorHAnsi" w:hAnsiTheme="minorHAnsi" w:cstheme="minorHAnsi"/>
        </w:rPr>
        <w:t xml:space="preserve"> in regional campuses</w:t>
      </w:r>
      <w:r w:rsidR="00371733">
        <w:rPr>
          <w:rFonts w:asciiTheme="minorHAnsi" w:hAnsiTheme="minorHAnsi" w:cstheme="minorHAnsi"/>
        </w:rPr>
        <w:t xml:space="preserve"> (9</w:t>
      </w:r>
      <w:r w:rsidR="00F21C7C">
        <w:rPr>
          <w:rFonts w:asciiTheme="minorHAnsi" w:hAnsiTheme="minorHAnsi" w:cstheme="minorHAnsi"/>
        </w:rPr>
        <w:t>%</w:t>
      </w:r>
      <w:r w:rsidR="001E024B" w:rsidRPr="004A573E">
        <w:rPr>
          <w:rFonts w:asciiTheme="minorHAnsi" w:hAnsiTheme="minorHAnsi" w:cstheme="minorHAnsi"/>
        </w:rPr>
        <w:t xml:space="preserve">) </w:t>
      </w:r>
      <w:r w:rsidR="00C46D63">
        <w:rPr>
          <w:rFonts w:asciiTheme="minorHAnsi" w:hAnsiTheme="minorHAnsi" w:cstheme="minorHAnsi"/>
        </w:rPr>
        <w:t xml:space="preserve">followed by </w:t>
      </w:r>
      <w:r w:rsidR="00F90B12">
        <w:rPr>
          <w:rFonts w:asciiTheme="minorHAnsi" w:hAnsiTheme="minorHAnsi" w:cstheme="minorHAnsi"/>
        </w:rPr>
        <w:t>NSW</w:t>
      </w:r>
      <w:r w:rsidR="00C46D63">
        <w:rPr>
          <w:rFonts w:asciiTheme="minorHAnsi" w:hAnsiTheme="minorHAnsi" w:cstheme="minorHAnsi"/>
        </w:rPr>
        <w:t xml:space="preserve"> (</w:t>
      </w:r>
      <w:r w:rsidR="007867AD">
        <w:rPr>
          <w:rFonts w:asciiTheme="minorHAnsi" w:hAnsiTheme="minorHAnsi" w:cstheme="minorHAnsi"/>
        </w:rPr>
        <w:t>7</w:t>
      </w:r>
      <w:r w:rsidR="00F21C7C">
        <w:rPr>
          <w:rFonts w:asciiTheme="minorHAnsi" w:hAnsiTheme="minorHAnsi" w:cstheme="minorHAnsi"/>
        </w:rPr>
        <w:t>%</w:t>
      </w:r>
      <w:r w:rsidR="00371733">
        <w:rPr>
          <w:rFonts w:asciiTheme="minorHAnsi" w:hAnsiTheme="minorHAnsi" w:cstheme="minorHAnsi"/>
        </w:rPr>
        <w:t>)</w:t>
      </w:r>
      <w:r w:rsidR="00AA2B32">
        <w:rPr>
          <w:rFonts w:asciiTheme="minorHAnsi" w:hAnsiTheme="minorHAnsi" w:cstheme="minorHAnsi"/>
        </w:rPr>
        <w:t xml:space="preserve"> and Victoria (2%)</w:t>
      </w:r>
      <w:r w:rsidR="00D3091D" w:rsidRPr="004A573E">
        <w:rPr>
          <w:rFonts w:asciiTheme="minorHAnsi" w:hAnsiTheme="minorHAnsi" w:cstheme="minorHAnsi"/>
        </w:rPr>
        <w:t xml:space="preserve"> </w:t>
      </w:r>
      <w:proofErr w:type="gramStart"/>
      <w:r w:rsidR="004A573E" w:rsidRPr="004A573E">
        <w:rPr>
          <w:rFonts w:asciiTheme="minorHAnsi" w:hAnsiTheme="minorHAnsi" w:cstheme="minorHAnsi"/>
        </w:rPr>
        <w:t>(Table</w:t>
      </w:r>
      <w:r w:rsidR="00D3091D" w:rsidRPr="004A573E">
        <w:rPr>
          <w:rFonts w:asciiTheme="minorHAnsi" w:hAnsiTheme="minorHAnsi" w:cstheme="minorHAnsi"/>
        </w:rPr>
        <w:t xml:space="preserve"> 1).</w:t>
      </w:r>
      <w:proofErr w:type="gramEnd"/>
      <w:r w:rsidR="00140A41">
        <w:rPr>
          <w:rFonts w:asciiTheme="minorHAnsi" w:hAnsiTheme="minorHAnsi" w:cstheme="minorHAnsi"/>
          <w:b/>
        </w:rPr>
        <w:t xml:space="preserve"> </w:t>
      </w:r>
      <w:r w:rsidR="00140A41" w:rsidRPr="00220E2E">
        <w:rPr>
          <w:rFonts w:asciiTheme="minorHAnsi" w:hAnsiTheme="minorHAnsi" w:cstheme="minorHAnsi"/>
          <w:szCs w:val="20"/>
        </w:rPr>
        <w:t xml:space="preserve">The majority (86%) of </w:t>
      </w:r>
      <w:r w:rsidR="00F90B12">
        <w:rPr>
          <w:rFonts w:asciiTheme="minorHAnsi" w:hAnsiTheme="minorHAnsi" w:cstheme="minorHAnsi"/>
          <w:szCs w:val="20"/>
        </w:rPr>
        <w:t>enrolments</w:t>
      </w:r>
      <w:r w:rsidR="00140A41" w:rsidRPr="00220E2E">
        <w:rPr>
          <w:rFonts w:asciiTheme="minorHAnsi" w:hAnsiTheme="minorHAnsi" w:cstheme="minorHAnsi"/>
          <w:szCs w:val="20"/>
        </w:rPr>
        <w:t xml:space="preserve"> in regional campuses</w:t>
      </w:r>
      <w:r w:rsidR="009A2050">
        <w:rPr>
          <w:rFonts w:asciiTheme="minorHAnsi" w:hAnsiTheme="minorHAnsi" w:cstheme="minorHAnsi"/>
          <w:szCs w:val="20"/>
        </w:rPr>
        <w:t xml:space="preserve"> across Australia</w:t>
      </w:r>
      <w:r w:rsidR="00140A41" w:rsidRPr="00220E2E">
        <w:rPr>
          <w:rFonts w:asciiTheme="minorHAnsi" w:hAnsiTheme="minorHAnsi" w:cstheme="minorHAnsi"/>
          <w:szCs w:val="20"/>
        </w:rPr>
        <w:t xml:space="preserve"> </w:t>
      </w:r>
      <w:r w:rsidR="00E57A0B">
        <w:rPr>
          <w:rFonts w:asciiTheme="minorHAnsi" w:hAnsiTheme="minorHAnsi" w:cstheme="minorHAnsi"/>
          <w:szCs w:val="20"/>
        </w:rPr>
        <w:t xml:space="preserve">were in ten </w:t>
      </w:r>
      <w:r w:rsidR="00140A41" w:rsidRPr="00220E2E">
        <w:rPr>
          <w:rFonts w:asciiTheme="minorHAnsi" w:hAnsiTheme="minorHAnsi" w:cstheme="minorHAnsi"/>
          <w:szCs w:val="20"/>
        </w:rPr>
        <w:t>l</w:t>
      </w:r>
      <w:r w:rsidR="00E57A0B">
        <w:rPr>
          <w:rFonts w:asciiTheme="minorHAnsi" w:hAnsiTheme="minorHAnsi" w:cstheme="minorHAnsi"/>
          <w:szCs w:val="20"/>
        </w:rPr>
        <w:t>ocal</w:t>
      </w:r>
      <w:r w:rsidR="00140A41" w:rsidRPr="00220E2E">
        <w:rPr>
          <w:rFonts w:asciiTheme="minorHAnsi" w:hAnsiTheme="minorHAnsi" w:cstheme="minorHAnsi"/>
          <w:szCs w:val="20"/>
        </w:rPr>
        <w:t xml:space="preserve"> areas of </w:t>
      </w:r>
      <w:r w:rsidR="00F90B12">
        <w:rPr>
          <w:rFonts w:asciiTheme="minorHAnsi" w:hAnsiTheme="minorHAnsi" w:cstheme="minorHAnsi"/>
          <w:szCs w:val="20"/>
        </w:rPr>
        <w:t>NSW</w:t>
      </w:r>
      <w:r w:rsidR="00140A41" w:rsidRPr="00220E2E">
        <w:rPr>
          <w:rFonts w:asciiTheme="minorHAnsi" w:hAnsiTheme="minorHAnsi" w:cstheme="minorHAnsi"/>
          <w:szCs w:val="20"/>
        </w:rPr>
        <w:t>, Victoria and Queensland (Table 2).</w:t>
      </w:r>
    </w:p>
    <w:p w:rsidR="00CB745B" w:rsidRPr="00140A41" w:rsidRDefault="004C651E" w:rsidP="00CB745B">
      <w:pPr>
        <w:jc w:val="center"/>
        <w:rPr>
          <w:rFonts w:asciiTheme="minorHAnsi" w:hAnsiTheme="minorHAnsi" w:cstheme="minorHAnsi"/>
          <w:szCs w:val="20"/>
        </w:rPr>
      </w:pPr>
      <w:r w:rsidRPr="004C651E">
        <w:rPr>
          <w:noProof/>
        </w:rPr>
        <w:drawing>
          <wp:inline distT="0" distB="0" distL="0" distR="0" wp14:anchorId="0DC609B7" wp14:editId="016F5D3E">
            <wp:extent cx="3257550" cy="2261856"/>
            <wp:effectExtent l="0" t="0" r="0" b="5715"/>
            <wp:docPr id="5" name="Picture 5" descr="New South Wales has 93.1 per cent (or 224,196) of its total international student enrolments in capital areas and 6.9 per cent (or 16,615 enrolments) in regional area.&#10;&#10;Victoria has 97.6 per cent (or 190,148) of its total international student enrolments in capital areas and 2.4 per cent (or 4,722 enrolments) in regional area.&#10;&#10;Queensland has 90.6 per cent (or 92,624) of its total international student enrolments in capital areas and 9.4 per cent (or 9,599 enrolments) in regional area.&#10;&#10;South Australia has 99.7 per cent (or 31,868) of its total international student enrolments in capital areas and 0.3 per cent (or 111 enrolments) in regional area.&#10;&#10;Western Australia has 99.7 per cent (or 49,752) of its total international student enrolments in capital areas and 0.3 per cent (or 162 enrolments) in regional area.&#10;&#10;Tasmania has 99.7 per cent (or 4,962) of its total international student enrolments in capital areas and 2.3 per cent (or 116 enrolments) in regional area.&#10;&#10;Northern Territory has 99.6 per cent (or 2,137) of its total international student enrolments in capital areas and 0.4 per cent (or 9 enrolments) in regional area.&#10;&#10;Australian Capital Territory has 100 per cent (or 12,780) of its total international student enrolments in capital areas and none in regional area.&#10;&#10;In total, 95.1 per cent (or 608,467) of all states and territories’ international student enrolments is in capital areas and 4.9 per cent (or 31,334 enrolments) is in regional area.&#10;" title="Table 1. Distribution of international student enrolments in capital and regional areas,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8255" cy="2269289"/>
                    </a:xfrm>
                    <a:prstGeom prst="rect">
                      <a:avLst/>
                    </a:prstGeom>
                    <a:noFill/>
                    <a:ln>
                      <a:noFill/>
                    </a:ln>
                  </pic:spPr>
                </pic:pic>
              </a:graphicData>
            </a:graphic>
          </wp:inline>
        </w:drawing>
      </w:r>
    </w:p>
    <w:p w:rsidR="00E816C2" w:rsidRDefault="004A573E" w:rsidP="00666448">
      <w:pPr>
        <w:ind w:left="142"/>
        <w:rPr>
          <w:rFonts w:ascii="Calibri" w:hAnsi="Calibri" w:cs="Calibri"/>
          <w:i/>
          <w:iCs/>
          <w:color w:val="000000"/>
          <w:sz w:val="16"/>
          <w:szCs w:val="18"/>
        </w:rPr>
      </w:pPr>
      <w:r w:rsidRPr="004A573E">
        <w:rPr>
          <w:rFonts w:ascii="Calibri" w:hAnsi="Calibri" w:cs="Calibri"/>
          <w:i/>
          <w:iCs/>
          <w:color w:val="000000"/>
          <w:sz w:val="16"/>
          <w:szCs w:val="18"/>
        </w:rPr>
        <w:t>*Capital areas include all state and territory capital cities and the Gold Coast.</w:t>
      </w:r>
    </w:p>
    <w:p w:rsidR="009A2050" w:rsidRPr="00E816C2" w:rsidRDefault="009A2050" w:rsidP="00666448">
      <w:pPr>
        <w:ind w:left="142"/>
        <w:rPr>
          <w:rFonts w:ascii="Calibri" w:hAnsi="Calibri" w:cs="Calibri"/>
          <w:i/>
          <w:iCs/>
          <w:color w:val="000000"/>
          <w:sz w:val="16"/>
          <w:szCs w:val="18"/>
        </w:rPr>
      </w:pPr>
      <w:r w:rsidRPr="009A2050">
        <w:rPr>
          <w:rFonts w:ascii="Calibri" w:hAnsi="Calibri" w:cs="Calibri"/>
          <w:i/>
          <w:iCs/>
          <w:color w:val="000000"/>
          <w:sz w:val="16"/>
          <w:szCs w:val="18"/>
        </w:rPr>
        <w:t xml:space="preserve">** There were 3,463 enrolments without </w:t>
      </w:r>
      <w:r w:rsidR="007867AD">
        <w:rPr>
          <w:rFonts w:ascii="Calibri" w:hAnsi="Calibri" w:cs="Calibri"/>
          <w:i/>
          <w:iCs/>
          <w:color w:val="000000"/>
          <w:sz w:val="16"/>
          <w:szCs w:val="18"/>
        </w:rPr>
        <w:t xml:space="preserve">a </w:t>
      </w:r>
      <w:r w:rsidRPr="009A2050">
        <w:rPr>
          <w:rFonts w:ascii="Calibri" w:hAnsi="Calibri" w:cs="Calibri"/>
          <w:i/>
          <w:iCs/>
          <w:color w:val="000000"/>
          <w:sz w:val="16"/>
          <w:szCs w:val="18"/>
        </w:rPr>
        <w:t>study location reported.</w:t>
      </w:r>
    </w:p>
    <w:tbl>
      <w:tblPr>
        <w:tblW w:w="5103" w:type="dxa"/>
        <w:tblInd w:w="250" w:type="dxa"/>
        <w:tblLook w:val="04A0" w:firstRow="1" w:lastRow="0" w:firstColumn="1" w:lastColumn="0" w:noHBand="0" w:noVBand="1"/>
      </w:tblPr>
      <w:tblGrid>
        <w:gridCol w:w="976"/>
        <w:gridCol w:w="2284"/>
        <w:gridCol w:w="851"/>
        <w:gridCol w:w="992"/>
      </w:tblGrid>
      <w:tr w:rsidR="005A2A80" w:rsidRPr="005A2A80" w:rsidTr="005A2A80">
        <w:trPr>
          <w:trHeight w:val="438"/>
        </w:trPr>
        <w:tc>
          <w:tcPr>
            <w:tcW w:w="510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5A2A80" w:rsidRPr="005A2A80" w:rsidRDefault="005A2A80" w:rsidP="005A2A80">
            <w:pPr>
              <w:rPr>
                <w:rFonts w:asciiTheme="minorHAnsi" w:hAnsiTheme="minorHAnsi" w:cstheme="minorHAnsi"/>
                <w:b/>
                <w:bCs/>
                <w:color w:val="000000"/>
                <w:sz w:val="18"/>
                <w:szCs w:val="18"/>
              </w:rPr>
            </w:pPr>
            <w:r w:rsidRPr="005A2A80">
              <w:rPr>
                <w:rFonts w:asciiTheme="minorHAnsi" w:hAnsiTheme="minorHAnsi" w:cstheme="minorHAnsi"/>
                <w:b/>
                <w:bCs/>
                <w:color w:val="000000"/>
                <w:sz w:val="18"/>
                <w:szCs w:val="18"/>
              </w:rPr>
              <w:t xml:space="preserve">Table 2. Top ten locations for international student enrolments in regional areas, 2015 </w:t>
            </w:r>
          </w:p>
        </w:tc>
      </w:tr>
      <w:tr w:rsidR="005A2A80" w:rsidRPr="005A2A80" w:rsidTr="005A2A80">
        <w:trPr>
          <w:trHeight w:val="417"/>
        </w:trPr>
        <w:tc>
          <w:tcPr>
            <w:tcW w:w="976" w:type="dxa"/>
            <w:tcBorders>
              <w:top w:val="nil"/>
              <w:left w:val="single" w:sz="4" w:space="0" w:color="auto"/>
              <w:bottom w:val="single" w:sz="4" w:space="0" w:color="auto"/>
              <w:right w:val="single" w:sz="4" w:space="0" w:color="auto"/>
            </w:tcBorders>
            <w:shd w:val="clear" w:color="000000" w:fill="538DD5"/>
            <w:vAlign w:val="bottom"/>
            <w:hideMark/>
          </w:tcPr>
          <w:p w:rsidR="005A2A80" w:rsidRPr="005A2A80" w:rsidRDefault="005A2A80" w:rsidP="005A2A80">
            <w:pPr>
              <w:jc w:val="center"/>
              <w:rPr>
                <w:rFonts w:asciiTheme="minorHAnsi" w:hAnsiTheme="minorHAnsi" w:cstheme="minorHAnsi"/>
                <w:b/>
                <w:bCs/>
                <w:color w:val="FFFFFF"/>
                <w:sz w:val="18"/>
                <w:szCs w:val="18"/>
              </w:rPr>
            </w:pPr>
            <w:r w:rsidRPr="005A2A80">
              <w:rPr>
                <w:rFonts w:asciiTheme="minorHAnsi" w:hAnsiTheme="minorHAnsi" w:cstheme="minorHAnsi"/>
                <w:b/>
                <w:bCs/>
                <w:color w:val="FFFFFF"/>
                <w:sz w:val="18"/>
                <w:szCs w:val="18"/>
              </w:rPr>
              <w:t>State / Territory</w:t>
            </w:r>
          </w:p>
        </w:tc>
        <w:tc>
          <w:tcPr>
            <w:tcW w:w="2284" w:type="dxa"/>
            <w:tcBorders>
              <w:top w:val="nil"/>
              <w:left w:val="nil"/>
              <w:bottom w:val="single" w:sz="4" w:space="0" w:color="auto"/>
              <w:right w:val="single" w:sz="4" w:space="0" w:color="auto"/>
            </w:tcBorders>
            <w:shd w:val="clear" w:color="000000" w:fill="538DD5"/>
            <w:noWrap/>
            <w:vAlign w:val="bottom"/>
            <w:hideMark/>
          </w:tcPr>
          <w:p w:rsidR="005A2A80" w:rsidRPr="005A2A80" w:rsidRDefault="005A2A80" w:rsidP="005A2A80">
            <w:pPr>
              <w:jc w:val="center"/>
              <w:rPr>
                <w:rFonts w:asciiTheme="minorHAnsi" w:hAnsiTheme="minorHAnsi" w:cstheme="minorHAnsi"/>
                <w:b/>
                <w:bCs/>
                <w:color w:val="FFFFFF"/>
                <w:sz w:val="18"/>
                <w:szCs w:val="18"/>
              </w:rPr>
            </w:pPr>
            <w:r w:rsidRPr="005A2A80">
              <w:rPr>
                <w:rFonts w:asciiTheme="minorHAnsi" w:hAnsiTheme="minorHAnsi" w:cstheme="minorHAnsi"/>
                <w:b/>
                <w:bCs/>
                <w:color w:val="FFFFFF"/>
                <w:sz w:val="18"/>
                <w:szCs w:val="18"/>
              </w:rPr>
              <w:t>Location</w:t>
            </w:r>
          </w:p>
        </w:tc>
        <w:tc>
          <w:tcPr>
            <w:tcW w:w="851" w:type="dxa"/>
            <w:tcBorders>
              <w:top w:val="nil"/>
              <w:left w:val="nil"/>
              <w:bottom w:val="single" w:sz="4" w:space="0" w:color="auto"/>
              <w:right w:val="single" w:sz="4" w:space="0" w:color="auto"/>
            </w:tcBorders>
            <w:shd w:val="clear" w:color="000000" w:fill="538DD5"/>
            <w:vAlign w:val="bottom"/>
            <w:hideMark/>
          </w:tcPr>
          <w:p w:rsidR="005A2A80" w:rsidRPr="005A2A80" w:rsidRDefault="005A2A80" w:rsidP="005A2A80">
            <w:pPr>
              <w:jc w:val="center"/>
              <w:rPr>
                <w:rFonts w:asciiTheme="minorHAnsi" w:hAnsiTheme="minorHAnsi" w:cstheme="minorHAnsi"/>
                <w:b/>
                <w:bCs/>
                <w:color w:val="FFFFFF"/>
                <w:sz w:val="18"/>
                <w:szCs w:val="18"/>
              </w:rPr>
            </w:pPr>
            <w:r w:rsidRPr="005A2A80">
              <w:rPr>
                <w:rFonts w:asciiTheme="minorHAnsi" w:hAnsiTheme="minorHAnsi" w:cstheme="minorHAnsi"/>
                <w:b/>
                <w:bCs/>
                <w:color w:val="FFFFFF"/>
                <w:sz w:val="18"/>
                <w:szCs w:val="18"/>
              </w:rPr>
              <w:t>Number</w:t>
            </w:r>
          </w:p>
        </w:tc>
        <w:tc>
          <w:tcPr>
            <w:tcW w:w="992" w:type="dxa"/>
            <w:tcBorders>
              <w:top w:val="nil"/>
              <w:left w:val="nil"/>
              <w:bottom w:val="single" w:sz="4" w:space="0" w:color="auto"/>
              <w:right w:val="single" w:sz="4" w:space="0" w:color="auto"/>
            </w:tcBorders>
            <w:shd w:val="clear" w:color="000000" w:fill="538DD5"/>
            <w:vAlign w:val="bottom"/>
            <w:hideMark/>
          </w:tcPr>
          <w:p w:rsidR="005A2A80" w:rsidRPr="005A2A80" w:rsidRDefault="005A2A80" w:rsidP="005A2A80">
            <w:pPr>
              <w:jc w:val="center"/>
              <w:rPr>
                <w:rFonts w:asciiTheme="minorHAnsi" w:hAnsiTheme="minorHAnsi" w:cstheme="minorHAnsi"/>
                <w:b/>
                <w:bCs/>
                <w:color w:val="FFFFFF"/>
                <w:sz w:val="18"/>
                <w:szCs w:val="18"/>
              </w:rPr>
            </w:pPr>
            <w:r w:rsidRPr="005A2A80">
              <w:rPr>
                <w:rFonts w:asciiTheme="minorHAnsi" w:hAnsiTheme="minorHAnsi" w:cstheme="minorHAnsi"/>
                <w:b/>
                <w:bCs/>
                <w:color w:val="FFFFFF"/>
                <w:sz w:val="18"/>
                <w:szCs w:val="18"/>
              </w:rPr>
              <w:t>Share (%)</w:t>
            </w:r>
          </w:p>
        </w:tc>
      </w:tr>
      <w:tr w:rsidR="005A2A80" w:rsidRPr="005A2A80" w:rsidTr="005A2A80">
        <w:trPr>
          <w:trHeight w:val="281"/>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5A2A80" w:rsidRPr="005A2A80" w:rsidRDefault="005A2A80" w:rsidP="005A2A80">
            <w:pPr>
              <w:jc w:val="center"/>
              <w:rPr>
                <w:rFonts w:asciiTheme="minorHAnsi" w:hAnsiTheme="minorHAnsi" w:cstheme="minorHAnsi"/>
                <w:color w:val="000000"/>
                <w:sz w:val="18"/>
                <w:szCs w:val="18"/>
              </w:rPr>
            </w:pPr>
            <w:r w:rsidRPr="005A2A80">
              <w:rPr>
                <w:rFonts w:asciiTheme="minorHAnsi" w:hAnsiTheme="minorHAnsi" w:cstheme="minorHAnsi"/>
                <w:color w:val="000000"/>
                <w:sz w:val="18"/>
                <w:szCs w:val="18"/>
              </w:rPr>
              <w:t>NSW</w:t>
            </w:r>
          </w:p>
        </w:tc>
        <w:tc>
          <w:tcPr>
            <w:tcW w:w="2284" w:type="dxa"/>
            <w:tcBorders>
              <w:top w:val="nil"/>
              <w:left w:val="nil"/>
              <w:bottom w:val="single" w:sz="4" w:space="0" w:color="auto"/>
              <w:right w:val="single" w:sz="4" w:space="0" w:color="auto"/>
            </w:tcBorders>
            <w:shd w:val="clear" w:color="auto" w:fill="auto"/>
            <w:noWrap/>
            <w:vAlign w:val="bottom"/>
            <w:hideMark/>
          </w:tcPr>
          <w:p w:rsidR="005A2A80" w:rsidRPr="005A2A80" w:rsidRDefault="005A2A80" w:rsidP="005A2A80">
            <w:pPr>
              <w:rPr>
                <w:rFonts w:asciiTheme="minorHAnsi" w:hAnsiTheme="minorHAnsi" w:cstheme="minorHAnsi"/>
                <w:color w:val="000000"/>
                <w:sz w:val="18"/>
                <w:szCs w:val="18"/>
              </w:rPr>
            </w:pPr>
            <w:r w:rsidRPr="005A2A80">
              <w:rPr>
                <w:rFonts w:asciiTheme="minorHAnsi" w:hAnsiTheme="minorHAnsi" w:cstheme="minorHAnsi"/>
                <w:color w:val="000000"/>
                <w:sz w:val="18"/>
                <w:szCs w:val="18"/>
              </w:rPr>
              <w:t>South Coast</w:t>
            </w:r>
          </w:p>
        </w:tc>
        <w:tc>
          <w:tcPr>
            <w:tcW w:w="851" w:type="dxa"/>
            <w:tcBorders>
              <w:top w:val="nil"/>
              <w:left w:val="nil"/>
              <w:bottom w:val="single" w:sz="4" w:space="0" w:color="auto"/>
              <w:right w:val="single" w:sz="4" w:space="0" w:color="auto"/>
            </w:tcBorders>
            <w:shd w:val="clear" w:color="auto" w:fill="auto"/>
            <w:noWrap/>
            <w:vAlign w:val="bottom"/>
            <w:hideMark/>
          </w:tcPr>
          <w:p w:rsidR="005A2A80" w:rsidRPr="005A2A80" w:rsidRDefault="005A2A80" w:rsidP="005A2A80">
            <w:pPr>
              <w:jc w:val="center"/>
              <w:rPr>
                <w:rFonts w:asciiTheme="minorHAnsi" w:hAnsiTheme="minorHAnsi" w:cstheme="minorHAnsi"/>
                <w:color w:val="000000"/>
                <w:sz w:val="18"/>
                <w:szCs w:val="18"/>
              </w:rPr>
            </w:pPr>
            <w:r w:rsidRPr="005A2A80">
              <w:rPr>
                <w:rFonts w:asciiTheme="minorHAnsi" w:hAnsiTheme="minorHAnsi" w:cstheme="minorHAnsi"/>
                <w:color w:val="000000"/>
                <w:sz w:val="18"/>
                <w:szCs w:val="18"/>
              </w:rPr>
              <w:t>6,985</w:t>
            </w:r>
          </w:p>
        </w:tc>
        <w:tc>
          <w:tcPr>
            <w:tcW w:w="992" w:type="dxa"/>
            <w:tcBorders>
              <w:top w:val="nil"/>
              <w:left w:val="nil"/>
              <w:bottom w:val="single" w:sz="4" w:space="0" w:color="auto"/>
              <w:right w:val="single" w:sz="4" w:space="0" w:color="auto"/>
            </w:tcBorders>
            <w:shd w:val="clear" w:color="auto" w:fill="auto"/>
            <w:noWrap/>
            <w:vAlign w:val="bottom"/>
            <w:hideMark/>
          </w:tcPr>
          <w:p w:rsidR="005A2A80" w:rsidRPr="005A2A80" w:rsidRDefault="005A2A80" w:rsidP="005A2A80">
            <w:pPr>
              <w:jc w:val="center"/>
              <w:rPr>
                <w:rFonts w:asciiTheme="minorHAnsi" w:hAnsiTheme="minorHAnsi" w:cstheme="minorHAnsi"/>
                <w:color w:val="000000"/>
                <w:sz w:val="18"/>
                <w:szCs w:val="18"/>
              </w:rPr>
            </w:pPr>
            <w:r w:rsidRPr="005A2A80">
              <w:rPr>
                <w:rFonts w:asciiTheme="minorHAnsi" w:hAnsiTheme="minorHAnsi" w:cstheme="minorHAnsi"/>
                <w:color w:val="000000"/>
                <w:sz w:val="18"/>
                <w:szCs w:val="18"/>
              </w:rPr>
              <w:t>22.3%</w:t>
            </w:r>
          </w:p>
        </w:tc>
      </w:tr>
      <w:tr w:rsidR="005A2A80" w:rsidRPr="005A2A80" w:rsidTr="005A2A80">
        <w:trPr>
          <w:trHeight w:val="281"/>
        </w:trPr>
        <w:tc>
          <w:tcPr>
            <w:tcW w:w="976" w:type="dxa"/>
            <w:tcBorders>
              <w:top w:val="nil"/>
              <w:left w:val="single" w:sz="4" w:space="0" w:color="auto"/>
              <w:bottom w:val="single" w:sz="4" w:space="0" w:color="auto"/>
              <w:right w:val="single" w:sz="4" w:space="0" w:color="auto"/>
            </w:tcBorders>
            <w:shd w:val="clear" w:color="000000" w:fill="DCE6F1"/>
            <w:noWrap/>
            <w:vAlign w:val="bottom"/>
            <w:hideMark/>
          </w:tcPr>
          <w:p w:rsidR="005A2A80" w:rsidRPr="005A2A80" w:rsidRDefault="005A2A80" w:rsidP="005A2A80">
            <w:pPr>
              <w:jc w:val="center"/>
              <w:rPr>
                <w:rFonts w:asciiTheme="minorHAnsi" w:hAnsiTheme="minorHAnsi" w:cstheme="minorHAnsi"/>
                <w:color w:val="000000"/>
                <w:sz w:val="18"/>
                <w:szCs w:val="18"/>
              </w:rPr>
            </w:pPr>
            <w:r w:rsidRPr="005A2A80">
              <w:rPr>
                <w:rFonts w:asciiTheme="minorHAnsi" w:hAnsiTheme="minorHAnsi" w:cstheme="minorHAnsi"/>
                <w:color w:val="000000"/>
                <w:sz w:val="18"/>
                <w:szCs w:val="18"/>
              </w:rPr>
              <w:t>NSW</w:t>
            </w:r>
          </w:p>
        </w:tc>
        <w:tc>
          <w:tcPr>
            <w:tcW w:w="2284" w:type="dxa"/>
            <w:tcBorders>
              <w:top w:val="nil"/>
              <w:left w:val="nil"/>
              <w:bottom w:val="single" w:sz="4" w:space="0" w:color="auto"/>
              <w:right w:val="single" w:sz="4" w:space="0" w:color="auto"/>
            </w:tcBorders>
            <w:shd w:val="clear" w:color="000000" w:fill="DCE6F1"/>
            <w:noWrap/>
            <w:vAlign w:val="bottom"/>
            <w:hideMark/>
          </w:tcPr>
          <w:p w:rsidR="005A2A80" w:rsidRPr="005A2A80" w:rsidRDefault="005A2A80" w:rsidP="005A2A80">
            <w:pPr>
              <w:rPr>
                <w:rFonts w:asciiTheme="minorHAnsi" w:hAnsiTheme="minorHAnsi" w:cstheme="minorHAnsi"/>
                <w:color w:val="000000"/>
                <w:sz w:val="18"/>
                <w:szCs w:val="18"/>
              </w:rPr>
            </w:pPr>
            <w:r w:rsidRPr="005A2A80">
              <w:rPr>
                <w:rFonts w:asciiTheme="minorHAnsi" w:hAnsiTheme="minorHAnsi" w:cstheme="minorHAnsi"/>
                <w:color w:val="000000"/>
                <w:sz w:val="18"/>
                <w:szCs w:val="18"/>
              </w:rPr>
              <w:t>Hunter</w:t>
            </w:r>
          </w:p>
        </w:tc>
        <w:tc>
          <w:tcPr>
            <w:tcW w:w="851" w:type="dxa"/>
            <w:tcBorders>
              <w:top w:val="nil"/>
              <w:left w:val="nil"/>
              <w:bottom w:val="single" w:sz="4" w:space="0" w:color="auto"/>
              <w:right w:val="single" w:sz="4" w:space="0" w:color="auto"/>
            </w:tcBorders>
            <w:shd w:val="clear" w:color="000000" w:fill="DCE6F1"/>
            <w:noWrap/>
            <w:vAlign w:val="bottom"/>
            <w:hideMark/>
          </w:tcPr>
          <w:p w:rsidR="005A2A80" w:rsidRPr="005A2A80" w:rsidRDefault="005A2A80" w:rsidP="005A2A80">
            <w:pPr>
              <w:jc w:val="center"/>
              <w:rPr>
                <w:rFonts w:asciiTheme="minorHAnsi" w:hAnsiTheme="minorHAnsi" w:cstheme="minorHAnsi"/>
                <w:color w:val="000000"/>
                <w:sz w:val="18"/>
                <w:szCs w:val="18"/>
              </w:rPr>
            </w:pPr>
            <w:r w:rsidRPr="005A2A80">
              <w:rPr>
                <w:rFonts w:asciiTheme="minorHAnsi" w:hAnsiTheme="minorHAnsi" w:cstheme="minorHAnsi"/>
                <w:color w:val="000000"/>
                <w:sz w:val="18"/>
                <w:szCs w:val="18"/>
              </w:rPr>
              <w:t>5,670</w:t>
            </w:r>
          </w:p>
        </w:tc>
        <w:tc>
          <w:tcPr>
            <w:tcW w:w="992" w:type="dxa"/>
            <w:tcBorders>
              <w:top w:val="nil"/>
              <w:left w:val="nil"/>
              <w:bottom w:val="single" w:sz="4" w:space="0" w:color="auto"/>
              <w:right w:val="single" w:sz="4" w:space="0" w:color="auto"/>
            </w:tcBorders>
            <w:shd w:val="clear" w:color="000000" w:fill="DCE6F1"/>
            <w:noWrap/>
            <w:vAlign w:val="bottom"/>
            <w:hideMark/>
          </w:tcPr>
          <w:p w:rsidR="005A2A80" w:rsidRPr="005A2A80" w:rsidRDefault="005A2A80" w:rsidP="005A2A80">
            <w:pPr>
              <w:jc w:val="center"/>
              <w:rPr>
                <w:rFonts w:asciiTheme="minorHAnsi" w:hAnsiTheme="minorHAnsi" w:cstheme="minorHAnsi"/>
                <w:color w:val="000000"/>
                <w:sz w:val="18"/>
                <w:szCs w:val="18"/>
              </w:rPr>
            </w:pPr>
            <w:r w:rsidRPr="005A2A80">
              <w:rPr>
                <w:rFonts w:asciiTheme="minorHAnsi" w:hAnsiTheme="minorHAnsi" w:cstheme="minorHAnsi"/>
                <w:color w:val="000000"/>
                <w:sz w:val="18"/>
                <w:szCs w:val="18"/>
              </w:rPr>
              <w:t>18.1%</w:t>
            </w:r>
          </w:p>
        </w:tc>
      </w:tr>
      <w:tr w:rsidR="005A2A80" w:rsidRPr="005A2A80" w:rsidTr="005A2A80">
        <w:trPr>
          <w:trHeight w:val="281"/>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5A2A80" w:rsidRPr="005A2A80" w:rsidRDefault="005A2A80" w:rsidP="005A2A80">
            <w:pPr>
              <w:jc w:val="center"/>
              <w:rPr>
                <w:rFonts w:asciiTheme="minorHAnsi" w:hAnsiTheme="minorHAnsi" w:cstheme="minorHAnsi"/>
                <w:color w:val="000000"/>
                <w:sz w:val="18"/>
                <w:szCs w:val="18"/>
              </w:rPr>
            </w:pPr>
            <w:r w:rsidRPr="005A2A80">
              <w:rPr>
                <w:rFonts w:asciiTheme="minorHAnsi" w:hAnsiTheme="minorHAnsi" w:cstheme="minorHAnsi"/>
                <w:color w:val="000000"/>
                <w:sz w:val="18"/>
                <w:szCs w:val="18"/>
              </w:rPr>
              <w:t>QLD</w:t>
            </w:r>
          </w:p>
        </w:tc>
        <w:tc>
          <w:tcPr>
            <w:tcW w:w="2284" w:type="dxa"/>
            <w:tcBorders>
              <w:top w:val="nil"/>
              <w:left w:val="nil"/>
              <w:bottom w:val="single" w:sz="4" w:space="0" w:color="auto"/>
              <w:right w:val="single" w:sz="4" w:space="0" w:color="auto"/>
            </w:tcBorders>
            <w:shd w:val="clear" w:color="auto" w:fill="auto"/>
            <w:noWrap/>
            <w:vAlign w:val="bottom"/>
            <w:hideMark/>
          </w:tcPr>
          <w:p w:rsidR="005A2A80" w:rsidRPr="005A2A80" w:rsidRDefault="005A2A80" w:rsidP="005A2A80">
            <w:pPr>
              <w:rPr>
                <w:rFonts w:asciiTheme="minorHAnsi" w:hAnsiTheme="minorHAnsi" w:cstheme="minorHAnsi"/>
                <w:color w:val="000000"/>
                <w:sz w:val="18"/>
                <w:szCs w:val="18"/>
              </w:rPr>
            </w:pPr>
            <w:r w:rsidRPr="005A2A80">
              <w:rPr>
                <w:rFonts w:asciiTheme="minorHAnsi" w:hAnsiTheme="minorHAnsi" w:cstheme="minorHAnsi"/>
                <w:color w:val="000000"/>
                <w:sz w:val="18"/>
                <w:szCs w:val="18"/>
              </w:rPr>
              <w:t>Sunshine Coast</w:t>
            </w:r>
          </w:p>
        </w:tc>
        <w:tc>
          <w:tcPr>
            <w:tcW w:w="851" w:type="dxa"/>
            <w:tcBorders>
              <w:top w:val="nil"/>
              <w:left w:val="nil"/>
              <w:bottom w:val="single" w:sz="4" w:space="0" w:color="auto"/>
              <w:right w:val="single" w:sz="4" w:space="0" w:color="auto"/>
            </w:tcBorders>
            <w:shd w:val="clear" w:color="auto" w:fill="auto"/>
            <w:noWrap/>
            <w:vAlign w:val="bottom"/>
            <w:hideMark/>
          </w:tcPr>
          <w:p w:rsidR="005A2A80" w:rsidRPr="005A2A80" w:rsidRDefault="005A2A80" w:rsidP="005A2A80">
            <w:pPr>
              <w:jc w:val="center"/>
              <w:rPr>
                <w:rFonts w:asciiTheme="minorHAnsi" w:hAnsiTheme="minorHAnsi" w:cstheme="minorHAnsi"/>
                <w:color w:val="000000"/>
                <w:sz w:val="18"/>
                <w:szCs w:val="18"/>
              </w:rPr>
            </w:pPr>
            <w:r w:rsidRPr="005A2A80">
              <w:rPr>
                <w:rFonts w:asciiTheme="minorHAnsi" w:hAnsiTheme="minorHAnsi" w:cstheme="minorHAnsi"/>
                <w:color w:val="000000"/>
                <w:sz w:val="18"/>
                <w:szCs w:val="18"/>
              </w:rPr>
              <w:t>3,145</w:t>
            </w:r>
          </w:p>
        </w:tc>
        <w:tc>
          <w:tcPr>
            <w:tcW w:w="992" w:type="dxa"/>
            <w:tcBorders>
              <w:top w:val="nil"/>
              <w:left w:val="nil"/>
              <w:bottom w:val="single" w:sz="4" w:space="0" w:color="auto"/>
              <w:right w:val="single" w:sz="4" w:space="0" w:color="auto"/>
            </w:tcBorders>
            <w:shd w:val="clear" w:color="auto" w:fill="auto"/>
            <w:noWrap/>
            <w:vAlign w:val="bottom"/>
            <w:hideMark/>
          </w:tcPr>
          <w:p w:rsidR="005A2A80" w:rsidRPr="005A2A80" w:rsidRDefault="005A2A80" w:rsidP="005A2A80">
            <w:pPr>
              <w:jc w:val="center"/>
              <w:rPr>
                <w:rFonts w:asciiTheme="minorHAnsi" w:hAnsiTheme="minorHAnsi" w:cstheme="minorHAnsi"/>
                <w:color w:val="000000"/>
                <w:sz w:val="18"/>
                <w:szCs w:val="18"/>
              </w:rPr>
            </w:pPr>
            <w:r w:rsidRPr="005A2A80">
              <w:rPr>
                <w:rFonts w:asciiTheme="minorHAnsi" w:hAnsiTheme="minorHAnsi" w:cstheme="minorHAnsi"/>
                <w:color w:val="000000"/>
                <w:sz w:val="18"/>
                <w:szCs w:val="18"/>
              </w:rPr>
              <w:t>10.0%</w:t>
            </w:r>
          </w:p>
        </w:tc>
      </w:tr>
      <w:tr w:rsidR="005A2A80" w:rsidRPr="005A2A80" w:rsidTr="005A2A80">
        <w:trPr>
          <w:trHeight w:val="281"/>
        </w:trPr>
        <w:tc>
          <w:tcPr>
            <w:tcW w:w="976" w:type="dxa"/>
            <w:tcBorders>
              <w:top w:val="nil"/>
              <w:left w:val="single" w:sz="4" w:space="0" w:color="auto"/>
              <w:bottom w:val="single" w:sz="4" w:space="0" w:color="auto"/>
              <w:right w:val="single" w:sz="4" w:space="0" w:color="auto"/>
            </w:tcBorders>
            <w:shd w:val="clear" w:color="000000" w:fill="DCE6F1"/>
            <w:noWrap/>
            <w:vAlign w:val="bottom"/>
            <w:hideMark/>
          </w:tcPr>
          <w:p w:rsidR="005A2A80" w:rsidRPr="005A2A80" w:rsidRDefault="005A2A80" w:rsidP="005A2A80">
            <w:pPr>
              <w:jc w:val="center"/>
              <w:rPr>
                <w:rFonts w:asciiTheme="minorHAnsi" w:hAnsiTheme="minorHAnsi" w:cstheme="minorHAnsi"/>
                <w:color w:val="000000"/>
                <w:sz w:val="18"/>
                <w:szCs w:val="18"/>
              </w:rPr>
            </w:pPr>
            <w:r w:rsidRPr="005A2A80">
              <w:rPr>
                <w:rFonts w:asciiTheme="minorHAnsi" w:hAnsiTheme="minorHAnsi" w:cstheme="minorHAnsi"/>
                <w:color w:val="000000"/>
                <w:sz w:val="18"/>
                <w:szCs w:val="18"/>
              </w:rPr>
              <w:t>QLD</w:t>
            </w:r>
          </w:p>
        </w:tc>
        <w:tc>
          <w:tcPr>
            <w:tcW w:w="2284" w:type="dxa"/>
            <w:tcBorders>
              <w:top w:val="nil"/>
              <w:left w:val="nil"/>
              <w:bottom w:val="single" w:sz="4" w:space="0" w:color="auto"/>
              <w:right w:val="single" w:sz="4" w:space="0" w:color="auto"/>
            </w:tcBorders>
            <w:shd w:val="clear" w:color="000000" w:fill="DCE6F1"/>
            <w:noWrap/>
            <w:vAlign w:val="bottom"/>
            <w:hideMark/>
          </w:tcPr>
          <w:p w:rsidR="005A2A80" w:rsidRPr="005A2A80" w:rsidRDefault="005A2A80" w:rsidP="005A2A80">
            <w:pPr>
              <w:rPr>
                <w:rFonts w:asciiTheme="minorHAnsi" w:hAnsiTheme="minorHAnsi" w:cstheme="minorHAnsi"/>
                <w:color w:val="000000"/>
                <w:sz w:val="18"/>
                <w:szCs w:val="18"/>
              </w:rPr>
            </w:pPr>
            <w:r w:rsidRPr="005A2A80">
              <w:rPr>
                <w:rFonts w:asciiTheme="minorHAnsi" w:hAnsiTheme="minorHAnsi" w:cstheme="minorHAnsi"/>
                <w:color w:val="000000"/>
                <w:sz w:val="18"/>
                <w:szCs w:val="18"/>
              </w:rPr>
              <w:t>Tropical North Queensland</w:t>
            </w:r>
          </w:p>
        </w:tc>
        <w:tc>
          <w:tcPr>
            <w:tcW w:w="851" w:type="dxa"/>
            <w:tcBorders>
              <w:top w:val="nil"/>
              <w:left w:val="nil"/>
              <w:bottom w:val="single" w:sz="4" w:space="0" w:color="auto"/>
              <w:right w:val="single" w:sz="4" w:space="0" w:color="auto"/>
            </w:tcBorders>
            <w:shd w:val="clear" w:color="000000" w:fill="DCE6F1"/>
            <w:noWrap/>
            <w:vAlign w:val="bottom"/>
            <w:hideMark/>
          </w:tcPr>
          <w:p w:rsidR="005A2A80" w:rsidRPr="005A2A80" w:rsidRDefault="005A2A80" w:rsidP="005A2A80">
            <w:pPr>
              <w:jc w:val="center"/>
              <w:rPr>
                <w:rFonts w:asciiTheme="minorHAnsi" w:hAnsiTheme="minorHAnsi" w:cstheme="minorHAnsi"/>
                <w:color w:val="000000"/>
                <w:sz w:val="18"/>
                <w:szCs w:val="18"/>
              </w:rPr>
            </w:pPr>
            <w:r w:rsidRPr="005A2A80">
              <w:rPr>
                <w:rFonts w:asciiTheme="minorHAnsi" w:hAnsiTheme="minorHAnsi" w:cstheme="minorHAnsi"/>
                <w:color w:val="000000"/>
                <w:sz w:val="18"/>
                <w:szCs w:val="18"/>
              </w:rPr>
              <w:t>2,523</w:t>
            </w:r>
          </w:p>
        </w:tc>
        <w:tc>
          <w:tcPr>
            <w:tcW w:w="992" w:type="dxa"/>
            <w:tcBorders>
              <w:top w:val="nil"/>
              <w:left w:val="nil"/>
              <w:bottom w:val="single" w:sz="4" w:space="0" w:color="auto"/>
              <w:right w:val="single" w:sz="4" w:space="0" w:color="auto"/>
            </w:tcBorders>
            <w:shd w:val="clear" w:color="000000" w:fill="DCE6F1"/>
            <w:noWrap/>
            <w:vAlign w:val="bottom"/>
            <w:hideMark/>
          </w:tcPr>
          <w:p w:rsidR="005A2A80" w:rsidRPr="005A2A80" w:rsidRDefault="005A2A80" w:rsidP="005A2A80">
            <w:pPr>
              <w:jc w:val="center"/>
              <w:rPr>
                <w:rFonts w:asciiTheme="minorHAnsi" w:hAnsiTheme="minorHAnsi" w:cstheme="minorHAnsi"/>
                <w:color w:val="000000"/>
                <w:sz w:val="18"/>
                <w:szCs w:val="18"/>
              </w:rPr>
            </w:pPr>
            <w:r w:rsidRPr="005A2A80">
              <w:rPr>
                <w:rFonts w:asciiTheme="minorHAnsi" w:hAnsiTheme="minorHAnsi" w:cstheme="minorHAnsi"/>
                <w:color w:val="000000"/>
                <w:sz w:val="18"/>
                <w:szCs w:val="18"/>
              </w:rPr>
              <w:t>8.1%</w:t>
            </w:r>
          </w:p>
        </w:tc>
      </w:tr>
      <w:tr w:rsidR="005A2A80" w:rsidRPr="005A2A80" w:rsidTr="005A2A80">
        <w:trPr>
          <w:trHeight w:val="281"/>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5A2A80" w:rsidRPr="005A2A80" w:rsidRDefault="005A2A80" w:rsidP="005A2A80">
            <w:pPr>
              <w:jc w:val="center"/>
              <w:rPr>
                <w:rFonts w:asciiTheme="minorHAnsi" w:hAnsiTheme="minorHAnsi" w:cstheme="minorHAnsi"/>
                <w:color w:val="000000"/>
                <w:sz w:val="18"/>
                <w:szCs w:val="18"/>
              </w:rPr>
            </w:pPr>
            <w:r w:rsidRPr="005A2A80">
              <w:rPr>
                <w:rFonts w:asciiTheme="minorHAnsi" w:hAnsiTheme="minorHAnsi" w:cstheme="minorHAnsi"/>
                <w:color w:val="000000"/>
                <w:sz w:val="18"/>
                <w:szCs w:val="18"/>
              </w:rPr>
              <w:t>QLD</w:t>
            </w:r>
          </w:p>
        </w:tc>
        <w:tc>
          <w:tcPr>
            <w:tcW w:w="2284" w:type="dxa"/>
            <w:tcBorders>
              <w:top w:val="nil"/>
              <w:left w:val="nil"/>
              <w:bottom w:val="single" w:sz="4" w:space="0" w:color="auto"/>
              <w:right w:val="single" w:sz="4" w:space="0" w:color="auto"/>
            </w:tcBorders>
            <w:shd w:val="clear" w:color="auto" w:fill="auto"/>
            <w:noWrap/>
            <w:vAlign w:val="bottom"/>
            <w:hideMark/>
          </w:tcPr>
          <w:p w:rsidR="005A2A80" w:rsidRPr="005A2A80" w:rsidRDefault="005A2A80" w:rsidP="005A2A80">
            <w:pPr>
              <w:rPr>
                <w:rFonts w:asciiTheme="minorHAnsi" w:hAnsiTheme="minorHAnsi" w:cstheme="minorHAnsi"/>
                <w:color w:val="000000"/>
                <w:sz w:val="18"/>
                <w:szCs w:val="18"/>
              </w:rPr>
            </w:pPr>
            <w:r w:rsidRPr="005A2A80">
              <w:rPr>
                <w:rFonts w:asciiTheme="minorHAnsi" w:hAnsiTheme="minorHAnsi" w:cstheme="minorHAnsi"/>
                <w:color w:val="000000"/>
                <w:sz w:val="18"/>
                <w:szCs w:val="18"/>
              </w:rPr>
              <w:t>Northern Queensland</w:t>
            </w:r>
          </w:p>
        </w:tc>
        <w:tc>
          <w:tcPr>
            <w:tcW w:w="851" w:type="dxa"/>
            <w:tcBorders>
              <w:top w:val="nil"/>
              <w:left w:val="nil"/>
              <w:bottom w:val="single" w:sz="4" w:space="0" w:color="auto"/>
              <w:right w:val="single" w:sz="4" w:space="0" w:color="auto"/>
            </w:tcBorders>
            <w:shd w:val="clear" w:color="auto" w:fill="auto"/>
            <w:noWrap/>
            <w:vAlign w:val="bottom"/>
            <w:hideMark/>
          </w:tcPr>
          <w:p w:rsidR="005A2A80" w:rsidRPr="005A2A80" w:rsidRDefault="005A2A80" w:rsidP="005A2A80">
            <w:pPr>
              <w:jc w:val="center"/>
              <w:rPr>
                <w:rFonts w:asciiTheme="minorHAnsi" w:hAnsiTheme="minorHAnsi" w:cstheme="minorHAnsi"/>
                <w:color w:val="000000"/>
                <w:sz w:val="18"/>
                <w:szCs w:val="18"/>
              </w:rPr>
            </w:pPr>
            <w:r w:rsidRPr="005A2A80">
              <w:rPr>
                <w:rFonts w:asciiTheme="minorHAnsi" w:hAnsiTheme="minorHAnsi" w:cstheme="minorHAnsi"/>
                <w:color w:val="000000"/>
                <w:sz w:val="18"/>
                <w:szCs w:val="18"/>
              </w:rPr>
              <w:t>1,971</w:t>
            </w:r>
          </w:p>
        </w:tc>
        <w:tc>
          <w:tcPr>
            <w:tcW w:w="992" w:type="dxa"/>
            <w:tcBorders>
              <w:top w:val="nil"/>
              <w:left w:val="nil"/>
              <w:bottom w:val="single" w:sz="4" w:space="0" w:color="auto"/>
              <w:right w:val="single" w:sz="4" w:space="0" w:color="auto"/>
            </w:tcBorders>
            <w:shd w:val="clear" w:color="auto" w:fill="auto"/>
            <w:noWrap/>
            <w:vAlign w:val="bottom"/>
            <w:hideMark/>
          </w:tcPr>
          <w:p w:rsidR="005A2A80" w:rsidRPr="005A2A80" w:rsidRDefault="005A2A80" w:rsidP="005A2A80">
            <w:pPr>
              <w:jc w:val="center"/>
              <w:rPr>
                <w:rFonts w:asciiTheme="minorHAnsi" w:hAnsiTheme="minorHAnsi" w:cstheme="minorHAnsi"/>
                <w:color w:val="000000"/>
                <w:sz w:val="18"/>
                <w:szCs w:val="18"/>
              </w:rPr>
            </w:pPr>
            <w:r w:rsidRPr="005A2A80">
              <w:rPr>
                <w:rFonts w:asciiTheme="minorHAnsi" w:hAnsiTheme="minorHAnsi" w:cstheme="minorHAnsi"/>
                <w:color w:val="000000"/>
                <w:sz w:val="18"/>
                <w:szCs w:val="18"/>
              </w:rPr>
              <w:t>6.3%</w:t>
            </w:r>
          </w:p>
        </w:tc>
      </w:tr>
      <w:tr w:rsidR="005A2A80" w:rsidRPr="005A2A80" w:rsidTr="005A2A80">
        <w:trPr>
          <w:trHeight w:val="281"/>
        </w:trPr>
        <w:tc>
          <w:tcPr>
            <w:tcW w:w="976" w:type="dxa"/>
            <w:tcBorders>
              <w:top w:val="nil"/>
              <w:left w:val="single" w:sz="4" w:space="0" w:color="auto"/>
              <w:bottom w:val="single" w:sz="4" w:space="0" w:color="auto"/>
              <w:right w:val="single" w:sz="4" w:space="0" w:color="auto"/>
            </w:tcBorders>
            <w:shd w:val="clear" w:color="000000" w:fill="DCE6F1"/>
            <w:noWrap/>
            <w:vAlign w:val="bottom"/>
            <w:hideMark/>
          </w:tcPr>
          <w:p w:rsidR="005A2A80" w:rsidRPr="005A2A80" w:rsidRDefault="005A2A80" w:rsidP="005A2A80">
            <w:pPr>
              <w:jc w:val="center"/>
              <w:rPr>
                <w:rFonts w:asciiTheme="minorHAnsi" w:hAnsiTheme="minorHAnsi" w:cstheme="minorHAnsi"/>
                <w:color w:val="000000"/>
                <w:sz w:val="18"/>
                <w:szCs w:val="18"/>
              </w:rPr>
            </w:pPr>
            <w:r w:rsidRPr="005A2A80">
              <w:rPr>
                <w:rFonts w:asciiTheme="minorHAnsi" w:hAnsiTheme="minorHAnsi" w:cstheme="minorHAnsi"/>
                <w:color w:val="000000"/>
                <w:sz w:val="18"/>
                <w:szCs w:val="18"/>
              </w:rPr>
              <w:t>VIC</w:t>
            </w:r>
          </w:p>
        </w:tc>
        <w:tc>
          <w:tcPr>
            <w:tcW w:w="2284" w:type="dxa"/>
            <w:tcBorders>
              <w:top w:val="nil"/>
              <w:left w:val="nil"/>
              <w:bottom w:val="single" w:sz="4" w:space="0" w:color="auto"/>
              <w:right w:val="single" w:sz="4" w:space="0" w:color="auto"/>
            </w:tcBorders>
            <w:shd w:val="clear" w:color="000000" w:fill="DCE6F1"/>
            <w:noWrap/>
            <w:vAlign w:val="bottom"/>
            <w:hideMark/>
          </w:tcPr>
          <w:p w:rsidR="005A2A80" w:rsidRPr="005A2A80" w:rsidRDefault="005A2A80" w:rsidP="005A2A80">
            <w:pPr>
              <w:rPr>
                <w:rFonts w:asciiTheme="minorHAnsi" w:hAnsiTheme="minorHAnsi" w:cstheme="minorHAnsi"/>
                <w:color w:val="000000"/>
                <w:sz w:val="18"/>
                <w:szCs w:val="18"/>
              </w:rPr>
            </w:pPr>
            <w:r w:rsidRPr="005A2A80">
              <w:rPr>
                <w:rFonts w:asciiTheme="minorHAnsi" w:hAnsiTheme="minorHAnsi" w:cstheme="minorHAnsi"/>
                <w:color w:val="000000"/>
                <w:sz w:val="18"/>
                <w:szCs w:val="18"/>
              </w:rPr>
              <w:t>Geelong</w:t>
            </w:r>
          </w:p>
        </w:tc>
        <w:tc>
          <w:tcPr>
            <w:tcW w:w="851" w:type="dxa"/>
            <w:tcBorders>
              <w:top w:val="nil"/>
              <w:left w:val="nil"/>
              <w:bottom w:val="single" w:sz="4" w:space="0" w:color="auto"/>
              <w:right w:val="single" w:sz="4" w:space="0" w:color="auto"/>
            </w:tcBorders>
            <w:shd w:val="clear" w:color="000000" w:fill="DCE6F1"/>
            <w:noWrap/>
            <w:vAlign w:val="bottom"/>
            <w:hideMark/>
          </w:tcPr>
          <w:p w:rsidR="005A2A80" w:rsidRPr="005A2A80" w:rsidRDefault="005A2A80" w:rsidP="005A2A80">
            <w:pPr>
              <w:jc w:val="center"/>
              <w:rPr>
                <w:rFonts w:asciiTheme="minorHAnsi" w:hAnsiTheme="minorHAnsi" w:cstheme="minorHAnsi"/>
                <w:color w:val="000000"/>
                <w:sz w:val="18"/>
                <w:szCs w:val="18"/>
              </w:rPr>
            </w:pPr>
            <w:r w:rsidRPr="005A2A80">
              <w:rPr>
                <w:rFonts w:asciiTheme="minorHAnsi" w:hAnsiTheme="minorHAnsi" w:cstheme="minorHAnsi"/>
                <w:color w:val="000000"/>
                <w:sz w:val="18"/>
                <w:szCs w:val="18"/>
              </w:rPr>
              <w:t>1,838</w:t>
            </w:r>
          </w:p>
        </w:tc>
        <w:tc>
          <w:tcPr>
            <w:tcW w:w="992" w:type="dxa"/>
            <w:tcBorders>
              <w:top w:val="nil"/>
              <w:left w:val="nil"/>
              <w:bottom w:val="single" w:sz="4" w:space="0" w:color="auto"/>
              <w:right w:val="single" w:sz="4" w:space="0" w:color="auto"/>
            </w:tcBorders>
            <w:shd w:val="clear" w:color="000000" w:fill="DCE6F1"/>
            <w:noWrap/>
            <w:vAlign w:val="bottom"/>
            <w:hideMark/>
          </w:tcPr>
          <w:p w:rsidR="005A2A80" w:rsidRPr="005A2A80" w:rsidRDefault="005A2A80" w:rsidP="005A2A80">
            <w:pPr>
              <w:jc w:val="center"/>
              <w:rPr>
                <w:rFonts w:asciiTheme="minorHAnsi" w:hAnsiTheme="minorHAnsi" w:cstheme="minorHAnsi"/>
                <w:color w:val="000000"/>
                <w:sz w:val="18"/>
                <w:szCs w:val="18"/>
              </w:rPr>
            </w:pPr>
            <w:r w:rsidRPr="005A2A80">
              <w:rPr>
                <w:rFonts w:asciiTheme="minorHAnsi" w:hAnsiTheme="minorHAnsi" w:cstheme="minorHAnsi"/>
                <w:color w:val="000000"/>
                <w:sz w:val="18"/>
                <w:szCs w:val="18"/>
              </w:rPr>
              <w:t>5.9%</w:t>
            </w:r>
          </w:p>
        </w:tc>
      </w:tr>
      <w:tr w:rsidR="005A2A80" w:rsidRPr="005A2A80" w:rsidTr="005A2A80">
        <w:trPr>
          <w:trHeight w:val="281"/>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5A2A80" w:rsidRPr="005A2A80" w:rsidRDefault="005A2A80" w:rsidP="005A2A80">
            <w:pPr>
              <w:jc w:val="center"/>
              <w:rPr>
                <w:rFonts w:asciiTheme="minorHAnsi" w:hAnsiTheme="minorHAnsi" w:cstheme="minorHAnsi"/>
                <w:color w:val="000000"/>
                <w:sz w:val="18"/>
                <w:szCs w:val="18"/>
              </w:rPr>
            </w:pPr>
            <w:r w:rsidRPr="005A2A80">
              <w:rPr>
                <w:rFonts w:asciiTheme="minorHAnsi" w:hAnsiTheme="minorHAnsi" w:cstheme="minorHAnsi"/>
                <w:color w:val="000000"/>
                <w:sz w:val="18"/>
                <w:szCs w:val="18"/>
              </w:rPr>
              <w:t>NSW</w:t>
            </w:r>
          </w:p>
        </w:tc>
        <w:tc>
          <w:tcPr>
            <w:tcW w:w="2284" w:type="dxa"/>
            <w:tcBorders>
              <w:top w:val="nil"/>
              <w:left w:val="nil"/>
              <w:bottom w:val="single" w:sz="4" w:space="0" w:color="auto"/>
              <w:right w:val="single" w:sz="4" w:space="0" w:color="auto"/>
            </w:tcBorders>
            <w:shd w:val="clear" w:color="auto" w:fill="auto"/>
            <w:noWrap/>
            <w:vAlign w:val="bottom"/>
            <w:hideMark/>
          </w:tcPr>
          <w:p w:rsidR="005A2A80" w:rsidRPr="005A2A80" w:rsidRDefault="005A2A80" w:rsidP="005A2A80">
            <w:pPr>
              <w:rPr>
                <w:rFonts w:asciiTheme="minorHAnsi" w:hAnsiTheme="minorHAnsi" w:cstheme="minorHAnsi"/>
                <w:color w:val="000000"/>
                <w:sz w:val="18"/>
                <w:szCs w:val="18"/>
              </w:rPr>
            </w:pPr>
            <w:r w:rsidRPr="005A2A80">
              <w:rPr>
                <w:rFonts w:asciiTheme="minorHAnsi" w:hAnsiTheme="minorHAnsi" w:cstheme="minorHAnsi"/>
                <w:color w:val="000000"/>
                <w:sz w:val="18"/>
                <w:szCs w:val="18"/>
              </w:rPr>
              <w:t>Undefined</w:t>
            </w:r>
          </w:p>
        </w:tc>
        <w:tc>
          <w:tcPr>
            <w:tcW w:w="851" w:type="dxa"/>
            <w:tcBorders>
              <w:top w:val="nil"/>
              <w:left w:val="nil"/>
              <w:bottom w:val="single" w:sz="4" w:space="0" w:color="auto"/>
              <w:right w:val="single" w:sz="4" w:space="0" w:color="auto"/>
            </w:tcBorders>
            <w:shd w:val="clear" w:color="auto" w:fill="auto"/>
            <w:noWrap/>
            <w:vAlign w:val="bottom"/>
            <w:hideMark/>
          </w:tcPr>
          <w:p w:rsidR="005A2A80" w:rsidRPr="005A2A80" w:rsidRDefault="005A2A80" w:rsidP="005A2A80">
            <w:pPr>
              <w:jc w:val="center"/>
              <w:rPr>
                <w:rFonts w:asciiTheme="minorHAnsi" w:hAnsiTheme="minorHAnsi" w:cstheme="minorHAnsi"/>
                <w:color w:val="000000"/>
                <w:sz w:val="18"/>
                <w:szCs w:val="18"/>
              </w:rPr>
            </w:pPr>
            <w:r w:rsidRPr="005A2A80">
              <w:rPr>
                <w:rFonts w:asciiTheme="minorHAnsi" w:hAnsiTheme="minorHAnsi" w:cstheme="minorHAnsi"/>
                <w:color w:val="000000"/>
                <w:sz w:val="18"/>
                <w:szCs w:val="18"/>
              </w:rPr>
              <w:t>1,751</w:t>
            </w:r>
          </w:p>
        </w:tc>
        <w:tc>
          <w:tcPr>
            <w:tcW w:w="992" w:type="dxa"/>
            <w:tcBorders>
              <w:top w:val="nil"/>
              <w:left w:val="nil"/>
              <w:bottom w:val="single" w:sz="4" w:space="0" w:color="auto"/>
              <w:right w:val="single" w:sz="4" w:space="0" w:color="auto"/>
            </w:tcBorders>
            <w:shd w:val="clear" w:color="auto" w:fill="auto"/>
            <w:noWrap/>
            <w:vAlign w:val="bottom"/>
            <w:hideMark/>
          </w:tcPr>
          <w:p w:rsidR="005A2A80" w:rsidRPr="005A2A80" w:rsidRDefault="005A2A80" w:rsidP="005A2A80">
            <w:pPr>
              <w:jc w:val="center"/>
              <w:rPr>
                <w:rFonts w:asciiTheme="minorHAnsi" w:hAnsiTheme="minorHAnsi" w:cstheme="minorHAnsi"/>
                <w:color w:val="000000"/>
                <w:sz w:val="18"/>
                <w:szCs w:val="18"/>
              </w:rPr>
            </w:pPr>
            <w:r w:rsidRPr="005A2A80">
              <w:rPr>
                <w:rFonts w:asciiTheme="minorHAnsi" w:hAnsiTheme="minorHAnsi" w:cstheme="minorHAnsi"/>
                <w:color w:val="000000"/>
                <w:sz w:val="18"/>
                <w:szCs w:val="18"/>
              </w:rPr>
              <w:t>5.6%</w:t>
            </w:r>
          </w:p>
        </w:tc>
      </w:tr>
      <w:tr w:rsidR="005A2A80" w:rsidRPr="005A2A80" w:rsidTr="005A2A80">
        <w:trPr>
          <w:trHeight w:val="281"/>
        </w:trPr>
        <w:tc>
          <w:tcPr>
            <w:tcW w:w="976" w:type="dxa"/>
            <w:tcBorders>
              <w:top w:val="nil"/>
              <w:left w:val="single" w:sz="4" w:space="0" w:color="auto"/>
              <w:bottom w:val="single" w:sz="4" w:space="0" w:color="auto"/>
              <w:right w:val="single" w:sz="4" w:space="0" w:color="auto"/>
            </w:tcBorders>
            <w:shd w:val="clear" w:color="000000" w:fill="DCE6F1"/>
            <w:noWrap/>
            <w:vAlign w:val="bottom"/>
            <w:hideMark/>
          </w:tcPr>
          <w:p w:rsidR="005A2A80" w:rsidRPr="005A2A80" w:rsidRDefault="005A2A80" w:rsidP="005A2A80">
            <w:pPr>
              <w:jc w:val="center"/>
              <w:rPr>
                <w:rFonts w:asciiTheme="minorHAnsi" w:hAnsiTheme="minorHAnsi" w:cstheme="minorHAnsi"/>
                <w:color w:val="000000"/>
                <w:sz w:val="18"/>
                <w:szCs w:val="18"/>
              </w:rPr>
            </w:pPr>
            <w:r w:rsidRPr="005A2A80">
              <w:rPr>
                <w:rFonts w:asciiTheme="minorHAnsi" w:hAnsiTheme="minorHAnsi" w:cstheme="minorHAnsi"/>
                <w:color w:val="000000"/>
                <w:sz w:val="18"/>
                <w:szCs w:val="18"/>
              </w:rPr>
              <w:t>NSW</w:t>
            </w:r>
          </w:p>
        </w:tc>
        <w:tc>
          <w:tcPr>
            <w:tcW w:w="2284" w:type="dxa"/>
            <w:tcBorders>
              <w:top w:val="nil"/>
              <w:left w:val="nil"/>
              <w:bottom w:val="single" w:sz="4" w:space="0" w:color="auto"/>
              <w:right w:val="single" w:sz="4" w:space="0" w:color="auto"/>
            </w:tcBorders>
            <w:shd w:val="clear" w:color="000000" w:fill="DCE6F1"/>
            <w:noWrap/>
            <w:vAlign w:val="bottom"/>
            <w:hideMark/>
          </w:tcPr>
          <w:p w:rsidR="005A2A80" w:rsidRPr="005A2A80" w:rsidRDefault="005A2A80" w:rsidP="005A2A80">
            <w:pPr>
              <w:rPr>
                <w:rFonts w:asciiTheme="minorHAnsi" w:hAnsiTheme="minorHAnsi" w:cstheme="minorHAnsi"/>
                <w:color w:val="000000"/>
                <w:sz w:val="18"/>
                <w:szCs w:val="18"/>
              </w:rPr>
            </w:pPr>
            <w:r w:rsidRPr="005A2A80">
              <w:rPr>
                <w:rFonts w:asciiTheme="minorHAnsi" w:hAnsiTheme="minorHAnsi" w:cstheme="minorHAnsi"/>
                <w:color w:val="000000"/>
                <w:sz w:val="18"/>
                <w:szCs w:val="18"/>
              </w:rPr>
              <w:t>New England North West</w:t>
            </w:r>
          </w:p>
        </w:tc>
        <w:tc>
          <w:tcPr>
            <w:tcW w:w="851" w:type="dxa"/>
            <w:tcBorders>
              <w:top w:val="nil"/>
              <w:left w:val="nil"/>
              <w:bottom w:val="single" w:sz="4" w:space="0" w:color="auto"/>
              <w:right w:val="single" w:sz="4" w:space="0" w:color="auto"/>
            </w:tcBorders>
            <w:shd w:val="clear" w:color="000000" w:fill="DCE6F1"/>
            <w:noWrap/>
            <w:vAlign w:val="bottom"/>
            <w:hideMark/>
          </w:tcPr>
          <w:p w:rsidR="005A2A80" w:rsidRPr="005A2A80" w:rsidRDefault="005A2A80" w:rsidP="005A2A80">
            <w:pPr>
              <w:jc w:val="center"/>
              <w:rPr>
                <w:rFonts w:asciiTheme="minorHAnsi" w:hAnsiTheme="minorHAnsi" w:cstheme="minorHAnsi"/>
                <w:color w:val="000000"/>
                <w:sz w:val="18"/>
                <w:szCs w:val="18"/>
              </w:rPr>
            </w:pPr>
            <w:r w:rsidRPr="005A2A80">
              <w:rPr>
                <w:rFonts w:asciiTheme="minorHAnsi" w:hAnsiTheme="minorHAnsi" w:cstheme="minorHAnsi"/>
                <w:color w:val="000000"/>
                <w:sz w:val="18"/>
                <w:szCs w:val="18"/>
              </w:rPr>
              <w:t>1,087</w:t>
            </w:r>
          </w:p>
        </w:tc>
        <w:tc>
          <w:tcPr>
            <w:tcW w:w="992" w:type="dxa"/>
            <w:tcBorders>
              <w:top w:val="nil"/>
              <w:left w:val="nil"/>
              <w:bottom w:val="single" w:sz="4" w:space="0" w:color="auto"/>
              <w:right w:val="single" w:sz="4" w:space="0" w:color="auto"/>
            </w:tcBorders>
            <w:shd w:val="clear" w:color="000000" w:fill="DCE6F1"/>
            <w:noWrap/>
            <w:vAlign w:val="bottom"/>
            <w:hideMark/>
          </w:tcPr>
          <w:p w:rsidR="005A2A80" w:rsidRPr="005A2A80" w:rsidRDefault="005A2A80" w:rsidP="005A2A80">
            <w:pPr>
              <w:jc w:val="center"/>
              <w:rPr>
                <w:rFonts w:asciiTheme="minorHAnsi" w:hAnsiTheme="minorHAnsi" w:cstheme="minorHAnsi"/>
                <w:color w:val="000000"/>
                <w:sz w:val="18"/>
                <w:szCs w:val="18"/>
              </w:rPr>
            </w:pPr>
            <w:r w:rsidRPr="005A2A80">
              <w:rPr>
                <w:rFonts w:asciiTheme="minorHAnsi" w:hAnsiTheme="minorHAnsi" w:cstheme="minorHAnsi"/>
                <w:color w:val="000000"/>
                <w:sz w:val="18"/>
                <w:szCs w:val="18"/>
              </w:rPr>
              <w:t>3.5%</w:t>
            </w:r>
          </w:p>
        </w:tc>
      </w:tr>
      <w:tr w:rsidR="005A2A80" w:rsidRPr="005A2A80" w:rsidTr="005A2A80">
        <w:trPr>
          <w:trHeight w:val="281"/>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5A2A80" w:rsidRPr="005A2A80" w:rsidRDefault="005A2A80" w:rsidP="005A2A80">
            <w:pPr>
              <w:jc w:val="center"/>
              <w:rPr>
                <w:rFonts w:asciiTheme="minorHAnsi" w:hAnsiTheme="minorHAnsi" w:cstheme="minorHAnsi"/>
                <w:color w:val="000000"/>
                <w:sz w:val="18"/>
                <w:szCs w:val="18"/>
              </w:rPr>
            </w:pPr>
            <w:r w:rsidRPr="005A2A80">
              <w:rPr>
                <w:rFonts w:asciiTheme="minorHAnsi" w:hAnsiTheme="minorHAnsi" w:cstheme="minorHAnsi"/>
                <w:color w:val="000000"/>
                <w:sz w:val="18"/>
                <w:szCs w:val="18"/>
              </w:rPr>
              <w:t>NSW</w:t>
            </w:r>
          </w:p>
        </w:tc>
        <w:tc>
          <w:tcPr>
            <w:tcW w:w="2284" w:type="dxa"/>
            <w:tcBorders>
              <w:top w:val="nil"/>
              <w:left w:val="nil"/>
              <w:bottom w:val="single" w:sz="4" w:space="0" w:color="auto"/>
              <w:right w:val="single" w:sz="4" w:space="0" w:color="auto"/>
            </w:tcBorders>
            <w:shd w:val="clear" w:color="auto" w:fill="auto"/>
            <w:noWrap/>
            <w:vAlign w:val="bottom"/>
            <w:hideMark/>
          </w:tcPr>
          <w:p w:rsidR="005A2A80" w:rsidRPr="005A2A80" w:rsidRDefault="005A2A80" w:rsidP="005A2A80">
            <w:pPr>
              <w:rPr>
                <w:rFonts w:asciiTheme="minorHAnsi" w:hAnsiTheme="minorHAnsi" w:cstheme="minorHAnsi"/>
                <w:color w:val="000000"/>
                <w:sz w:val="18"/>
                <w:szCs w:val="18"/>
              </w:rPr>
            </w:pPr>
            <w:r w:rsidRPr="005A2A80">
              <w:rPr>
                <w:rFonts w:asciiTheme="minorHAnsi" w:hAnsiTheme="minorHAnsi" w:cstheme="minorHAnsi"/>
                <w:color w:val="000000"/>
                <w:sz w:val="18"/>
                <w:szCs w:val="18"/>
              </w:rPr>
              <w:t>North Coast</w:t>
            </w:r>
          </w:p>
        </w:tc>
        <w:tc>
          <w:tcPr>
            <w:tcW w:w="851" w:type="dxa"/>
            <w:tcBorders>
              <w:top w:val="nil"/>
              <w:left w:val="nil"/>
              <w:bottom w:val="single" w:sz="4" w:space="0" w:color="auto"/>
              <w:right w:val="single" w:sz="4" w:space="0" w:color="auto"/>
            </w:tcBorders>
            <w:shd w:val="clear" w:color="auto" w:fill="auto"/>
            <w:noWrap/>
            <w:vAlign w:val="bottom"/>
            <w:hideMark/>
          </w:tcPr>
          <w:p w:rsidR="005A2A80" w:rsidRPr="005A2A80" w:rsidRDefault="005A2A80" w:rsidP="005A2A80">
            <w:pPr>
              <w:jc w:val="center"/>
              <w:rPr>
                <w:rFonts w:asciiTheme="minorHAnsi" w:hAnsiTheme="minorHAnsi" w:cstheme="minorHAnsi"/>
                <w:color w:val="000000"/>
                <w:sz w:val="18"/>
                <w:szCs w:val="18"/>
              </w:rPr>
            </w:pPr>
            <w:r w:rsidRPr="005A2A80">
              <w:rPr>
                <w:rFonts w:asciiTheme="minorHAnsi" w:hAnsiTheme="minorHAnsi" w:cstheme="minorHAnsi"/>
                <w:color w:val="000000"/>
                <w:sz w:val="18"/>
                <w:szCs w:val="18"/>
              </w:rPr>
              <w:t>1,068</w:t>
            </w:r>
          </w:p>
        </w:tc>
        <w:tc>
          <w:tcPr>
            <w:tcW w:w="992" w:type="dxa"/>
            <w:tcBorders>
              <w:top w:val="nil"/>
              <w:left w:val="nil"/>
              <w:bottom w:val="single" w:sz="4" w:space="0" w:color="auto"/>
              <w:right w:val="single" w:sz="4" w:space="0" w:color="auto"/>
            </w:tcBorders>
            <w:shd w:val="clear" w:color="auto" w:fill="auto"/>
            <w:noWrap/>
            <w:vAlign w:val="bottom"/>
            <w:hideMark/>
          </w:tcPr>
          <w:p w:rsidR="005A2A80" w:rsidRPr="005A2A80" w:rsidRDefault="005A2A80" w:rsidP="005A2A80">
            <w:pPr>
              <w:jc w:val="center"/>
              <w:rPr>
                <w:rFonts w:asciiTheme="minorHAnsi" w:hAnsiTheme="minorHAnsi" w:cstheme="minorHAnsi"/>
                <w:color w:val="000000"/>
                <w:sz w:val="18"/>
                <w:szCs w:val="18"/>
              </w:rPr>
            </w:pPr>
            <w:r w:rsidRPr="005A2A80">
              <w:rPr>
                <w:rFonts w:asciiTheme="minorHAnsi" w:hAnsiTheme="minorHAnsi" w:cstheme="minorHAnsi"/>
                <w:color w:val="000000"/>
                <w:sz w:val="18"/>
                <w:szCs w:val="18"/>
              </w:rPr>
              <w:t>3.4%</w:t>
            </w:r>
          </w:p>
        </w:tc>
      </w:tr>
      <w:tr w:rsidR="005A2A80" w:rsidRPr="005A2A80" w:rsidTr="005A2A80">
        <w:trPr>
          <w:trHeight w:val="281"/>
        </w:trPr>
        <w:tc>
          <w:tcPr>
            <w:tcW w:w="976" w:type="dxa"/>
            <w:tcBorders>
              <w:top w:val="nil"/>
              <w:left w:val="single" w:sz="4" w:space="0" w:color="auto"/>
              <w:bottom w:val="single" w:sz="4" w:space="0" w:color="auto"/>
              <w:right w:val="single" w:sz="4" w:space="0" w:color="auto"/>
            </w:tcBorders>
            <w:shd w:val="clear" w:color="000000" w:fill="DCE6F1"/>
            <w:noWrap/>
            <w:vAlign w:val="bottom"/>
            <w:hideMark/>
          </w:tcPr>
          <w:p w:rsidR="005A2A80" w:rsidRPr="005A2A80" w:rsidRDefault="005A2A80" w:rsidP="005A2A80">
            <w:pPr>
              <w:jc w:val="center"/>
              <w:rPr>
                <w:rFonts w:asciiTheme="minorHAnsi" w:hAnsiTheme="minorHAnsi" w:cstheme="minorHAnsi"/>
                <w:color w:val="000000"/>
                <w:sz w:val="18"/>
                <w:szCs w:val="18"/>
              </w:rPr>
            </w:pPr>
            <w:r w:rsidRPr="005A2A80">
              <w:rPr>
                <w:rFonts w:asciiTheme="minorHAnsi" w:hAnsiTheme="minorHAnsi" w:cstheme="minorHAnsi"/>
                <w:color w:val="000000"/>
                <w:sz w:val="18"/>
                <w:szCs w:val="18"/>
              </w:rPr>
              <w:t>VIC</w:t>
            </w:r>
          </w:p>
        </w:tc>
        <w:tc>
          <w:tcPr>
            <w:tcW w:w="2284" w:type="dxa"/>
            <w:tcBorders>
              <w:top w:val="nil"/>
              <w:left w:val="nil"/>
              <w:bottom w:val="single" w:sz="4" w:space="0" w:color="auto"/>
              <w:right w:val="single" w:sz="4" w:space="0" w:color="auto"/>
            </w:tcBorders>
            <w:shd w:val="clear" w:color="000000" w:fill="DCE6F1"/>
            <w:noWrap/>
            <w:vAlign w:val="bottom"/>
            <w:hideMark/>
          </w:tcPr>
          <w:p w:rsidR="005A2A80" w:rsidRPr="005A2A80" w:rsidRDefault="005A2A80" w:rsidP="005A2A80">
            <w:pPr>
              <w:rPr>
                <w:rFonts w:asciiTheme="minorHAnsi" w:hAnsiTheme="minorHAnsi" w:cstheme="minorHAnsi"/>
                <w:color w:val="000000"/>
                <w:sz w:val="18"/>
                <w:szCs w:val="18"/>
              </w:rPr>
            </w:pPr>
            <w:r w:rsidRPr="005A2A80">
              <w:rPr>
                <w:rFonts w:asciiTheme="minorHAnsi" w:hAnsiTheme="minorHAnsi" w:cstheme="minorHAnsi"/>
                <w:color w:val="000000"/>
                <w:sz w:val="18"/>
                <w:szCs w:val="18"/>
              </w:rPr>
              <w:t>Ballarat</w:t>
            </w:r>
          </w:p>
        </w:tc>
        <w:tc>
          <w:tcPr>
            <w:tcW w:w="851" w:type="dxa"/>
            <w:tcBorders>
              <w:top w:val="nil"/>
              <w:left w:val="nil"/>
              <w:bottom w:val="single" w:sz="4" w:space="0" w:color="auto"/>
              <w:right w:val="single" w:sz="4" w:space="0" w:color="auto"/>
            </w:tcBorders>
            <w:shd w:val="clear" w:color="000000" w:fill="DCE6F1"/>
            <w:noWrap/>
            <w:vAlign w:val="bottom"/>
            <w:hideMark/>
          </w:tcPr>
          <w:p w:rsidR="005A2A80" w:rsidRPr="005A2A80" w:rsidRDefault="005A2A80" w:rsidP="005A2A80">
            <w:pPr>
              <w:jc w:val="center"/>
              <w:rPr>
                <w:rFonts w:asciiTheme="minorHAnsi" w:hAnsiTheme="minorHAnsi" w:cstheme="minorHAnsi"/>
                <w:color w:val="000000"/>
                <w:sz w:val="18"/>
                <w:szCs w:val="18"/>
              </w:rPr>
            </w:pPr>
            <w:r w:rsidRPr="005A2A80">
              <w:rPr>
                <w:rFonts w:asciiTheme="minorHAnsi" w:hAnsiTheme="minorHAnsi" w:cstheme="minorHAnsi"/>
                <w:color w:val="000000"/>
                <w:sz w:val="18"/>
                <w:szCs w:val="18"/>
              </w:rPr>
              <w:t>883</w:t>
            </w:r>
          </w:p>
        </w:tc>
        <w:tc>
          <w:tcPr>
            <w:tcW w:w="992" w:type="dxa"/>
            <w:tcBorders>
              <w:top w:val="nil"/>
              <w:left w:val="nil"/>
              <w:bottom w:val="single" w:sz="4" w:space="0" w:color="auto"/>
              <w:right w:val="single" w:sz="4" w:space="0" w:color="auto"/>
            </w:tcBorders>
            <w:shd w:val="clear" w:color="000000" w:fill="DCE6F1"/>
            <w:noWrap/>
            <w:vAlign w:val="bottom"/>
            <w:hideMark/>
          </w:tcPr>
          <w:p w:rsidR="005A2A80" w:rsidRPr="005A2A80" w:rsidRDefault="005A2A80" w:rsidP="005A2A80">
            <w:pPr>
              <w:jc w:val="center"/>
              <w:rPr>
                <w:rFonts w:asciiTheme="minorHAnsi" w:hAnsiTheme="minorHAnsi" w:cstheme="minorHAnsi"/>
                <w:color w:val="000000"/>
                <w:sz w:val="18"/>
                <w:szCs w:val="18"/>
              </w:rPr>
            </w:pPr>
            <w:r w:rsidRPr="005A2A80">
              <w:rPr>
                <w:rFonts w:asciiTheme="minorHAnsi" w:hAnsiTheme="minorHAnsi" w:cstheme="minorHAnsi"/>
                <w:color w:val="000000"/>
                <w:sz w:val="18"/>
                <w:szCs w:val="18"/>
              </w:rPr>
              <w:t>2.8%</w:t>
            </w:r>
          </w:p>
        </w:tc>
      </w:tr>
      <w:tr w:rsidR="005A2A80" w:rsidRPr="005A2A80" w:rsidTr="005A2A80">
        <w:trPr>
          <w:trHeight w:val="281"/>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5A2A80" w:rsidRPr="005A2A80" w:rsidRDefault="005A2A80" w:rsidP="005A2A80">
            <w:pPr>
              <w:jc w:val="center"/>
              <w:rPr>
                <w:rFonts w:asciiTheme="minorHAnsi" w:hAnsiTheme="minorHAnsi" w:cstheme="minorHAnsi"/>
                <w:i/>
                <w:iCs/>
                <w:color w:val="000000"/>
                <w:sz w:val="18"/>
                <w:szCs w:val="18"/>
              </w:rPr>
            </w:pPr>
            <w:r w:rsidRPr="005A2A80">
              <w:rPr>
                <w:rFonts w:asciiTheme="minorHAnsi" w:hAnsiTheme="minorHAnsi" w:cstheme="minorHAnsi"/>
                <w:i/>
                <w:iCs/>
                <w:color w:val="000000"/>
                <w:sz w:val="18"/>
                <w:szCs w:val="18"/>
              </w:rPr>
              <w:t>Other</w:t>
            </w:r>
          </w:p>
        </w:tc>
        <w:tc>
          <w:tcPr>
            <w:tcW w:w="2284" w:type="dxa"/>
            <w:tcBorders>
              <w:top w:val="nil"/>
              <w:left w:val="nil"/>
              <w:bottom w:val="nil"/>
              <w:right w:val="single" w:sz="4" w:space="0" w:color="auto"/>
            </w:tcBorders>
            <w:shd w:val="clear" w:color="auto" w:fill="auto"/>
            <w:noWrap/>
            <w:vAlign w:val="bottom"/>
            <w:hideMark/>
          </w:tcPr>
          <w:p w:rsidR="005A2A80" w:rsidRPr="005A2A80" w:rsidRDefault="005A2A80" w:rsidP="005A2A80">
            <w:pPr>
              <w:rPr>
                <w:rFonts w:asciiTheme="minorHAnsi" w:hAnsiTheme="minorHAnsi" w:cstheme="minorHAnsi"/>
                <w:i/>
                <w:iCs/>
                <w:color w:val="000000"/>
                <w:sz w:val="18"/>
                <w:szCs w:val="18"/>
              </w:rPr>
            </w:pPr>
            <w:r w:rsidRPr="005A2A80">
              <w:rPr>
                <w:rFonts w:asciiTheme="minorHAnsi" w:hAnsiTheme="minorHAnsi" w:cstheme="minorHAnsi"/>
                <w:i/>
                <w:iCs/>
                <w:color w:val="000000"/>
                <w:sz w:val="18"/>
                <w:szCs w:val="18"/>
              </w:rPr>
              <w:t>Other locations</w:t>
            </w:r>
          </w:p>
        </w:tc>
        <w:tc>
          <w:tcPr>
            <w:tcW w:w="851" w:type="dxa"/>
            <w:tcBorders>
              <w:top w:val="nil"/>
              <w:left w:val="nil"/>
              <w:bottom w:val="single" w:sz="4" w:space="0" w:color="auto"/>
              <w:right w:val="single" w:sz="4" w:space="0" w:color="auto"/>
            </w:tcBorders>
            <w:shd w:val="clear" w:color="auto" w:fill="auto"/>
            <w:noWrap/>
            <w:vAlign w:val="bottom"/>
            <w:hideMark/>
          </w:tcPr>
          <w:p w:rsidR="005A2A80" w:rsidRPr="005A2A80" w:rsidRDefault="005A2A80" w:rsidP="005A2A80">
            <w:pPr>
              <w:jc w:val="center"/>
              <w:rPr>
                <w:rFonts w:asciiTheme="minorHAnsi" w:hAnsiTheme="minorHAnsi" w:cstheme="minorHAnsi"/>
                <w:i/>
                <w:iCs/>
                <w:color w:val="000000"/>
                <w:sz w:val="18"/>
                <w:szCs w:val="18"/>
              </w:rPr>
            </w:pPr>
            <w:r w:rsidRPr="005A2A80">
              <w:rPr>
                <w:rFonts w:asciiTheme="minorHAnsi" w:hAnsiTheme="minorHAnsi" w:cstheme="minorHAnsi"/>
                <w:i/>
                <w:iCs/>
                <w:color w:val="000000"/>
                <w:sz w:val="18"/>
                <w:szCs w:val="18"/>
              </w:rPr>
              <w:t>4,413</w:t>
            </w:r>
          </w:p>
        </w:tc>
        <w:tc>
          <w:tcPr>
            <w:tcW w:w="992" w:type="dxa"/>
            <w:tcBorders>
              <w:top w:val="nil"/>
              <w:left w:val="nil"/>
              <w:bottom w:val="single" w:sz="4" w:space="0" w:color="auto"/>
              <w:right w:val="single" w:sz="4" w:space="0" w:color="auto"/>
            </w:tcBorders>
            <w:shd w:val="clear" w:color="auto" w:fill="auto"/>
            <w:noWrap/>
            <w:vAlign w:val="bottom"/>
            <w:hideMark/>
          </w:tcPr>
          <w:p w:rsidR="005A2A80" w:rsidRPr="005A2A80" w:rsidRDefault="005A2A80" w:rsidP="005A2A80">
            <w:pPr>
              <w:jc w:val="center"/>
              <w:rPr>
                <w:rFonts w:asciiTheme="minorHAnsi" w:hAnsiTheme="minorHAnsi" w:cstheme="minorHAnsi"/>
                <w:i/>
                <w:iCs/>
                <w:color w:val="000000"/>
                <w:sz w:val="18"/>
                <w:szCs w:val="18"/>
              </w:rPr>
            </w:pPr>
            <w:r w:rsidRPr="005A2A80">
              <w:rPr>
                <w:rFonts w:asciiTheme="minorHAnsi" w:hAnsiTheme="minorHAnsi" w:cstheme="minorHAnsi"/>
                <w:i/>
                <w:iCs/>
                <w:color w:val="000000"/>
                <w:sz w:val="18"/>
                <w:szCs w:val="18"/>
              </w:rPr>
              <w:t>14.1%</w:t>
            </w:r>
          </w:p>
        </w:tc>
      </w:tr>
      <w:tr w:rsidR="005A2A80" w:rsidRPr="005A2A80" w:rsidTr="005A2A80">
        <w:trPr>
          <w:trHeight w:val="281"/>
        </w:trPr>
        <w:tc>
          <w:tcPr>
            <w:tcW w:w="3260" w:type="dxa"/>
            <w:gridSpan w:val="2"/>
            <w:tcBorders>
              <w:top w:val="single" w:sz="4" w:space="0" w:color="auto"/>
              <w:left w:val="single" w:sz="4" w:space="0" w:color="auto"/>
              <w:bottom w:val="single" w:sz="4" w:space="0" w:color="auto"/>
              <w:right w:val="single" w:sz="4" w:space="0" w:color="000000"/>
            </w:tcBorders>
            <w:shd w:val="clear" w:color="000000" w:fill="538DD5"/>
            <w:noWrap/>
            <w:vAlign w:val="bottom"/>
            <w:hideMark/>
          </w:tcPr>
          <w:p w:rsidR="005A2A80" w:rsidRPr="005A2A80" w:rsidRDefault="005A2A80" w:rsidP="005A2A80">
            <w:pPr>
              <w:jc w:val="center"/>
              <w:rPr>
                <w:rFonts w:asciiTheme="minorHAnsi" w:hAnsiTheme="minorHAnsi" w:cstheme="minorHAnsi"/>
                <w:b/>
                <w:bCs/>
                <w:color w:val="FFFFFF"/>
                <w:sz w:val="18"/>
                <w:szCs w:val="18"/>
              </w:rPr>
            </w:pPr>
            <w:r w:rsidRPr="005A2A80">
              <w:rPr>
                <w:rFonts w:asciiTheme="minorHAnsi" w:hAnsiTheme="minorHAnsi" w:cstheme="minorHAnsi"/>
                <w:b/>
                <w:bCs/>
                <w:color w:val="FFFFFF"/>
                <w:sz w:val="18"/>
                <w:szCs w:val="18"/>
              </w:rPr>
              <w:t>Total</w:t>
            </w:r>
          </w:p>
        </w:tc>
        <w:tc>
          <w:tcPr>
            <w:tcW w:w="851" w:type="dxa"/>
            <w:tcBorders>
              <w:top w:val="nil"/>
              <w:left w:val="nil"/>
              <w:bottom w:val="single" w:sz="4" w:space="0" w:color="auto"/>
              <w:right w:val="single" w:sz="4" w:space="0" w:color="auto"/>
            </w:tcBorders>
            <w:shd w:val="clear" w:color="000000" w:fill="538DD5"/>
            <w:noWrap/>
            <w:vAlign w:val="bottom"/>
            <w:hideMark/>
          </w:tcPr>
          <w:p w:rsidR="005A2A80" w:rsidRPr="005A2A80" w:rsidRDefault="005A2A80" w:rsidP="005A2A80">
            <w:pPr>
              <w:jc w:val="center"/>
              <w:rPr>
                <w:rFonts w:asciiTheme="minorHAnsi" w:hAnsiTheme="minorHAnsi" w:cstheme="minorHAnsi"/>
                <w:b/>
                <w:bCs/>
                <w:color w:val="FFFFFF"/>
                <w:sz w:val="18"/>
                <w:szCs w:val="18"/>
              </w:rPr>
            </w:pPr>
            <w:r w:rsidRPr="005A2A80">
              <w:rPr>
                <w:rFonts w:asciiTheme="minorHAnsi" w:hAnsiTheme="minorHAnsi" w:cstheme="minorHAnsi"/>
                <w:b/>
                <w:bCs/>
                <w:color w:val="FFFFFF"/>
                <w:sz w:val="18"/>
                <w:szCs w:val="18"/>
              </w:rPr>
              <w:t>31,334</w:t>
            </w:r>
          </w:p>
        </w:tc>
        <w:tc>
          <w:tcPr>
            <w:tcW w:w="992" w:type="dxa"/>
            <w:tcBorders>
              <w:top w:val="nil"/>
              <w:left w:val="nil"/>
              <w:bottom w:val="single" w:sz="4" w:space="0" w:color="auto"/>
              <w:right w:val="single" w:sz="4" w:space="0" w:color="auto"/>
            </w:tcBorders>
            <w:shd w:val="clear" w:color="000000" w:fill="538DD5"/>
            <w:noWrap/>
            <w:vAlign w:val="bottom"/>
            <w:hideMark/>
          </w:tcPr>
          <w:p w:rsidR="005A2A80" w:rsidRPr="005A2A80" w:rsidRDefault="005A2A80" w:rsidP="005A2A80">
            <w:pPr>
              <w:jc w:val="center"/>
              <w:rPr>
                <w:rFonts w:asciiTheme="minorHAnsi" w:hAnsiTheme="minorHAnsi" w:cstheme="minorHAnsi"/>
                <w:b/>
                <w:bCs/>
                <w:color w:val="FFFFFF"/>
                <w:sz w:val="18"/>
                <w:szCs w:val="18"/>
              </w:rPr>
            </w:pPr>
            <w:r w:rsidRPr="005A2A80">
              <w:rPr>
                <w:rFonts w:asciiTheme="minorHAnsi" w:hAnsiTheme="minorHAnsi" w:cstheme="minorHAnsi"/>
                <w:b/>
                <w:bCs/>
                <w:color w:val="FFFFFF"/>
                <w:sz w:val="18"/>
                <w:szCs w:val="18"/>
              </w:rPr>
              <w:t>100.0%</w:t>
            </w:r>
          </w:p>
        </w:tc>
      </w:tr>
    </w:tbl>
    <w:p w:rsidR="00E55134" w:rsidRPr="00E816C2" w:rsidRDefault="00E55134" w:rsidP="00E55134">
      <w:pPr>
        <w:ind w:left="142"/>
        <w:rPr>
          <w:rFonts w:ascii="Calibri" w:hAnsi="Calibri" w:cs="Calibri"/>
          <w:i/>
          <w:iCs/>
          <w:color w:val="000000"/>
          <w:sz w:val="16"/>
          <w:szCs w:val="18"/>
        </w:rPr>
      </w:pPr>
      <w:bookmarkStart w:id="0" w:name="_GoBack"/>
      <w:bookmarkEnd w:id="0"/>
      <w:r>
        <w:rPr>
          <w:rFonts w:ascii="Calibri" w:hAnsi="Calibri" w:cs="Calibri"/>
          <w:i/>
          <w:iCs/>
          <w:color w:val="000000"/>
          <w:sz w:val="16"/>
          <w:szCs w:val="18"/>
        </w:rPr>
        <w:t>As shown in Table 1, the combined total of enrolments in regional areas of SA, WA, Tasmania, NT and ACT was less than 400.</w:t>
      </w:r>
    </w:p>
    <w:p w:rsidR="00FF233B" w:rsidRPr="00F21C7C" w:rsidRDefault="00F21C7C" w:rsidP="002A6788">
      <w:pPr>
        <w:spacing w:before="120"/>
        <w:rPr>
          <w:rFonts w:asciiTheme="minorHAnsi" w:hAnsiTheme="minorHAnsi" w:cstheme="minorHAnsi"/>
          <w:b/>
          <w:szCs w:val="14"/>
        </w:rPr>
      </w:pPr>
      <w:r w:rsidRPr="00F21C7C">
        <w:rPr>
          <w:rFonts w:asciiTheme="minorHAnsi" w:hAnsiTheme="minorHAnsi" w:cstheme="minorHAnsi"/>
          <w:b/>
          <w:szCs w:val="14"/>
        </w:rPr>
        <w:t>Nationality</w:t>
      </w:r>
    </w:p>
    <w:p w:rsidR="007A73C0" w:rsidRDefault="001553BF" w:rsidP="00473702">
      <w:pPr>
        <w:spacing w:after="120"/>
        <w:ind w:right="170"/>
        <w:rPr>
          <w:rFonts w:asciiTheme="minorHAnsi" w:hAnsiTheme="minorHAnsi" w:cstheme="minorHAnsi"/>
          <w:szCs w:val="14"/>
        </w:rPr>
      </w:pPr>
      <w:r>
        <w:rPr>
          <w:rFonts w:asciiTheme="minorHAnsi" w:hAnsiTheme="minorHAnsi" w:cstheme="minorHAnsi"/>
          <w:szCs w:val="14"/>
        </w:rPr>
        <w:t xml:space="preserve">Although China and India were the top source countries </w:t>
      </w:r>
      <w:r w:rsidR="00782CB9">
        <w:rPr>
          <w:rFonts w:asciiTheme="minorHAnsi" w:hAnsiTheme="minorHAnsi" w:cstheme="minorHAnsi"/>
          <w:szCs w:val="14"/>
        </w:rPr>
        <w:t>for</w:t>
      </w:r>
      <w:r>
        <w:rPr>
          <w:rFonts w:asciiTheme="minorHAnsi" w:hAnsiTheme="minorHAnsi" w:cstheme="minorHAnsi"/>
          <w:szCs w:val="14"/>
        </w:rPr>
        <w:t xml:space="preserve"> enrolments in regional areas, </w:t>
      </w:r>
      <w:r w:rsidR="002822BE">
        <w:rPr>
          <w:rFonts w:asciiTheme="minorHAnsi" w:hAnsiTheme="minorHAnsi" w:cstheme="minorHAnsi"/>
          <w:szCs w:val="14"/>
        </w:rPr>
        <w:t xml:space="preserve">only around five percent of </w:t>
      </w:r>
      <w:r w:rsidR="00782CB9">
        <w:rPr>
          <w:rFonts w:asciiTheme="minorHAnsi" w:hAnsiTheme="minorHAnsi" w:cstheme="minorHAnsi"/>
          <w:szCs w:val="14"/>
        </w:rPr>
        <w:t xml:space="preserve">total </w:t>
      </w:r>
      <w:r w:rsidR="002822BE">
        <w:rPr>
          <w:rFonts w:asciiTheme="minorHAnsi" w:hAnsiTheme="minorHAnsi" w:cstheme="minorHAnsi"/>
          <w:szCs w:val="14"/>
        </w:rPr>
        <w:t>enrolments from each country were in regional area</w:t>
      </w:r>
      <w:r w:rsidR="00782CB9">
        <w:rPr>
          <w:rFonts w:asciiTheme="minorHAnsi" w:hAnsiTheme="minorHAnsi" w:cstheme="minorHAnsi"/>
          <w:szCs w:val="14"/>
        </w:rPr>
        <w:t>s</w:t>
      </w:r>
      <w:r w:rsidR="002822BE">
        <w:rPr>
          <w:rFonts w:asciiTheme="minorHAnsi" w:hAnsiTheme="minorHAnsi" w:cstheme="minorHAnsi"/>
          <w:szCs w:val="14"/>
        </w:rPr>
        <w:t>. In contrast, nearly 16 per cent of enrolments from the USA were in regional areas, making it the 3</w:t>
      </w:r>
      <w:r w:rsidR="002822BE" w:rsidRPr="002822BE">
        <w:rPr>
          <w:rFonts w:asciiTheme="minorHAnsi" w:hAnsiTheme="minorHAnsi" w:cstheme="minorHAnsi"/>
          <w:szCs w:val="14"/>
          <w:vertAlign w:val="superscript"/>
        </w:rPr>
        <w:t>rd</w:t>
      </w:r>
      <w:r w:rsidR="002822BE">
        <w:rPr>
          <w:rFonts w:asciiTheme="minorHAnsi" w:hAnsiTheme="minorHAnsi" w:cstheme="minorHAnsi"/>
          <w:szCs w:val="14"/>
        </w:rPr>
        <w:t xml:space="preserve"> largest source country of regional area enrolments</w:t>
      </w:r>
      <w:r w:rsidR="00782CB9">
        <w:rPr>
          <w:rFonts w:asciiTheme="minorHAnsi" w:hAnsiTheme="minorHAnsi" w:cstheme="minorHAnsi"/>
          <w:szCs w:val="14"/>
        </w:rPr>
        <w:t xml:space="preserve">, although it is </w:t>
      </w:r>
      <w:r w:rsidR="00782CB9">
        <w:rPr>
          <w:rFonts w:asciiTheme="minorHAnsi" w:hAnsiTheme="minorHAnsi" w:cstheme="minorHAnsi"/>
          <w:szCs w:val="14"/>
        </w:rPr>
        <w:lastRenderedPageBreak/>
        <w:t>ranked as the 17</w:t>
      </w:r>
      <w:r w:rsidR="00782CB9" w:rsidRPr="00782CB9">
        <w:rPr>
          <w:rFonts w:asciiTheme="minorHAnsi" w:hAnsiTheme="minorHAnsi" w:cstheme="minorHAnsi"/>
          <w:szCs w:val="14"/>
          <w:vertAlign w:val="superscript"/>
        </w:rPr>
        <w:t>th</w:t>
      </w:r>
      <w:r w:rsidR="00782CB9">
        <w:rPr>
          <w:rFonts w:asciiTheme="minorHAnsi" w:hAnsiTheme="minorHAnsi" w:cstheme="minorHAnsi"/>
          <w:szCs w:val="14"/>
        </w:rPr>
        <w:t xml:space="preserve"> largest source country for total enrolments.</w:t>
      </w:r>
      <w:r w:rsidR="007A73C0">
        <w:rPr>
          <w:rFonts w:asciiTheme="minorHAnsi" w:hAnsiTheme="minorHAnsi" w:cstheme="minorHAnsi"/>
          <w:szCs w:val="14"/>
        </w:rPr>
        <w:t xml:space="preserve"> </w:t>
      </w:r>
    </w:p>
    <w:p w:rsidR="0023307D" w:rsidRDefault="00887C4F" w:rsidP="00473702">
      <w:pPr>
        <w:spacing w:before="120"/>
        <w:ind w:right="170"/>
        <w:rPr>
          <w:rFonts w:asciiTheme="minorHAnsi" w:hAnsiTheme="minorHAnsi" w:cstheme="minorHAnsi"/>
          <w:szCs w:val="14"/>
        </w:rPr>
      </w:pPr>
      <w:r>
        <w:rPr>
          <w:rFonts w:asciiTheme="minorHAnsi" w:hAnsiTheme="minorHAnsi" w:cstheme="minorHAnsi"/>
          <w:b/>
          <w:szCs w:val="14"/>
        </w:rPr>
        <w:t>L</w:t>
      </w:r>
      <w:r w:rsidR="0023307D">
        <w:rPr>
          <w:rFonts w:asciiTheme="minorHAnsi" w:hAnsiTheme="minorHAnsi" w:cstheme="minorHAnsi"/>
          <w:b/>
          <w:szCs w:val="14"/>
        </w:rPr>
        <w:t xml:space="preserve">evel of study </w:t>
      </w:r>
      <w:r w:rsidR="0033352E">
        <w:rPr>
          <w:rFonts w:asciiTheme="minorHAnsi" w:hAnsiTheme="minorHAnsi" w:cstheme="minorHAnsi"/>
          <w:b/>
          <w:szCs w:val="14"/>
        </w:rPr>
        <w:t>and field of education</w:t>
      </w:r>
    </w:p>
    <w:p w:rsidR="00473702" w:rsidRDefault="00782CB9" w:rsidP="006819F3">
      <w:pPr>
        <w:spacing w:after="120"/>
        <w:ind w:right="170"/>
        <w:rPr>
          <w:rFonts w:asciiTheme="minorHAnsi" w:hAnsiTheme="minorHAnsi" w:cstheme="minorHAnsi"/>
          <w:szCs w:val="20"/>
        </w:rPr>
      </w:pPr>
      <w:r>
        <w:rPr>
          <w:rFonts w:asciiTheme="minorHAnsi" w:hAnsiTheme="minorHAnsi" w:cstheme="minorHAnsi"/>
          <w:szCs w:val="20"/>
        </w:rPr>
        <w:t>A</w:t>
      </w:r>
      <w:r w:rsidR="00F90B12">
        <w:rPr>
          <w:rFonts w:asciiTheme="minorHAnsi" w:hAnsiTheme="minorHAnsi" w:cstheme="minorHAnsi"/>
          <w:szCs w:val="20"/>
        </w:rPr>
        <w:t>s</w:t>
      </w:r>
      <w:r>
        <w:rPr>
          <w:rFonts w:asciiTheme="minorHAnsi" w:hAnsiTheme="minorHAnsi" w:cstheme="minorHAnsi"/>
          <w:szCs w:val="20"/>
        </w:rPr>
        <w:t xml:space="preserve"> shown in Chart 1, enrolments in regional areas were more likely to be in higher education, schools or non-award than in VET or </w:t>
      </w:r>
      <w:proofErr w:type="spellStart"/>
      <w:r>
        <w:rPr>
          <w:rFonts w:asciiTheme="minorHAnsi" w:hAnsiTheme="minorHAnsi" w:cstheme="minorHAnsi"/>
          <w:szCs w:val="20"/>
        </w:rPr>
        <w:t>ELICOS</w:t>
      </w:r>
      <w:proofErr w:type="spellEnd"/>
      <w:r>
        <w:rPr>
          <w:rFonts w:asciiTheme="minorHAnsi" w:hAnsiTheme="minorHAnsi" w:cstheme="minorHAnsi"/>
          <w:szCs w:val="20"/>
        </w:rPr>
        <w:t xml:space="preserve">. </w:t>
      </w:r>
      <w:r w:rsidR="00557CFA">
        <w:rPr>
          <w:rFonts w:asciiTheme="minorHAnsi" w:hAnsiTheme="minorHAnsi" w:cstheme="minorHAnsi"/>
          <w:szCs w:val="20"/>
        </w:rPr>
        <w:t xml:space="preserve">Over half (54%) of international students </w:t>
      </w:r>
      <w:r w:rsidR="00217C04">
        <w:rPr>
          <w:rFonts w:asciiTheme="minorHAnsi" w:hAnsiTheme="minorHAnsi" w:cstheme="minorHAnsi"/>
          <w:szCs w:val="20"/>
        </w:rPr>
        <w:t>studying in regional campuses</w:t>
      </w:r>
      <w:r w:rsidR="00557CFA">
        <w:rPr>
          <w:rFonts w:asciiTheme="minorHAnsi" w:hAnsiTheme="minorHAnsi" w:cstheme="minorHAnsi"/>
          <w:szCs w:val="20"/>
        </w:rPr>
        <w:t xml:space="preserve"> were enrolled in higher education courses</w:t>
      </w:r>
      <w:r>
        <w:rPr>
          <w:rFonts w:asciiTheme="minorHAnsi" w:hAnsiTheme="minorHAnsi" w:cstheme="minorHAnsi"/>
          <w:szCs w:val="20"/>
        </w:rPr>
        <w:t xml:space="preserve">. </w:t>
      </w:r>
    </w:p>
    <w:p w:rsidR="002147F0" w:rsidRPr="007A14C1" w:rsidRDefault="00BB0AAF" w:rsidP="00473702">
      <w:pPr>
        <w:spacing w:after="60"/>
        <w:ind w:right="170"/>
        <w:rPr>
          <w:rFonts w:asciiTheme="minorHAnsi" w:hAnsiTheme="minorHAnsi" w:cstheme="minorHAnsi"/>
          <w:szCs w:val="20"/>
        </w:rPr>
      </w:pPr>
      <w:r>
        <w:rPr>
          <w:rFonts w:asciiTheme="minorHAnsi" w:hAnsiTheme="minorHAnsi" w:cstheme="minorHAnsi"/>
          <w:szCs w:val="20"/>
        </w:rPr>
        <w:t xml:space="preserve">In both regional and metropolitan areas, the majority of higher education enrolments were in </w:t>
      </w:r>
      <w:r w:rsidR="00AE43DE">
        <w:rPr>
          <w:rFonts w:asciiTheme="minorHAnsi" w:hAnsiTheme="minorHAnsi" w:cstheme="minorHAnsi"/>
          <w:szCs w:val="20"/>
        </w:rPr>
        <w:t>b</w:t>
      </w:r>
      <w:r w:rsidR="001C08A7">
        <w:rPr>
          <w:rFonts w:asciiTheme="minorHAnsi" w:hAnsiTheme="minorHAnsi" w:cstheme="minorHAnsi"/>
          <w:szCs w:val="20"/>
        </w:rPr>
        <w:t xml:space="preserve">achelor </w:t>
      </w:r>
      <w:r>
        <w:rPr>
          <w:rFonts w:asciiTheme="minorHAnsi" w:hAnsiTheme="minorHAnsi" w:cstheme="minorHAnsi"/>
          <w:szCs w:val="20"/>
        </w:rPr>
        <w:t xml:space="preserve">or </w:t>
      </w:r>
      <w:r w:rsidR="00AE43DE">
        <w:rPr>
          <w:rFonts w:asciiTheme="minorHAnsi" w:hAnsiTheme="minorHAnsi" w:cstheme="minorHAnsi"/>
          <w:szCs w:val="20"/>
        </w:rPr>
        <w:t>m</w:t>
      </w:r>
      <w:r w:rsidR="0037094F">
        <w:rPr>
          <w:rFonts w:asciiTheme="minorHAnsi" w:hAnsiTheme="minorHAnsi" w:cstheme="minorHAnsi"/>
          <w:szCs w:val="20"/>
        </w:rPr>
        <w:t xml:space="preserve">asters </w:t>
      </w:r>
      <w:r>
        <w:rPr>
          <w:rFonts w:asciiTheme="minorHAnsi" w:hAnsiTheme="minorHAnsi" w:cstheme="minorHAnsi"/>
          <w:szCs w:val="20"/>
        </w:rPr>
        <w:t>(</w:t>
      </w:r>
      <w:r w:rsidR="0037094F">
        <w:rPr>
          <w:rFonts w:asciiTheme="minorHAnsi" w:hAnsiTheme="minorHAnsi" w:cstheme="minorHAnsi"/>
          <w:szCs w:val="20"/>
        </w:rPr>
        <w:t>by coursework</w:t>
      </w:r>
      <w:r>
        <w:rPr>
          <w:rFonts w:asciiTheme="minorHAnsi" w:hAnsiTheme="minorHAnsi" w:cstheme="minorHAnsi"/>
          <w:szCs w:val="20"/>
        </w:rPr>
        <w:t>) degree courses. However, 15 per cent of enrolments in regional areas were in postgraduate research, compared with 6 per cent in metropolitan areas</w:t>
      </w:r>
      <w:r w:rsidR="0037094F">
        <w:rPr>
          <w:rFonts w:asciiTheme="minorHAnsi" w:hAnsiTheme="minorHAnsi" w:cstheme="minorHAnsi"/>
          <w:szCs w:val="20"/>
        </w:rPr>
        <w:t>.</w:t>
      </w:r>
      <w:r w:rsidR="00670A19">
        <w:rPr>
          <w:rFonts w:asciiTheme="minorHAnsi" w:hAnsiTheme="minorHAnsi" w:cstheme="minorHAnsi"/>
          <w:szCs w:val="20"/>
        </w:rPr>
        <w:t xml:space="preserve"> </w:t>
      </w:r>
      <w:r w:rsidR="00197095">
        <w:rPr>
          <w:rFonts w:asciiTheme="minorHAnsi" w:hAnsiTheme="minorHAnsi" w:cstheme="minorHAnsi"/>
          <w:szCs w:val="20"/>
        </w:rPr>
        <w:t xml:space="preserve">There was a higher propensity for higher education students in regional areas to study in the </w:t>
      </w:r>
      <w:proofErr w:type="spellStart"/>
      <w:r w:rsidR="00197095">
        <w:rPr>
          <w:rFonts w:asciiTheme="minorHAnsi" w:hAnsiTheme="minorHAnsi" w:cstheme="minorHAnsi"/>
          <w:szCs w:val="20"/>
        </w:rPr>
        <w:t>STEM</w:t>
      </w:r>
      <w:r w:rsidR="00197095">
        <w:rPr>
          <w:rFonts w:asciiTheme="minorHAnsi" w:hAnsiTheme="minorHAnsi" w:cstheme="minorHAnsi"/>
          <w:szCs w:val="20"/>
          <w:vertAlign w:val="superscript"/>
        </w:rPr>
        <w:t>2</w:t>
      </w:r>
      <w:proofErr w:type="spellEnd"/>
      <w:r w:rsidR="00197095">
        <w:rPr>
          <w:rFonts w:asciiTheme="minorHAnsi" w:hAnsiTheme="minorHAnsi" w:cstheme="minorHAnsi"/>
          <w:szCs w:val="20"/>
        </w:rPr>
        <w:t xml:space="preserve"> fields (37% of all enrolments), compared with those in metropolitan areas (26%).</w:t>
      </w:r>
    </w:p>
    <w:p w:rsidR="00E63BFF" w:rsidRDefault="00446E79" w:rsidP="00473702">
      <w:pPr>
        <w:autoSpaceDE w:val="0"/>
        <w:autoSpaceDN w:val="0"/>
        <w:adjustRightInd w:val="0"/>
        <w:ind w:right="170"/>
        <w:rPr>
          <w:rFonts w:ascii="Calibri" w:hAnsi="Calibri" w:cs="Calibri"/>
          <w:szCs w:val="20"/>
        </w:rPr>
      </w:pPr>
      <w:r w:rsidRPr="00446E79">
        <w:rPr>
          <w:noProof/>
        </w:rPr>
        <w:drawing>
          <wp:inline distT="0" distB="0" distL="0" distR="0" wp14:anchorId="2F92A69C" wp14:editId="280E8D02">
            <wp:extent cx="3335826" cy="2046084"/>
            <wp:effectExtent l="0" t="0" r="0" b="0"/>
            <wp:docPr id="10" name="Picture 10" descr="The first bar shows the share of international student enrolments in regional areas by sector – HE (54.1%), VET (13.8%), ELICOS (16.6%), Schools (7.8%) and Non-award (7.7%). &#10;&#10;The second bar shows the share of international student enrolments in capital areas by sector – HE (41.5%), VET (26.9%), ELICOS (22.9%), Schools (3.0%) and Non-award (5.8%). &#10;" title="Chart 1. Share of international student enrolments by sector in capital and regional areas,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5773" cy="2046052"/>
                    </a:xfrm>
                    <a:prstGeom prst="rect">
                      <a:avLst/>
                    </a:prstGeom>
                    <a:noFill/>
                    <a:ln>
                      <a:noFill/>
                    </a:ln>
                  </pic:spPr>
                </pic:pic>
              </a:graphicData>
            </a:graphic>
          </wp:inline>
        </w:drawing>
      </w:r>
    </w:p>
    <w:p w:rsidR="006E4D26" w:rsidRPr="006E4D26" w:rsidRDefault="00730606" w:rsidP="00473702">
      <w:pPr>
        <w:autoSpaceDE w:val="0"/>
        <w:autoSpaceDN w:val="0"/>
        <w:adjustRightInd w:val="0"/>
        <w:ind w:right="170"/>
        <w:rPr>
          <w:rFonts w:asciiTheme="minorHAnsi" w:hAnsiTheme="minorHAnsi" w:cstheme="minorHAnsi"/>
          <w:i/>
          <w:sz w:val="16"/>
          <w:szCs w:val="14"/>
        </w:rPr>
      </w:pPr>
      <w:r>
        <w:rPr>
          <w:rFonts w:asciiTheme="minorHAnsi" w:hAnsiTheme="minorHAnsi" w:cstheme="minorHAnsi"/>
          <w:i/>
          <w:sz w:val="16"/>
          <w:szCs w:val="14"/>
        </w:rPr>
        <w:t>*</w:t>
      </w:r>
      <w:r w:rsidRPr="00730606">
        <w:rPr>
          <w:rFonts w:asciiTheme="minorHAnsi" w:hAnsiTheme="minorHAnsi" w:cstheme="minorHAnsi"/>
          <w:i/>
          <w:sz w:val="16"/>
          <w:szCs w:val="14"/>
        </w:rPr>
        <w:t xml:space="preserve"> Including foundation and (incoming) study abroad courses</w:t>
      </w:r>
      <w:r>
        <w:rPr>
          <w:rFonts w:asciiTheme="minorHAnsi" w:hAnsiTheme="minorHAnsi" w:cstheme="minorHAnsi"/>
          <w:i/>
          <w:sz w:val="16"/>
          <w:szCs w:val="14"/>
        </w:rPr>
        <w:t>.</w:t>
      </w:r>
    </w:p>
    <w:p w:rsidR="00F67498" w:rsidRPr="001C08A7" w:rsidRDefault="00F67498" w:rsidP="00473702">
      <w:pPr>
        <w:autoSpaceDE w:val="0"/>
        <w:autoSpaceDN w:val="0"/>
        <w:adjustRightInd w:val="0"/>
        <w:spacing w:before="60"/>
        <w:ind w:right="28"/>
        <w:rPr>
          <w:rFonts w:ascii="Calibri" w:hAnsi="Calibri" w:cs="Calibri"/>
          <w:szCs w:val="20"/>
        </w:rPr>
      </w:pPr>
      <w:r>
        <w:rPr>
          <w:rFonts w:asciiTheme="minorHAnsi" w:hAnsiTheme="minorHAnsi" w:cstheme="minorHAnsi"/>
          <w:b/>
          <w:szCs w:val="14"/>
        </w:rPr>
        <w:t>Age and gender</w:t>
      </w:r>
    </w:p>
    <w:p w:rsidR="00FC0CDF" w:rsidRPr="002D7562" w:rsidRDefault="00DF6C8B" w:rsidP="00473702">
      <w:pPr>
        <w:spacing w:after="60"/>
        <w:ind w:right="28"/>
        <w:rPr>
          <w:rFonts w:asciiTheme="minorHAnsi" w:hAnsiTheme="minorHAnsi" w:cstheme="minorHAnsi"/>
          <w:szCs w:val="14"/>
        </w:rPr>
      </w:pPr>
      <w:r>
        <w:rPr>
          <w:rFonts w:asciiTheme="minorHAnsi" w:hAnsiTheme="minorHAnsi" w:cstheme="minorHAnsi"/>
          <w:szCs w:val="14"/>
        </w:rPr>
        <w:t>The</w:t>
      </w:r>
      <w:r w:rsidR="00473702">
        <w:rPr>
          <w:rFonts w:asciiTheme="minorHAnsi" w:hAnsiTheme="minorHAnsi" w:cstheme="minorHAnsi"/>
          <w:szCs w:val="14"/>
        </w:rPr>
        <w:t>re was little difference in age or gender</w:t>
      </w:r>
      <w:r>
        <w:rPr>
          <w:rFonts w:asciiTheme="minorHAnsi" w:hAnsiTheme="minorHAnsi" w:cstheme="minorHAnsi"/>
          <w:szCs w:val="14"/>
        </w:rPr>
        <w:t xml:space="preserve"> </w:t>
      </w:r>
      <w:r w:rsidR="00473702">
        <w:rPr>
          <w:rFonts w:asciiTheme="minorHAnsi" w:hAnsiTheme="minorHAnsi" w:cstheme="minorHAnsi"/>
          <w:szCs w:val="14"/>
        </w:rPr>
        <w:t xml:space="preserve">between international students in regional or metropolitan areas. In both cases, the </w:t>
      </w:r>
      <w:r>
        <w:rPr>
          <w:rFonts w:asciiTheme="minorHAnsi" w:hAnsiTheme="minorHAnsi" w:cstheme="minorHAnsi"/>
          <w:szCs w:val="14"/>
        </w:rPr>
        <w:t xml:space="preserve">most common age range </w:t>
      </w:r>
      <w:r w:rsidR="00473702">
        <w:rPr>
          <w:rFonts w:asciiTheme="minorHAnsi" w:hAnsiTheme="minorHAnsi" w:cstheme="minorHAnsi"/>
          <w:szCs w:val="14"/>
        </w:rPr>
        <w:t xml:space="preserve">was 20 to 24 years (42% of total) and </w:t>
      </w:r>
      <w:r w:rsidR="00A46DD2">
        <w:rPr>
          <w:rFonts w:asciiTheme="minorHAnsi" w:hAnsiTheme="minorHAnsi" w:cstheme="minorHAnsi"/>
          <w:szCs w:val="14"/>
        </w:rPr>
        <w:t xml:space="preserve">around </w:t>
      </w:r>
      <w:r>
        <w:rPr>
          <w:rFonts w:asciiTheme="minorHAnsi" w:hAnsiTheme="minorHAnsi" w:cstheme="minorHAnsi"/>
          <w:szCs w:val="14"/>
        </w:rPr>
        <w:t>46</w:t>
      </w:r>
      <w:r w:rsidR="00473702">
        <w:rPr>
          <w:rFonts w:asciiTheme="minorHAnsi" w:hAnsiTheme="minorHAnsi" w:cstheme="minorHAnsi"/>
          <w:szCs w:val="14"/>
        </w:rPr>
        <w:t xml:space="preserve"> per cent</w:t>
      </w:r>
      <w:r>
        <w:rPr>
          <w:rFonts w:asciiTheme="minorHAnsi" w:hAnsiTheme="minorHAnsi" w:cstheme="minorHAnsi"/>
          <w:szCs w:val="14"/>
        </w:rPr>
        <w:t xml:space="preserve"> </w:t>
      </w:r>
      <w:r w:rsidR="00473702">
        <w:rPr>
          <w:rFonts w:asciiTheme="minorHAnsi" w:hAnsiTheme="minorHAnsi" w:cstheme="minorHAnsi"/>
          <w:szCs w:val="14"/>
        </w:rPr>
        <w:t xml:space="preserve">were </w:t>
      </w:r>
      <w:r>
        <w:rPr>
          <w:rFonts w:asciiTheme="minorHAnsi" w:hAnsiTheme="minorHAnsi" w:cstheme="minorHAnsi"/>
          <w:szCs w:val="14"/>
        </w:rPr>
        <w:t>female</w:t>
      </w:r>
      <w:r w:rsidR="00353471">
        <w:rPr>
          <w:rFonts w:asciiTheme="minorHAnsi" w:hAnsiTheme="minorHAnsi" w:cstheme="minorHAnsi"/>
          <w:szCs w:val="14"/>
        </w:rPr>
        <w:t>.</w:t>
      </w:r>
    </w:p>
    <w:p w:rsidR="00D26728" w:rsidRPr="00D26728" w:rsidRDefault="00F90B12" w:rsidP="00473702">
      <w:pPr>
        <w:ind w:right="28"/>
        <w:rPr>
          <w:rFonts w:asciiTheme="minorHAnsi" w:hAnsiTheme="minorHAnsi" w:cstheme="minorHAnsi"/>
          <w:b/>
          <w:szCs w:val="14"/>
        </w:rPr>
      </w:pPr>
      <w:r>
        <w:rPr>
          <w:rFonts w:asciiTheme="minorHAnsi" w:hAnsiTheme="minorHAnsi" w:cstheme="minorHAnsi"/>
          <w:b/>
          <w:szCs w:val="14"/>
        </w:rPr>
        <w:t>Examples of how</w:t>
      </w:r>
      <w:r w:rsidR="008319AC">
        <w:rPr>
          <w:rFonts w:asciiTheme="minorHAnsi" w:hAnsiTheme="minorHAnsi" w:cstheme="minorHAnsi"/>
          <w:b/>
          <w:szCs w:val="14"/>
        </w:rPr>
        <w:t xml:space="preserve"> international education</w:t>
      </w:r>
      <w:r w:rsidR="00D26728" w:rsidRPr="00D26728">
        <w:rPr>
          <w:rFonts w:asciiTheme="minorHAnsi" w:hAnsiTheme="minorHAnsi" w:cstheme="minorHAnsi"/>
          <w:b/>
          <w:szCs w:val="14"/>
        </w:rPr>
        <w:t xml:space="preserve"> </w:t>
      </w:r>
      <w:r>
        <w:rPr>
          <w:rFonts w:asciiTheme="minorHAnsi" w:hAnsiTheme="minorHAnsi" w:cstheme="minorHAnsi"/>
          <w:b/>
          <w:szCs w:val="14"/>
        </w:rPr>
        <w:t xml:space="preserve">contributes </w:t>
      </w:r>
      <w:r w:rsidR="00060443">
        <w:rPr>
          <w:rFonts w:asciiTheme="minorHAnsi" w:hAnsiTheme="minorHAnsi" w:cstheme="minorHAnsi"/>
          <w:b/>
          <w:szCs w:val="14"/>
        </w:rPr>
        <w:t>to</w:t>
      </w:r>
      <w:r w:rsidR="004E7C77">
        <w:rPr>
          <w:rFonts w:asciiTheme="minorHAnsi" w:hAnsiTheme="minorHAnsi" w:cstheme="minorHAnsi"/>
          <w:b/>
          <w:szCs w:val="14"/>
        </w:rPr>
        <w:t xml:space="preserve"> regional communities</w:t>
      </w:r>
    </w:p>
    <w:p w:rsidR="002A378B" w:rsidRPr="002A378B" w:rsidRDefault="00D26728" w:rsidP="00473702">
      <w:pPr>
        <w:ind w:right="28"/>
        <w:rPr>
          <w:rFonts w:asciiTheme="minorHAnsi" w:hAnsiTheme="minorHAnsi" w:cstheme="minorHAnsi"/>
          <w:szCs w:val="14"/>
        </w:rPr>
      </w:pPr>
      <w:r>
        <w:rPr>
          <w:rFonts w:asciiTheme="minorHAnsi" w:hAnsiTheme="minorHAnsi" w:cstheme="minorHAnsi"/>
          <w:szCs w:val="14"/>
        </w:rPr>
        <w:t xml:space="preserve">It </w:t>
      </w:r>
      <w:r w:rsidR="00473702">
        <w:rPr>
          <w:rFonts w:asciiTheme="minorHAnsi" w:hAnsiTheme="minorHAnsi" w:cstheme="minorHAnsi"/>
          <w:szCs w:val="14"/>
        </w:rPr>
        <w:t xml:space="preserve">has been </w:t>
      </w:r>
      <w:r>
        <w:rPr>
          <w:rFonts w:asciiTheme="minorHAnsi" w:hAnsiTheme="minorHAnsi" w:cstheme="minorHAnsi"/>
          <w:szCs w:val="14"/>
        </w:rPr>
        <w:t xml:space="preserve">estimated that international students studying </w:t>
      </w:r>
      <w:r w:rsidR="004F0799">
        <w:rPr>
          <w:rFonts w:asciiTheme="minorHAnsi" w:hAnsiTheme="minorHAnsi" w:cstheme="minorHAnsi"/>
          <w:szCs w:val="14"/>
        </w:rPr>
        <w:t xml:space="preserve">and living in </w:t>
      </w:r>
      <w:r w:rsidR="00473702">
        <w:rPr>
          <w:rFonts w:asciiTheme="minorHAnsi" w:hAnsiTheme="minorHAnsi" w:cstheme="minorHAnsi"/>
          <w:szCs w:val="14"/>
        </w:rPr>
        <w:t xml:space="preserve">the NSW region of </w:t>
      </w:r>
      <w:r w:rsidR="004F0799">
        <w:rPr>
          <w:rFonts w:asciiTheme="minorHAnsi" w:hAnsiTheme="minorHAnsi" w:cstheme="minorHAnsi"/>
          <w:szCs w:val="14"/>
        </w:rPr>
        <w:t>Armidale</w:t>
      </w:r>
      <w:r w:rsidR="00473702">
        <w:rPr>
          <w:rFonts w:asciiTheme="minorHAnsi" w:hAnsiTheme="minorHAnsi" w:cstheme="minorHAnsi"/>
          <w:szCs w:val="14"/>
        </w:rPr>
        <w:t xml:space="preserve"> </w:t>
      </w:r>
      <w:r>
        <w:rPr>
          <w:rFonts w:asciiTheme="minorHAnsi" w:hAnsiTheme="minorHAnsi" w:cstheme="minorHAnsi"/>
          <w:szCs w:val="14"/>
        </w:rPr>
        <w:t xml:space="preserve">contributed </w:t>
      </w:r>
      <w:r w:rsidR="00A644BC">
        <w:rPr>
          <w:rFonts w:asciiTheme="minorHAnsi" w:hAnsiTheme="minorHAnsi" w:cstheme="minorHAnsi"/>
          <w:szCs w:val="14"/>
        </w:rPr>
        <w:t xml:space="preserve">      </w:t>
      </w:r>
      <w:r>
        <w:rPr>
          <w:rFonts w:asciiTheme="minorHAnsi" w:hAnsiTheme="minorHAnsi" w:cstheme="minorHAnsi"/>
          <w:szCs w:val="14"/>
        </w:rPr>
        <w:t>$33 million</w:t>
      </w:r>
      <w:r w:rsidR="004F0799">
        <w:rPr>
          <w:rFonts w:asciiTheme="minorHAnsi" w:hAnsiTheme="minorHAnsi" w:cstheme="minorHAnsi"/>
          <w:szCs w:val="14"/>
        </w:rPr>
        <w:t xml:space="preserve"> </w:t>
      </w:r>
      <w:r w:rsidR="00473702">
        <w:rPr>
          <w:rFonts w:asciiTheme="minorHAnsi" w:hAnsiTheme="minorHAnsi" w:cstheme="minorHAnsi"/>
          <w:szCs w:val="14"/>
        </w:rPr>
        <w:t>to the local economy and supported 243 full time equivalent (FTE) jobs</w:t>
      </w:r>
      <w:r w:rsidR="00BC3DC9">
        <w:rPr>
          <w:rFonts w:asciiTheme="minorHAnsi" w:hAnsiTheme="minorHAnsi" w:cstheme="minorHAnsi"/>
          <w:szCs w:val="14"/>
        </w:rPr>
        <w:t>.</w:t>
      </w:r>
      <w:r w:rsidR="00717DB1">
        <w:rPr>
          <w:rFonts w:asciiTheme="minorHAnsi" w:hAnsiTheme="minorHAnsi" w:cstheme="minorHAnsi"/>
          <w:szCs w:val="14"/>
        </w:rPr>
        <w:t xml:space="preserve"> </w:t>
      </w:r>
      <w:r w:rsidR="00473702">
        <w:rPr>
          <w:rFonts w:asciiTheme="minorHAnsi" w:hAnsiTheme="minorHAnsi" w:cstheme="minorHAnsi"/>
          <w:szCs w:val="14"/>
        </w:rPr>
        <w:t>Furthermore, i</w:t>
      </w:r>
      <w:r w:rsidR="00507FB0">
        <w:rPr>
          <w:rFonts w:asciiTheme="minorHAnsi" w:hAnsiTheme="minorHAnsi" w:cstheme="minorHAnsi"/>
          <w:szCs w:val="14"/>
        </w:rPr>
        <w:t xml:space="preserve">nternational students studying in metropolitan areas </w:t>
      </w:r>
      <w:r w:rsidR="00473702">
        <w:rPr>
          <w:rFonts w:asciiTheme="minorHAnsi" w:hAnsiTheme="minorHAnsi" w:cstheme="minorHAnsi"/>
          <w:szCs w:val="14"/>
        </w:rPr>
        <w:t xml:space="preserve">can </w:t>
      </w:r>
      <w:r w:rsidR="00507FB0">
        <w:rPr>
          <w:rFonts w:asciiTheme="minorHAnsi" w:hAnsiTheme="minorHAnsi" w:cstheme="minorHAnsi"/>
          <w:szCs w:val="14"/>
        </w:rPr>
        <w:t>ma</w:t>
      </w:r>
      <w:r w:rsidR="00473702">
        <w:rPr>
          <w:rFonts w:asciiTheme="minorHAnsi" w:hAnsiTheme="minorHAnsi" w:cstheme="minorHAnsi"/>
          <w:szCs w:val="14"/>
        </w:rPr>
        <w:t>k</w:t>
      </w:r>
      <w:r w:rsidR="00507FB0">
        <w:rPr>
          <w:rFonts w:asciiTheme="minorHAnsi" w:hAnsiTheme="minorHAnsi" w:cstheme="minorHAnsi"/>
          <w:szCs w:val="14"/>
        </w:rPr>
        <w:t>e a significant indirect contr</w:t>
      </w:r>
      <w:r w:rsidR="00473702">
        <w:rPr>
          <w:rFonts w:asciiTheme="minorHAnsi" w:hAnsiTheme="minorHAnsi" w:cstheme="minorHAnsi"/>
          <w:szCs w:val="14"/>
        </w:rPr>
        <w:t>ibution to regional economies. For example, e</w:t>
      </w:r>
      <w:r w:rsidR="00507FB0">
        <w:rPr>
          <w:rFonts w:asciiTheme="minorHAnsi" w:hAnsiTheme="minorHAnsi" w:cstheme="minorHAnsi"/>
          <w:szCs w:val="14"/>
        </w:rPr>
        <w:t xml:space="preserve">xpenditure by international students in Melbourne </w:t>
      </w:r>
      <w:r w:rsidR="00A644BC">
        <w:rPr>
          <w:rFonts w:asciiTheme="minorHAnsi" w:hAnsiTheme="minorHAnsi" w:cstheme="minorHAnsi"/>
          <w:szCs w:val="14"/>
        </w:rPr>
        <w:t>was</w:t>
      </w:r>
      <w:r w:rsidR="00507FB0">
        <w:rPr>
          <w:rFonts w:asciiTheme="minorHAnsi" w:hAnsiTheme="minorHAnsi" w:cstheme="minorHAnsi"/>
          <w:szCs w:val="14"/>
        </w:rPr>
        <w:t xml:space="preserve"> estimated to contribute $888 million </w:t>
      </w:r>
      <w:r w:rsidR="00473702">
        <w:rPr>
          <w:rFonts w:asciiTheme="minorHAnsi" w:hAnsiTheme="minorHAnsi" w:cstheme="minorHAnsi"/>
          <w:szCs w:val="14"/>
        </w:rPr>
        <w:t xml:space="preserve">to the economy of regional Victoria </w:t>
      </w:r>
      <w:r w:rsidR="00507FB0">
        <w:rPr>
          <w:rFonts w:asciiTheme="minorHAnsi" w:hAnsiTheme="minorHAnsi" w:cstheme="minorHAnsi"/>
          <w:szCs w:val="14"/>
        </w:rPr>
        <w:t>and s</w:t>
      </w:r>
      <w:r w:rsidR="009C79BA">
        <w:rPr>
          <w:rFonts w:asciiTheme="minorHAnsi" w:hAnsiTheme="minorHAnsi" w:cstheme="minorHAnsi"/>
          <w:szCs w:val="14"/>
        </w:rPr>
        <w:t>upport</w:t>
      </w:r>
      <w:r w:rsidR="00473702">
        <w:rPr>
          <w:rFonts w:asciiTheme="minorHAnsi" w:hAnsiTheme="minorHAnsi" w:cstheme="minorHAnsi"/>
          <w:szCs w:val="14"/>
        </w:rPr>
        <w:t>ed</w:t>
      </w:r>
      <w:r w:rsidR="009C79BA">
        <w:rPr>
          <w:rFonts w:asciiTheme="minorHAnsi" w:hAnsiTheme="minorHAnsi" w:cstheme="minorHAnsi"/>
          <w:szCs w:val="14"/>
        </w:rPr>
        <w:t xml:space="preserve"> 5,478 FTE</w:t>
      </w:r>
      <w:r w:rsidR="00473702">
        <w:rPr>
          <w:rFonts w:asciiTheme="minorHAnsi" w:hAnsiTheme="minorHAnsi" w:cstheme="minorHAnsi"/>
          <w:szCs w:val="14"/>
        </w:rPr>
        <w:t xml:space="preserve"> </w:t>
      </w:r>
      <w:proofErr w:type="spellStart"/>
      <w:r w:rsidR="00473702">
        <w:rPr>
          <w:rFonts w:asciiTheme="minorHAnsi" w:hAnsiTheme="minorHAnsi" w:cstheme="minorHAnsi"/>
          <w:szCs w:val="14"/>
        </w:rPr>
        <w:t>jobs</w:t>
      </w:r>
      <w:r w:rsidR="00B31D6F">
        <w:rPr>
          <w:rFonts w:asciiTheme="minorHAnsi" w:hAnsiTheme="minorHAnsi" w:cstheme="minorHAnsi"/>
          <w:szCs w:val="14"/>
        </w:rPr>
        <w:t>¹</w:t>
      </w:r>
      <w:proofErr w:type="spellEnd"/>
      <w:r w:rsidR="00853615">
        <w:rPr>
          <w:rFonts w:asciiTheme="minorHAnsi" w:hAnsiTheme="minorHAnsi" w:cstheme="minorHAnsi"/>
          <w:szCs w:val="14"/>
        </w:rPr>
        <w:t>.</w:t>
      </w:r>
    </w:p>
    <w:sectPr w:rsidR="002A378B" w:rsidRPr="002A378B" w:rsidSect="002A6788">
      <w:type w:val="continuous"/>
      <w:pgSz w:w="11906" w:h="16838" w:code="9"/>
      <w:pgMar w:top="238" w:right="340" w:bottom="272" w:left="397" w:header="567" w:footer="259" w:gutter="0"/>
      <w:cols w:num="2" w:space="33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820" w:rsidRDefault="00A30820">
      <w:r>
        <w:separator/>
      </w:r>
    </w:p>
  </w:endnote>
  <w:endnote w:type="continuationSeparator" w:id="0">
    <w:p w:rsidR="00A30820" w:rsidRDefault="00A3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9A" w:rsidRDefault="00750D9A" w:rsidP="00750D9A">
    <w:pPr>
      <w:pStyle w:val="FootnoteText"/>
      <w:spacing w:after="40"/>
      <w:ind w:firstLine="403"/>
      <w:rPr>
        <w:sz w:val="16"/>
      </w:rPr>
    </w:pPr>
    <w:r>
      <w:rPr>
        <w:sz w:val="16"/>
      </w:rPr>
      <w:t>______________________________________________________________________________________________________________________</w:t>
    </w:r>
  </w:p>
  <w:p w:rsidR="00B31D6F" w:rsidRDefault="00B31D6F" w:rsidP="00F90B12">
    <w:pPr>
      <w:pStyle w:val="FootnoteText"/>
      <w:ind w:left="426"/>
      <w:rPr>
        <w:rStyle w:val="Hyperlink"/>
        <w:sz w:val="12"/>
        <w:szCs w:val="12"/>
      </w:rPr>
    </w:pPr>
    <w:r w:rsidRPr="00F90B12">
      <w:rPr>
        <w:rStyle w:val="FootnoteReference"/>
        <w:sz w:val="12"/>
        <w:szCs w:val="12"/>
      </w:rPr>
      <w:footnoteRef/>
    </w:r>
    <w:r w:rsidRPr="00F90B12">
      <w:rPr>
        <w:sz w:val="12"/>
        <w:szCs w:val="12"/>
      </w:rPr>
      <w:t xml:space="preserve"> </w:t>
    </w:r>
    <w:r w:rsidR="00E55134" w:rsidRPr="00F90B12">
      <w:rPr>
        <w:sz w:val="12"/>
        <w:szCs w:val="12"/>
      </w:rPr>
      <w:t>Deloitte Access Economics</w:t>
    </w:r>
    <w:r w:rsidRPr="00F90B12">
      <w:rPr>
        <w:sz w:val="12"/>
        <w:szCs w:val="12"/>
      </w:rPr>
      <w:t xml:space="preserve"> (2016), </w:t>
    </w:r>
    <w:r w:rsidR="007856FE" w:rsidRPr="00F90B12">
      <w:rPr>
        <w:i/>
        <w:sz w:val="12"/>
        <w:szCs w:val="12"/>
      </w:rPr>
      <w:t>The V</w:t>
    </w:r>
    <w:r w:rsidRPr="00F90B12">
      <w:rPr>
        <w:i/>
        <w:sz w:val="12"/>
        <w:szCs w:val="12"/>
      </w:rPr>
      <w:t xml:space="preserve">alue of </w:t>
    </w:r>
    <w:r w:rsidR="007856FE" w:rsidRPr="00F90B12">
      <w:rPr>
        <w:i/>
        <w:sz w:val="12"/>
        <w:szCs w:val="12"/>
      </w:rPr>
      <w:t>International E</w:t>
    </w:r>
    <w:r w:rsidRPr="00F90B12">
      <w:rPr>
        <w:i/>
        <w:sz w:val="12"/>
        <w:szCs w:val="12"/>
      </w:rPr>
      <w:t>ducation to</w:t>
    </w:r>
    <w:r w:rsidR="00E55134" w:rsidRPr="00F90B12">
      <w:rPr>
        <w:i/>
        <w:sz w:val="12"/>
        <w:szCs w:val="12"/>
      </w:rPr>
      <w:t xml:space="preserve"> Australia </w:t>
    </w:r>
    <w:r w:rsidR="00E55134" w:rsidRPr="00F90B12">
      <w:rPr>
        <w:sz w:val="12"/>
        <w:szCs w:val="12"/>
      </w:rPr>
      <w:t>available at</w:t>
    </w:r>
    <w:r w:rsidR="008052B9" w:rsidRPr="00F90B12">
      <w:rPr>
        <w:sz w:val="12"/>
        <w:szCs w:val="12"/>
      </w:rPr>
      <w:t xml:space="preserve"> </w:t>
    </w:r>
    <w:hyperlink r:id="rId1" w:history="1">
      <w:r w:rsidR="008052B9" w:rsidRPr="00F90B12">
        <w:rPr>
          <w:rStyle w:val="Hyperlink"/>
          <w:sz w:val="12"/>
          <w:szCs w:val="12"/>
        </w:rPr>
        <w:t>https://internationaleducation.gov.au/research/research-papers/Documents/ValueInternationalEd.pdf</w:t>
      </w:r>
    </w:hyperlink>
  </w:p>
  <w:p w:rsidR="00197095" w:rsidRPr="00197095" w:rsidRDefault="00197095" w:rsidP="00F90B12">
    <w:pPr>
      <w:pStyle w:val="FootnoteText"/>
      <w:ind w:left="426"/>
      <w:rPr>
        <w:rStyle w:val="Hyperlink"/>
        <w:color w:val="auto"/>
        <w:sz w:val="12"/>
        <w:szCs w:val="12"/>
        <w:u w:val="none"/>
      </w:rPr>
    </w:pPr>
    <w:r w:rsidRPr="00DC0DF5">
      <w:rPr>
        <w:rStyle w:val="Hyperlink"/>
        <w:color w:val="auto"/>
        <w:sz w:val="12"/>
        <w:szCs w:val="12"/>
        <w:u w:val="none"/>
        <w:vertAlign w:val="superscript"/>
      </w:rPr>
      <w:t>2</w:t>
    </w:r>
    <w:r w:rsidRPr="00197095">
      <w:rPr>
        <w:rStyle w:val="Hyperlink"/>
        <w:color w:val="auto"/>
        <w:sz w:val="12"/>
        <w:szCs w:val="12"/>
        <w:u w:val="none"/>
      </w:rPr>
      <w:t xml:space="preserve"> Science</w:t>
    </w:r>
    <w:r>
      <w:rPr>
        <w:rStyle w:val="Hyperlink"/>
        <w:color w:val="auto"/>
        <w:sz w:val="12"/>
        <w:szCs w:val="12"/>
        <w:u w:val="none"/>
      </w:rPr>
      <w:t>, Technology, Engineering and Mathematics, incorporating the broad fields Natural and Physical Sciences, Agriculture and Environmental Studies, Information Technology and Engineering.</w:t>
    </w:r>
  </w:p>
  <w:p w:rsidR="00197095" w:rsidRPr="00F90B12" w:rsidRDefault="00197095" w:rsidP="00F90B12">
    <w:pPr>
      <w:pStyle w:val="FootnoteText"/>
      <w:ind w:left="426"/>
      <w:rPr>
        <w:sz w:val="12"/>
        <w:szCs w:val="12"/>
      </w:rPr>
    </w:pPr>
  </w:p>
  <w:p w:rsidR="004809DE" w:rsidRPr="00FA6225" w:rsidRDefault="004809DE" w:rsidP="00F90B12">
    <w:pPr>
      <w:pStyle w:val="Footer"/>
      <w:ind w:left="400"/>
      <w:rPr>
        <w:sz w:val="12"/>
        <w:szCs w:val="12"/>
      </w:rPr>
    </w:pPr>
    <w:r>
      <w:rPr>
        <w:sz w:val="12"/>
        <w:szCs w:val="12"/>
      </w:rPr>
      <w:t>For further information about this Research Snapshot or the Research Snapshot Series contact: International Research and Analysis Unit by email</w:t>
    </w:r>
    <w:r w:rsidR="0054400F">
      <w:rPr>
        <w:sz w:val="12"/>
        <w:szCs w:val="12"/>
      </w:rPr>
      <w:t xml:space="preserve"> at</w:t>
    </w:r>
    <w:r>
      <w:rPr>
        <w:sz w:val="12"/>
        <w:szCs w:val="12"/>
      </w:rPr>
      <w:t xml:space="preserve"> </w:t>
    </w:r>
    <w:hyperlink r:id="rId2" w:history="1">
      <w:r w:rsidR="009248F5" w:rsidRPr="00875B5A">
        <w:rPr>
          <w:rStyle w:val="Hyperlink"/>
          <w:sz w:val="12"/>
          <w:szCs w:val="12"/>
        </w:rPr>
        <w:t>IEResearch@education.gov.au</w:t>
      </w:r>
    </w:hyperlink>
    <w:r>
      <w:rPr>
        <w:sz w:val="12"/>
        <w:szCs w:val="12"/>
      </w:rPr>
      <w:t xml:space="preserve">.  The Research Snapshot Series can be accessed from </w:t>
    </w:r>
    <w:hyperlink r:id="rId3" w:history="1">
      <w:r w:rsidR="00B1371D">
        <w:rPr>
          <w:rStyle w:val="Hyperlink"/>
          <w:sz w:val="12"/>
          <w:szCs w:val="12"/>
        </w:rPr>
        <w:t>https://internationaleducation.gov.au/research/research-snapshots/pages/default.aspx</w:t>
      </w:r>
    </w:hyperlink>
    <w:r w:rsidR="009248F5">
      <w:rPr>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820" w:rsidRDefault="00A30820">
      <w:r>
        <w:separator/>
      </w:r>
    </w:p>
  </w:footnote>
  <w:footnote w:type="continuationSeparator" w:id="0">
    <w:p w:rsidR="00A30820" w:rsidRDefault="00A30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489"/>
    <w:multiLevelType w:val="hybridMultilevel"/>
    <w:tmpl w:val="148CA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A910A6"/>
    <w:multiLevelType w:val="hybridMultilevel"/>
    <w:tmpl w:val="749AD2DA"/>
    <w:lvl w:ilvl="0" w:tplc="C9E0148A">
      <w:start w:val="142"/>
      <w:numFmt w:val="bullet"/>
      <w:lvlText w:val=""/>
      <w:lvlJc w:val="left"/>
      <w:pPr>
        <w:tabs>
          <w:tab w:val="num" w:pos="720"/>
        </w:tabs>
        <w:ind w:left="720" w:hanging="360"/>
      </w:pPr>
      <w:rPr>
        <w:rFonts w:ascii="Symbol" w:eastAsia="Times New Roman" w:hAnsi="Symbol" w:cs="Arial" w:hint="default"/>
        <w:sz w:val="1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11F2948"/>
    <w:multiLevelType w:val="hybridMultilevel"/>
    <w:tmpl w:val="BB928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5D14A90"/>
    <w:multiLevelType w:val="hybridMultilevel"/>
    <w:tmpl w:val="99025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18E34E5"/>
    <w:multiLevelType w:val="hybridMultilevel"/>
    <w:tmpl w:val="FB08099A"/>
    <w:lvl w:ilvl="0" w:tplc="A52876BC">
      <w:start w:val="1"/>
      <w:numFmt w:val="bullet"/>
      <w:lvlText w:val=""/>
      <w:lvlJc w:val="left"/>
      <w:pPr>
        <w:tabs>
          <w:tab w:val="num" w:pos="1020"/>
        </w:tabs>
        <w:ind w:left="10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F553913"/>
    <w:multiLevelType w:val="hybridMultilevel"/>
    <w:tmpl w:val="7B5A9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1C547E9"/>
    <w:multiLevelType w:val="hybridMultilevel"/>
    <w:tmpl w:val="ECE6B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AE97432"/>
    <w:multiLevelType w:val="hybridMultilevel"/>
    <w:tmpl w:val="6D1EA77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nsid w:val="65247143"/>
    <w:multiLevelType w:val="hybridMultilevel"/>
    <w:tmpl w:val="F440E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D145EEF"/>
    <w:multiLevelType w:val="hybridMultilevel"/>
    <w:tmpl w:val="7A58E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4D31029"/>
    <w:multiLevelType w:val="multilevel"/>
    <w:tmpl w:val="B080CDA2"/>
    <w:lvl w:ilvl="0">
      <w:start w:val="1"/>
      <w:numFmt w:val="bullet"/>
      <w:pStyle w:val="Bullet1"/>
      <w:lvlText w:val=""/>
      <w:lvlJc w:val="left"/>
      <w:pPr>
        <w:ind w:left="360" w:hanging="360"/>
      </w:pPr>
      <w:rPr>
        <w:rFonts w:ascii="Symbol" w:hAnsi="Symbol" w:hint="default"/>
        <w:color w:val="002776"/>
        <w:sz w:val="22"/>
      </w:rPr>
    </w:lvl>
    <w:lvl w:ilvl="1">
      <w:start w:val="1"/>
      <w:numFmt w:val="bullet"/>
      <w:lvlRestart w:val="0"/>
      <w:lvlText w:val=""/>
      <w:lvlJc w:val="left"/>
      <w:pPr>
        <w:tabs>
          <w:tab w:val="num" w:pos="1134"/>
        </w:tabs>
        <w:ind w:left="1134" w:hanging="567"/>
      </w:pPr>
      <w:rPr>
        <w:rFonts w:ascii="Wingdings 3" w:hAnsi="Wingdings 3" w:hint="default"/>
        <w:b/>
        <w:i w:val="0"/>
        <w:color w:val="931638"/>
        <w:sz w:val="24"/>
      </w:rPr>
    </w:lvl>
    <w:lvl w:ilvl="2">
      <w:start w:val="1"/>
      <w:numFmt w:val="bullet"/>
      <w:lvlText w:val="-"/>
      <w:lvlJc w:val="left"/>
      <w:pPr>
        <w:tabs>
          <w:tab w:val="num" w:pos="1701"/>
        </w:tabs>
        <w:ind w:left="1701" w:hanging="567"/>
      </w:pPr>
      <w:rPr>
        <w:rFonts w:ascii="Arial" w:hAnsi="Arial" w:hint="default"/>
        <w:color w:val="93163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E4873A9"/>
    <w:multiLevelType w:val="hybridMultilevel"/>
    <w:tmpl w:val="C1822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9"/>
  </w:num>
  <w:num w:numId="5">
    <w:abstractNumId w:val="10"/>
  </w:num>
  <w:num w:numId="6">
    <w:abstractNumId w:val="6"/>
  </w:num>
  <w:num w:numId="7">
    <w:abstractNumId w:val="2"/>
  </w:num>
  <w:num w:numId="8">
    <w:abstractNumId w:val="8"/>
  </w:num>
  <w:num w:numId="9">
    <w:abstractNumId w:val="11"/>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0E"/>
    <w:rsid w:val="00002EA7"/>
    <w:rsid w:val="00004791"/>
    <w:rsid w:val="00005397"/>
    <w:rsid w:val="000056B8"/>
    <w:rsid w:val="00006D7A"/>
    <w:rsid w:val="0000757D"/>
    <w:rsid w:val="000075BD"/>
    <w:rsid w:val="00010BC8"/>
    <w:rsid w:val="0001178B"/>
    <w:rsid w:val="00011879"/>
    <w:rsid w:val="00013323"/>
    <w:rsid w:val="000146C8"/>
    <w:rsid w:val="00014CC4"/>
    <w:rsid w:val="00014E6A"/>
    <w:rsid w:val="000150F0"/>
    <w:rsid w:val="0001541F"/>
    <w:rsid w:val="000226FF"/>
    <w:rsid w:val="00022C3C"/>
    <w:rsid w:val="00024977"/>
    <w:rsid w:val="0002773F"/>
    <w:rsid w:val="0002781B"/>
    <w:rsid w:val="00027AC0"/>
    <w:rsid w:val="00030A47"/>
    <w:rsid w:val="00032234"/>
    <w:rsid w:val="00032F20"/>
    <w:rsid w:val="00035B87"/>
    <w:rsid w:val="00036794"/>
    <w:rsid w:val="000371BD"/>
    <w:rsid w:val="0004068C"/>
    <w:rsid w:val="00041805"/>
    <w:rsid w:val="00041A73"/>
    <w:rsid w:val="00042206"/>
    <w:rsid w:val="00042A35"/>
    <w:rsid w:val="00043946"/>
    <w:rsid w:val="00053ECF"/>
    <w:rsid w:val="000555FE"/>
    <w:rsid w:val="00060443"/>
    <w:rsid w:val="00061E54"/>
    <w:rsid w:val="00062DAB"/>
    <w:rsid w:val="00062FEB"/>
    <w:rsid w:val="00063466"/>
    <w:rsid w:val="0006556B"/>
    <w:rsid w:val="00066628"/>
    <w:rsid w:val="0006764F"/>
    <w:rsid w:val="00071231"/>
    <w:rsid w:val="0007323E"/>
    <w:rsid w:val="00082C6D"/>
    <w:rsid w:val="000830C5"/>
    <w:rsid w:val="00084ED3"/>
    <w:rsid w:val="00085B1F"/>
    <w:rsid w:val="00087C39"/>
    <w:rsid w:val="00090212"/>
    <w:rsid w:val="00092238"/>
    <w:rsid w:val="000A1A29"/>
    <w:rsid w:val="000A3271"/>
    <w:rsid w:val="000A3E72"/>
    <w:rsid w:val="000A5BA4"/>
    <w:rsid w:val="000B402B"/>
    <w:rsid w:val="000B44C9"/>
    <w:rsid w:val="000B55AD"/>
    <w:rsid w:val="000B73C0"/>
    <w:rsid w:val="000C01E1"/>
    <w:rsid w:val="000C020A"/>
    <w:rsid w:val="000C266C"/>
    <w:rsid w:val="000C3189"/>
    <w:rsid w:val="000C40B2"/>
    <w:rsid w:val="000C4A8A"/>
    <w:rsid w:val="000C61FB"/>
    <w:rsid w:val="000C7682"/>
    <w:rsid w:val="000D2D27"/>
    <w:rsid w:val="000D392D"/>
    <w:rsid w:val="000D7924"/>
    <w:rsid w:val="000E1D42"/>
    <w:rsid w:val="000E51E5"/>
    <w:rsid w:val="000E541B"/>
    <w:rsid w:val="000E62E3"/>
    <w:rsid w:val="000E6B04"/>
    <w:rsid w:val="000F10FE"/>
    <w:rsid w:val="000F286A"/>
    <w:rsid w:val="000F3976"/>
    <w:rsid w:val="000F3A58"/>
    <w:rsid w:val="000F5583"/>
    <w:rsid w:val="000F7C3B"/>
    <w:rsid w:val="000F7E13"/>
    <w:rsid w:val="00100D8C"/>
    <w:rsid w:val="0010192B"/>
    <w:rsid w:val="00102C54"/>
    <w:rsid w:val="001034C2"/>
    <w:rsid w:val="001036D6"/>
    <w:rsid w:val="001038CA"/>
    <w:rsid w:val="00103A0B"/>
    <w:rsid w:val="00105EF8"/>
    <w:rsid w:val="001064B4"/>
    <w:rsid w:val="001079E5"/>
    <w:rsid w:val="00110A34"/>
    <w:rsid w:val="00110DA7"/>
    <w:rsid w:val="00110E37"/>
    <w:rsid w:val="001113E5"/>
    <w:rsid w:val="001122AF"/>
    <w:rsid w:val="0011275E"/>
    <w:rsid w:val="0011484D"/>
    <w:rsid w:val="00114E4F"/>
    <w:rsid w:val="001158E8"/>
    <w:rsid w:val="001169B5"/>
    <w:rsid w:val="001218CA"/>
    <w:rsid w:val="00121DC0"/>
    <w:rsid w:val="00122D80"/>
    <w:rsid w:val="00124062"/>
    <w:rsid w:val="0012530D"/>
    <w:rsid w:val="00127868"/>
    <w:rsid w:val="00133D50"/>
    <w:rsid w:val="001357F1"/>
    <w:rsid w:val="00135E1D"/>
    <w:rsid w:val="00136963"/>
    <w:rsid w:val="00140A41"/>
    <w:rsid w:val="00140C86"/>
    <w:rsid w:val="00142D92"/>
    <w:rsid w:val="00146325"/>
    <w:rsid w:val="00146E3D"/>
    <w:rsid w:val="001477B9"/>
    <w:rsid w:val="00147F23"/>
    <w:rsid w:val="001511A1"/>
    <w:rsid w:val="0015154E"/>
    <w:rsid w:val="00151E78"/>
    <w:rsid w:val="001546AA"/>
    <w:rsid w:val="001553BF"/>
    <w:rsid w:val="001577DE"/>
    <w:rsid w:val="00161AD5"/>
    <w:rsid w:val="001633C0"/>
    <w:rsid w:val="00171061"/>
    <w:rsid w:val="001733C9"/>
    <w:rsid w:val="001744ED"/>
    <w:rsid w:val="00175AF6"/>
    <w:rsid w:val="00182C33"/>
    <w:rsid w:val="001862C8"/>
    <w:rsid w:val="001864B7"/>
    <w:rsid w:val="0018682C"/>
    <w:rsid w:val="00187093"/>
    <w:rsid w:val="001870A9"/>
    <w:rsid w:val="001871E9"/>
    <w:rsid w:val="001873C7"/>
    <w:rsid w:val="0019564C"/>
    <w:rsid w:val="001962E9"/>
    <w:rsid w:val="00197095"/>
    <w:rsid w:val="001A0D82"/>
    <w:rsid w:val="001A0DAD"/>
    <w:rsid w:val="001A21BE"/>
    <w:rsid w:val="001A419B"/>
    <w:rsid w:val="001A4C6E"/>
    <w:rsid w:val="001A55B0"/>
    <w:rsid w:val="001B06D2"/>
    <w:rsid w:val="001B13BE"/>
    <w:rsid w:val="001B5AFF"/>
    <w:rsid w:val="001B7942"/>
    <w:rsid w:val="001C08A7"/>
    <w:rsid w:val="001C1CCD"/>
    <w:rsid w:val="001C405D"/>
    <w:rsid w:val="001C444F"/>
    <w:rsid w:val="001C47D7"/>
    <w:rsid w:val="001C74D8"/>
    <w:rsid w:val="001D08C0"/>
    <w:rsid w:val="001D2038"/>
    <w:rsid w:val="001D60FC"/>
    <w:rsid w:val="001E024B"/>
    <w:rsid w:val="001E0545"/>
    <w:rsid w:val="001E3B0C"/>
    <w:rsid w:val="001E3BC4"/>
    <w:rsid w:val="001E510B"/>
    <w:rsid w:val="001E66FA"/>
    <w:rsid w:val="001E6C5B"/>
    <w:rsid w:val="001F2A3E"/>
    <w:rsid w:val="001F43EE"/>
    <w:rsid w:val="001F54C1"/>
    <w:rsid w:val="001F593B"/>
    <w:rsid w:val="001F623F"/>
    <w:rsid w:val="002033AE"/>
    <w:rsid w:val="002056F3"/>
    <w:rsid w:val="002063A1"/>
    <w:rsid w:val="0020760D"/>
    <w:rsid w:val="00211DD0"/>
    <w:rsid w:val="00213201"/>
    <w:rsid w:val="002138F6"/>
    <w:rsid w:val="00213F93"/>
    <w:rsid w:val="002147F0"/>
    <w:rsid w:val="00217C04"/>
    <w:rsid w:val="002209ED"/>
    <w:rsid w:val="00220E2E"/>
    <w:rsid w:val="0022123E"/>
    <w:rsid w:val="00222243"/>
    <w:rsid w:val="002252DF"/>
    <w:rsid w:val="00227290"/>
    <w:rsid w:val="002306A8"/>
    <w:rsid w:val="00231000"/>
    <w:rsid w:val="0023267D"/>
    <w:rsid w:val="0023307D"/>
    <w:rsid w:val="00234CF9"/>
    <w:rsid w:val="00235A21"/>
    <w:rsid w:val="002373AC"/>
    <w:rsid w:val="0024018E"/>
    <w:rsid w:val="00242094"/>
    <w:rsid w:val="00243A59"/>
    <w:rsid w:val="00245FB2"/>
    <w:rsid w:val="00246EED"/>
    <w:rsid w:val="0024706D"/>
    <w:rsid w:val="002473DB"/>
    <w:rsid w:val="00247793"/>
    <w:rsid w:val="002478DB"/>
    <w:rsid w:val="00247BA0"/>
    <w:rsid w:val="00252E96"/>
    <w:rsid w:val="0026157C"/>
    <w:rsid w:val="00262F35"/>
    <w:rsid w:val="00263025"/>
    <w:rsid w:val="00263DFA"/>
    <w:rsid w:val="00264ED4"/>
    <w:rsid w:val="002730F6"/>
    <w:rsid w:val="00273BBB"/>
    <w:rsid w:val="00275063"/>
    <w:rsid w:val="00275424"/>
    <w:rsid w:val="00277078"/>
    <w:rsid w:val="002773FC"/>
    <w:rsid w:val="002822BE"/>
    <w:rsid w:val="00282AD8"/>
    <w:rsid w:val="00282FF3"/>
    <w:rsid w:val="00283D77"/>
    <w:rsid w:val="002860C6"/>
    <w:rsid w:val="002875F4"/>
    <w:rsid w:val="002911E6"/>
    <w:rsid w:val="00293AF6"/>
    <w:rsid w:val="00295086"/>
    <w:rsid w:val="00295473"/>
    <w:rsid w:val="00296F05"/>
    <w:rsid w:val="00297F2F"/>
    <w:rsid w:val="002A04CE"/>
    <w:rsid w:val="002A205E"/>
    <w:rsid w:val="002A36BC"/>
    <w:rsid w:val="002A378B"/>
    <w:rsid w:val="002A39FD"/>
    <w:rsid w:val="002A62EF"/>
    <w:rsid w:val="002A6788"/>
    <w:rsid w:val="002A76E9"/>
    <w:rsid w:val="002B64BD"/>
    <w:rsid w:val="002B7297"/>
    <w:rsid w:val="002C0851"/>
    <w:rsid w:val="002C3074"/>
    <w:rsid w:val="002C3534"/>
    <w:rsid w:val="002C755D"/>
    <w:rsid w:val="002D04DD"/>
    <w:rsid w:val="002D09B3"/>
    <w:rsid w:val="002D0B7F"/>
    <w:rsid w:val="002D305B"/>
    <w:rsid w:val="002D7562"/>
    <w:rsid w:val="002D79A2"/>
    <w:rsid w:val="002D7EB7"/>
    <w:rsid w:val="002E0008"/>
    <w:rsid w:val="002E0E40"/>
    <w:rsid w:val="002E13A4"/>
    <w:rsid w:val="002E1D66"/>
    <w:rsid w:val="002E375D"/>
    <w:rsid w:val="002E3B5F"/>
    <w:rsid w:val="002E433A"/>
    <w:rsid w:val="002E514A"/>
    <w:rsid w:val="002E52C6"/>
    <w:rsid w:val="002F1F4D"/>
    <w:rsid w:val="002F2261"/>
    <w:rsid w:val="002F262A"/>
    <w:rsid w:val="002F3C1C"/>
    <w:rsid w:val="002F423F"/>
    <w:rsid w:val="002F5EFD"/>
    <w:rsid w:val="002F7AC6"/>
    <w:rsid w:val="0030251C"/>
    <w:rsid w:val="0030370A"/>
    <w:rsid w:val="00304EF9"/>
    <w:rsid w:val="00305513"/>
    <w:rsid w:val="00310381"/>
    <w:rsid w:val="003104A8"/>
    <w:rsid w:val="00313F05"/>
    <w:rsid w:val="0031593F"/>
    <w:rsid w:val="003211AD"/>
    <w:rsid w:val="0032144F"/>
    <w:rsid w:val="00322227"/>
    <w:rsid w:val="00322887"/>
    <w:rsid w:val="00322C12"/>
    <w:rsid w:val="00323D29"/>
    <w:rsid w:val="003252DC"/>
    <w:rsid w:val="00326D14"/>
    <w:rsid w:val="00327C2D"/>
    <w:rsid w:val="0033352E"/>
    <w:rsid w:val="003338EE"/>
    <w:rsid w:val="00334522"/>
    <w:rsid w:val="00336FC2"/>
    <w:rsid w:val="00340250"/>
    <w:rsid w:val="0034098D"/>
    <w:rsid w:val="00340EF8"/>
    <w:rsid w:val="00341273"/>
    <w:rsid w:val="00341858"/>
    <w:rsid w:val="003424DA"/>
    <w:rsid w:val="0034318B"/>
    <w:rsid w:val="00343494"/>
    <w:rsid w:val="003444ED"/>
    <w:rsid w:val="003468B3"/>
    <w:rsid w:val="00346A84"/>
    <w:rsid w:val="0034736B"/>
    <w:rsid w:val="00352716"/>
    <w:rsid w:val="00353471"/>
    <w:rsid w:val="00354494"/>
    <w:rsid w:val="00361681"/>
    <w:rsid w:val="00362AD4"/>
    <w:rsid w:val="00364904"/>
    <w:rsid w:val="00365248"/>
    <w:rsid w:val="00366346"/>
    <w:rsid w:val="00366870"/>
    <w:rsid w:val="00366909"/>
    <w:rsid w:val="00366D34"/>
    <w:rsid w:val="0037094F"/>
    <w:rsid w:val="00371733"/>
    <w:rsid w:val="003726D5"/>
    <w:rsid w:val="00372709"/>
    <w:rsid w:val="00372E1A"/>
    <w:rsid w:val="00374B83"/>
    <w:rsid w:val="003758D2"/>
    <w:rsid w:val="00384E46"/>
    <w:rsid w:val="0038727B"/>
    <w:rsid w:val="0038794D"/>
    <w:rsid w:val="00392B7A"/>
    <w:rsid w:val="003931D6"/>
    <w:rsid w:val="003949B5"/>
    <w:rsid w:val="00394DC6"/>
    <w:rsid w:val="00395F38"/>
    <w:rsid w:val="003A07DA"/>
    <w:rsid w:val="003A1B55"/>
    <w:rsid w:val="003A3D2E"/>
    <w:rsid w:val="003A554F"/>
    <w:rsid w:val="003A7116"/>
    <w:rsid w:val="003A7EA4"/>
    <w:rsid w:val="003B0329"/>
    <w:rsid w:val="003B1C1E"/>
    <w:rsid w:val="003B289C"/>
    <w:rsid w:val="003B3E9E"/>
    <w:rsid w:val="003B4E19"/>
    <w:rsid w:val="003B5A54"/>
    <w:rsid w:val="003B767E"/>
    <w:rsid w:val="003C08B9"/>
    <w:rsid w:val="003C115D"/>
    <w:rsid w:val="003C25A7"/>
    <w:rsid w:val="003C2BD0"/>
    <w:rsid w:val="003C2EAF"/>
    <w:rsid w:val="003C3451"/>
    <w:rsid w:val="003C4136"/>
    <w:rsid w:val="003C6244"/>
    <w:rsid w:val="003D0DD6"/>
    <w:rsid w:val="003D1882"/>
    <w:rsid w:val="003D284C"/>
    <w:rsid w:val="003D3C7B"/>
    <w:rsid w:val="003D4F7C"/>
    <w:rsid w:val="003D5FC1"/>
    <w:rsid w:val="003D67D7"/>
    <w:rsid w:val="003E4253"/>
    <w:rsid w:val="003E580D"/>
    <w:rsid w:val="003E5A8A"/>
    <w:rsid w:val="003E5F26"/>
    <w:rsid w:val="003E5FE9"/>
    <w:rsid w:val="003E6D82"/>
    <w:rsid w:val="003E739F"/>
    <w:rsid w:val="003E79BC"/>
    <w:rsid w:val="003E7BB2"/>
    <w:rsid w:val="003F0D01"/>
    <w:rsid w:val="003F1548"/>
    <w:rsid w:val="003F1E5A"/>
    <w:rsid w:val="003F5325"/>
    <w:rsid w:val="003F6A42"/>
    <w:rsid w:val="003F7116"/>
    <w:rsid w:val="003F7768"/>
    <w:rsid w:val="003F7BF6"/>
    <w:rsid w:val="003F7C1B"/>
    <w:rsid w:val="003F7F26"/>
    <w:rsid w:val="004042A0"/>
    <w:rsid w:val="00413705"/>
    <w:rsid w:val="004148F0"/>
    <w:rsid w:val="00415ACE"/>
    <w:rsid w:val="00421E48"/>
    <w:rsid w:val="00425D5E"/>
    <w:rsid w:val="00427064"/>
    <w:rsid w:val="00431A54"/>
    <w:rsid w:val="00433071"/>
    <w:rsid w:val="00435CDB"/>
    <w:rsid w:val="00437A19"/>
    <w:rsid w:val="00442DED"/>
    <w:rsid w:val="0044551C"/>
    <w:rsid w:val="00446E79"/>
    <w:rsid w:val="00453BE1"/>
    <w:rsid w:val="004540A3"/>
    <w:rsid w:val="004544F3"/>
    <w:rsid w:val="004556CD"/>
    <w:rsid w:val="004570FB"/>
    <w:rsid w:val="00457155"/>
    <w:rsid w:val="00457269"/>
    <w:rsid w:val="00460B09"/>
    <w:rsid w:val="0046163A"/>
    <w:rsid w:val="00461948"/>
    <w:rsid w:val="004640DB"/>
    <w:rsid w:val="0046570C"/>
    <w:rsid w:val="0046693F"/>
    <w:rsid w:val="004703E8"/>
    <w:rsid w:val="0047065E"/>
    <w:rsid w:val="00473702"/>
    <w:rsid w:val="00477758"/>
    <w:rsid w:val="004809DE"/>
    <w:rsid w:val="00480AB6"/>
    <w:rsid w:val="00481069"/>
    <w:rsid w:val="00482C2D"/>
    <w:rsid w:val="00483413"/>
    <w:rsid w:val="00486F7D"/>
    <w:rsid w:val="00487305"/>
    <w:rsid w:val="00487AC4"/>
    <w:rsid w:val="00491537"/>
    <w:rsid w:val="00491AE2"/>
    <w:rsid w:val="00491B58"/>
    <w:rsid w:val="00492630"/>
    <w:rsid w:val="004945FE"/>
    <w:rsid w:val="00494BF7"/>
    <w:rsid w:val="004A2185"/>
    <w:rsid w:val="004A252B"/>
    <w:rsid w:val="004A573E"/>
    <w:rsid w:val="004A6693"/>
    <w:rsid w:val="004A70DE"/>
    <w:rsid w:val="004A780C"/>
    <w:rsid w:val="004A7A72"/>
    <w:rsid w:val="004B06FB"/>
    <w:rsid w:val="004B16DA"/>
    <w:rsid w:val="004B2A52"/>
    <w:rsid w:val="004B33B8"/>
    <w:rsid w:val="004B3B63"/>
    <w:rsid w:val="004B4E54"/>
    <w:rsid w:val="004B5143"/>
    <w:rsid w:val="004B7820"/>
    <w:rsid w:val="004B7D4E"/>
    <w:rsid w:val="004C00A0"/>
    <w:rsid w:val="004C1920"/>
    <w:rsid w:val="004C5688"/>
    <w:rsid w:val="004C6045"/>
    <w:rsid w:val="004C651E"/>
    <w:rsid w:val="004C7FA7"/>
    <w:rsid w:val="004D0B24"/>
    <w:rsid w:val="004D0F6D"/>
    <w:rsid w:val="004D22D7"/>
    <w:rsid w:val="004D3C10"/>
    <w:rsid w:val="004D4ED7"/>
    <w:rsid w:val="004D6930"/>
    <w:rsid w:val="004D6D6F"/>
    <w:rsid w:val="004D75C8"/>
    <w:rsid w:val="004E04E9"/>
    <w:rsid w:val="004E4800"/>
    <w:rsid w:val="004E7C77"/>
    <w:rsid w:val="004F0799"/>
    <w:rsid w:val="004F161C"/>
    <w:rsid w:val="004F217C"/>
    <w:rsid w:val="004F3217"/>
    <w:rsid w:val="004F45DF"/>
    <w:rsid w:val="004F7227"/>
    <w:rsid w:val="00501DAD"/>
    <w:rsid w:val="00503B21"/>
    <w:rsid w:val="00503C3D"/>
    <w:rsid w:val="0050415E"/>
    <w:rsid w:val="005053AA"/>
    <w:rsid w:val="00505862"/>
    <w:rsid w:val="00506767"/>
    <w:rsid w:val="00506AF4"/>
    <w:rsid w:val="00506CBF"/>
    <w:rsid w:val="00507FB0"/>
    <w:rsid w:val="0051065A"/>
    <w:rsid w:val="00511DA3"/>
    <w:rsid w:val="005157AA"/>
    <w:rsid w:val="00516B3D"/>
    <w:rsid w:val="00517D98"/>
    <w:rsid w:val="00523B64"/>
    <w:rsid w:val="00525467"/>
    <w:rsid w:val="00527895"/>
    <w:rsid w:val="00527DA8"/>
    <w:rsid w:val="00531285"/>
    <w:rsid w:val="00531A1D"/>
    <w:rsid w:val="00533546"/>
    <w:rsid w:val="00534709"/>
    <w:rsid w:val="00534962"/>
    <w:rsid w:val="00536544"/>
    <w:rsid w:val="00536C2E"/>
    <w:rsid w:val="005400E7"/>
    <w:rsid w:val="00543440"/>
    <w:rsid w:val="0054400F"/>
    <w:rsid w:val="00544D96"/>
    <w:rsid w:val="005474DC"/>
    <w:rsid w:val="00547DDA"/>
    <w:rsid w:val="00547F35"/>
    <w:rsid w:val="00550505"/>
    <w:rsid w:val="00550CDA"/>
    <w:rsid w:val="00551709"/>
    <w:rsid w:val="00553029"/>
    <w:rsid w:val="00555979"/>
    <w:rsid w:val="00557CFA"/>
    <w:rsid w:val="00561CA9"/>
    <w:rsid w:val="00562EE4"/>
    <w:rsid w:val="00566152"/>
    <w:rsid w:val="00572359"/>
    <w:rsid w:val="00573445"/>
    <w:rsid w:val="005738CD"/>
    <w:rsid w:val="005746C8"/>
    <w:rsid w:val="00574B22"/>
    <w:rsid w:val="0057780A"/>
    <w:rsid w:val="00580DFA"/>
    <w:rsid w:val="00583450"/>
    <w:rsid w:val="005837F1"/>
    <w:rsid w:val="00583921"/>
    <w:rsid w:val="005843CE"/>
    <w:rsid w:val="00584C2F"/>
    <w:rsid w:val="00584FDE"/>
    <w:rsid w:val="00587389"/>
    <w:rsid w:val="0059160E"/>
    <w:rsid w:val="00591647"/>
    <w:rsid w:val="005941BC"/>
    <w:rsid w:val="005950A9"/>
    <w:rsid w:val="00595393"/>
    <w:rsid w:val="00595920"/>
    <w:rsid w:val="005978DB"/>
    <w:rsid w:val="005A1D85"/>
    <w:rsid w:val="005A2A80"/>
    <w:rsid w:val="005A3F69"/>
    <w:rsid w:val="005A44E9"/>
    <w:rsid w:val="005B1B65"/>
    <w:rsid w:val="005B3367"/>
    <w:rsid w:val="005B6115"/>
    <w:rsid w:val="005B688C"/>
    <w:rsid w:val="005B68E7"/>
    <w:rsid w:val="005B7DA1"/>
    <w:rsid w:val="005C11C1"/>
    <w:rsid w:val="005C68B4"/>
    <w:rsid w:val="005D1013"/>
    <w:rsid w:val="005D10BC"/>
    <w:rsid w:val="005D1697"/>
    <w:rsid w:val="005D1770"/>
    <w:rsid w:val="005D1D7E"/>
    <w:rsid w:val="005D236C"/>
    <w:rsid w:val="005D7AF2"/>
    <w:rsid w:val="005E29F4"/>
    <w:rsid w:val="005E4DCA"/>
    <w:rsid w:val="005E4DFC"/>
    <w:rsid w:val="005E6170"/>
    <w:rsid w:val="005F0DDD"/>
    <w:rsid w:val="005F5607"/>
    <w:rsid w:val="00600BEA"/>
    <w:rsid w:val="00602CFC"/>
    <w:rsid w:val="00607515"/>
    <w:rsid w:val="0061091E"/>
    <w:rsid w:val="006113FB"/>
    <w:rsid w:val="0061145F"/>
    <w:rsid w:val="00612926"/>
    <w:rsid w:val="00613075"/>
    <w:rsid w:val="0061565E"/>
    <w:rsid w:val="0061717D"/>
    <w:rsid w:val="00622212"/>
    <w:rsid w:val="0062285D"/>
    <w:rsid w:val="00624A47"/>
    <w:rsid w:val="00626B3C"/>
    <w:rsid w:val="00627046"/>
    <w:rsid w:val="00627C76"/>
    <w:rsid w:val="00632416"/>
    <w:rsid w:val="00635589"/>
    <w:rsid w:val="00636813"/>
    <w:rsid w:val="00636909"/>
    <w:rsid w:val="00637726"/>
    <w:rsid w:val="00641378"/>
    <w:rsid w:val="006431B1"/>
    <w:rsid w:val="006447D5"/>
    <w:rsid w:val="00645936"/>
    <w:rsid w:val="00645FA9"/>
    <w:rsid w:val="00647E74"/>
    <w:rsid w:val="00647EAF"/>
    <w:rsid w:val="00650F3C"/>
    <w:rsid w:val="006526A7"/>
    <w:rsid w:val="00654311"/>
    <w:rsid w:val="00656A3A"/>
    <w:rsid w:val="006573C8"/>
    <w:rsid w:val="00662DA6"/>
    <w:rsid w:val="00662E69"/>
    <w:rsid w:val="006648C5"/>
    <w:rsid w:val="00665727"/>
    <w:rsid w:val="00665F98"/>
    <w:rsid w:val="00666448"/>
    <w:rsid w:val="00670225"/>
    <w:rsid w:val="00670A19"/>
    <w:rsid w:val="00671B77"/>
    <w:rsid w:val="006741F9"/>
    <w:rsid w:val="006746CA"/>
    <w:rsid w:val="00676E57"/>
    <w:rsid w:val="00681226"/>
    <w:rsid w:val="006819F3"/>
    <w:rsid w:val="006849AA"/>
    <w:rsid w:val="00691665"/>
    <w:rsid w:val="0069305A"/>
    <w:rsid w:val="006946A7"/>
    <w:rsid w:val="00696647"/>
    <w:rsid w:val="006971FB"/>
    <w:rsid w:val="006A184D"/>
    <w:rsid w:val="006A5B89"/>
    <w:rsid w:val="006A5CD3"/>
    <w:rsid w:val="006A647E"/>
    <w:rsid w:val="006A6C7E"/>
    <w:rsid w:val="006A6E26"/>
    <w:rsid w:val="006B05C3"/>
    <w:rsid w:val="006B1425"/>
    <w:rsid w:val="006B20EE"/>
    <w:rsid w:val="006B2848"/>
    <w:rsid w:val="006C0ACD"/>
    <w:rsid w:val="006C0DCC"/>
    <w:rsid w:val="006C1184"/>
    <w:rsid w:val="006C28D2"/>
    <w:rsid w:val="006C586E"/>
    <w:rsid w:val="006C64AA"/>
    <w:rsid w:val="006D03A1"/>
    <w:rsid w:val="006D278A"/>
    <w:rsid w:val="006D5684"/>
    <w:rsid w:val="006D7A01"/>
    <w:rsid w:val="006E0936"/>
    <w:rsid w:val="006E1038"/>
    <w:rsid w:val="006E3D9F"/>
    <w:rsid w:val="006E44E6"/>
    <w:rsid w:val="006E4D26"/>
    <w:rsid w:val="006E7F4C"/>
    <w:rsid w:val="006F1649"/>
    <w:rsid w:val="006F440D"/>
    <w:rsid w:val="006F6842"/>
    <w:rsid w:val="007011F1"/>
    <w:rsid w:val="007017D6"/>
    <w:rsid w:val="0070470A"/>
    <w:rsid w:val="0070471B"/>
    <w:rsid w:val="00706835"/>
    <w:rsid w:val="0071034F"/>
    <w:rsid w:val="007123CD"/>
    <w:rsid w:val="007130F4"/>
    <w:rsid w:val="00713589"/>
    <w:rsid w:val="007144A3"/>
    <w:rsid w:val="00716E10"/>
    <w:rsid w:val="0071714A"/>
    <w:rsid w:val="0071749F"/>
    <w:rsid w:val="00717DB1"/>
    <w:rsid w:val="00720508"/>
    <w:rsid w:val="00723413"/>
    <w:rsid w:val="00724A11"/>
    <w:rsid w:val="007270AA"/>
    <w:rsid w:val="00727E5F"/>
    <w:rsid w:val="00730606"/>
    <w:rsid w:val="00730FFA"/>
    <w:rsid w:val="00731829"/>
    <w:rsid w:val="00732565"/>
    <w:rsid w:val="0073259D"/>
    <w:rsid w:val="00732AD8"/>
    <w:rsid w:val="00735664"/>
    <w:rsid w:val="00735F19"/>
    <w:rsid w:val="0073675D"/>
    <w:rsid w:val="00737AB0"/>
    <w:rsid w:val="00741B95"/>
    <w:rsid w:val="00742219"/>
    <w:rsid w:val="0074258D"/>
    <w:rsid w:val="00742EEE"/>
    <w:rsid w:val="007454C7"/>
    <w:rsid w:val="00745A55"/>
    <w:rsid w:val="00746A86"/>
    <w:rsid w:val="00747281"/>
    <w:rsid w:val="00747695"/>
    <w:rsid w:val="00747F06"/>
    <w:rsid w:val="0075094E"/>
    <w:rsid w:val="00750953"/>
    <w:rsid w:val="00750D9A"/>
    <w:rsid w:val="0075114F"/>
    <w:rsid w:val="00752124"/>
    <w:rsid w:val="00760404"/>
    <w:rsid w:val="0076089C"/>
    <w:rsid w:val="00763F1C"/>
    <w:rsid w:val="00764956"/>
    <w:rsid w:val="00767488"/>
    <w:rsid w:val="00770325"/>
    <w:rsid w:val="00772CFA"/>
    <w:rsid w:val="00772E99"/>
    <w:rsid w:val="00776919"/>
    <w:rsid w:val="00776AED"/>
    <w:rsid w:val="00782CB9"/>
    <w:rsid w:val="00784C51"/>
    <w:rsid w:val="00785576"/>
    <w:rsid w:val="007856FE"/>
    <w:rsid w:val="0078614E"/>
    <w:rsid w:val="007867AD"/>
    <w:rsid w:val="0078702D"/>
    <w:rsid w:val="00787495"/>
    <w:rsid w:val="00790925"/>
    <w:rsid w:val="00790FA6"/>
    <w:rsid w:val="007910BC"/>
    <w:rsid w:val="00793B00"/>
    <w:rsid w:val="0079494F"/>
    <w:rsid w:val="00795A51"/>
    <w:rsid w:val="00795B68"/>
    <w:rsid w:val="007A054C"/>
    <w:rsid w:val="007A0775"/>
    <w:rsid w:val="007A125E"/>
    <w:rsid w:val="007A14C1"/>
    <w:rsid w:val="007A1A3A"/>
    <w:rsid w:val="007A3380"/>
    <w:rsid w:val="007A40E3"/>
    <w:rsid w:val="007A50AF"/>
    <w:rsid w:val="007A6F7D"/>
    <w:rsid w:val="007A73C0"/>
    <w:rsid w:val="007A77E4"/>
    <w:rsid w:val="007A7E32"/>
    <w:rsid w:val="007B0120"/>
    <w:rsid w:val="007B0D58"/>
    <w:rsid w:val="007B12F8"/>
    <w:rsid w:val="007B2E85"/>
    <w:rsid w:val="007B71E3"/>
    <w:rsid w:val="007C0917"/>
    <w:rsid w:val="007C17B5"/>
    <w:rsid w:val="007C1BB8"/>
    <w:rsid w:val="007C1CA3"/>
    <w:rsid w:val="007C229E"/>
    <w:rsid w:val="007C2A80"/>
    <w:rsid w:val="007C5810"/>
    <w:rsid w:val="007C6077"/>
    <w:rsid w:val="007C6569"/>
    <w:rsid w:val="007C7BF9"/>
    <w:rsid w:val="007C7ED4"/>
    <w:rsid w:val="007D2D95"/>
    <w:rsid w:val="007D3058"/>
    <w:rsid w:val="007D7A38"/>
    <w:rsid w:val="007E05B6"/>
    <w:rsid w:val="007E1374"/>
    <w:rsid w:val="007E144A"/>
    <w:rsid w:val="007E3F11"/>
    <w:rsid w:val="007E6C2A"/>
    <w:rsid w:val="007E7C4E"/>
    <w:rsid w:val="007F4740"/>
    <w:rsid w:val="007F6DC4"/>
    <w:rsid w:val="007F73A6"/>
    <w:rsid w:val="007F7813"/>
    <w:rsid w:val="0080097B"/>
    <w:rsid w:val="008051D2"/>
    <w:rsid w:val="008052B9"/>
    <w:rsid w:val="0080685C"/>
    <w:rsid w:val="00810013"/>
    <w:rsid w:val="008219FC"/>
    <w:rsid w:val="00821BC7"/>
    <w:rsid w:val="00821C78"/>
    <w:rsid w:val="00822893"/>
    <w:rsid w:val="00822E8D"/>
    <w:rsid w:val="00825570"/>
    <w:rsid w:val="00827561"/>
    <w:rsid w:val="008302B9"/>
    <w:rsid w:val="008319AC"/>
    <w:rsid w:val="00831B80"/>
    <w:rsid w:val="00831CD8"/>
    <w:rsid w:val="0083485C"/>
    <w:rsid w:val="00835458"/>
    <w:rsid w:val="008356C3"/>
    <w:rsid w:val="0083792B"/>
    <w:rsid w:val="00841279"/>
    <w:rsid w:val="00843EC7"/>
    <w:rsid w:val="00846AFD"/>
    <w:rsid w:val="00847307"/>
    <w:rsid w:val="00847833"/>
    <w:rsid w:val="00847D79"/>
    <w:rsid w:val="008513B7"/>
    <w:rsid w:val="00853615"/>
    <w:rsid w:val="00853863"/>
    <w:rsid w:val="00854930"/>
    <w:rsid w:val="008567BD"/>
    <w:rsid w:val="008570F8"/>
    <w:rsid w:val="00862777"/>
    <w:rsid w:val="0086791D"/>
    <w:rsid w:val="0087040F"/>
    <w:rsid w:val="00871291"/>
    <w:rsid w:val="00873187"/>
    <w:rsid w:val="00874FE4"/>
    <w:rsid w:val="008773E2"/>
    <w:rsid w:val="008805B9"/>
    <w:rsid w:val="0088551B"/>
    <w:rsid w:val="00885B6B"/>
    <w:rsid w:val="00887446"/>
    <w:rsid w:val="00887C4F"/>
    <w:rsid w:val="00890003"/>
    <w:rsid w:val="00891AE7"/>
    <w:rsid w:val="008936AA"/>
    <w:rsid w:val="008940BD"/>
    <w:rsid w:val="00895C19"/>
    <w:rsid w:val="00895DAF"/>
    <w:rsid w:val="00897E14"/>
    <w:rsid w:val="008A08CB"/>
    <w:rsid w:val="008A0D3E"/>
    <w:rsid w:val="008A3E55"/>
    <w:rsid w:val="008A4C7B"/>
    <w:rsid w:val="008B110A"/>
    <w:rsid w:val="008B259A"/>
    <w:rsid w:val="008B3648"/>
    <w:rsid w:val="008B6861"/>
    <w:rsid w:val="008B78FF"/>
    <w:rsid w:val="008B7BB5"/>
    <w:rsid w:val="008C3923"/>
    <w:rsid w:val="008C5A96"/>
    <w:rsid w:val="008C6A58"/>
    <w:rsid w:val="008D5D9A"/>
    <w:rsid w:val="008D5F73"/>
    <w:rsid w:val="008E0643"/>
    <w:rsid w:val="008E50A0"/>
    <w:rsid w:val="008E60B4"/>
    <w:rsid w:val="008E7711"/>
    <w:rsid w:val="008F1025"/>
    <w:rsid w:val="008F2373"/>
    <w:rsid w:val="008F496A"/>
    <w:rsid w:val="008F5A52"/>
    <w:rsid w:val="008F75B6"/>
    <w:rsid w:val="00904926"/>
    <w:rsid w:val="009057DF"/>
    <w:rsid w:val="00906036"/>
    <w:rsid w:val="00906342"/>
    <w:rsid w:val="00910353"/>
    <w:rsid w:val="0091047F"/>
    <w:rsid w:val="009106E9"/>
    <w:rsid w:val="00910DE8"/>
    <w:rsid w:val="009110BF"/>
    <w:rsid w:val="00912B07"/>
    <w:rsid w:val="00913FD9"/>
    <w:rsid w:val="00916174"/>
    <w:rsid w:val="0091631B"/>
    <w:rsid w:val="009167EE"/>
    <w:rsid w:val="0092058B"/>
    <w:rsid w:val="00920C68"/>
    <w:rsid w:val="00923452"/>
    <w:rsid w:val="00923994"/>
    <w:rsid w:val="009248F5"/>
    <w:rsid w:val="00926460"/>
    <w:rsid w:val="009305EA"/>
    <w:rsid w:val="00931288"/>
    <w:rsid w:val="009326F1"/>
    <w:rsid w:val="00932E0E"/>
    <w:rsid w:val="00934B79"/>
    <w:rsid w:val="00935946"/>
    <w:rsid w:val="00936EA8"/>
    <w:rsid w:val="00940561"/>
    <w:rsid w:val="00941347"/>
    <w:rsid w:val="0094288C"/>
    <w:rsid w:val="00946813"/>
    <w:rsid w:val="00947151"/>
    <w:rsid w:val="0094766F"/>
    <w:rsid w:val="00947789"/>
    <w:rsid w:val="00952131"/>
    <w:rsid w:val="00955B6A"/>
    <w:rsid w:val="00955FA2"/>
    <w:rsid w:val="009561F3"/>
    <w:rsid w:val="009568CC"/>
    <w:rsid w:val="00957076"/>
    <w:rsid w:val="009600B4"/>
    <w:rsid w:val="009620C0"/>
    <w:rsid w:val="00962118"/>
    <w:rsid w:val="00962AFB"/>
    <w:rsid w:val="00963FE4"/>
    <w:rsid w:val="0096598C"/>
    <w:rsid w:val="00965CE4"/>
    <w:rsid w:val="00965F72"/>
    <w:rsid w:val="00970635"/>
    <w:rsid w:val="0097344E"/>
    <w:rsid w:val="0097508A"/>
    <w:rsid w:val="00975A56"/>
    <w:rsid w:val="00977416"/>
    <w:rsid w:val="009777E6"/>
    <w:rsid w:val="00977C58"/>
    <w:rsid w:val="009807F9"/>
    <w:rsid w:val="009858D4"/>
    <w:rsid w:val="00987066"/>
    <w:rsid w:val="00990B78"/>
    <w:rsid w:val="0099247F"/>
    <w:rsid w:val="009930BC"/>
    <w:rsid w:val="00993378"/>
    <w:rsid w:val="009936CA"/>
    <w:rsid w:val="009960EE"/>
    <w:rsid w:val="00997F97"/>
    <w:rsid w:val="009A1247"/>
    <w:rsid w:val="009A1C3B"/>
    <w:rsid w:val="009A2050"/>
    <w:rsid w:val="009A3D4E"/>
    <w:rsid w:val="009A6BDB"/>
    <w:rsid w:val="009A736D"/>
    <w:rsid w:val="009B49F0"/>
    <w:rsid w:val="009B5E2D"/>
    <w:rsid w:val="009B7052"/>
    <w:rsid w:val="009B7251"/>
    <w:rsid w:val="009B7430"/>
    <w:rsid w:val="009B787C"/>
    <w:rsid w:val="009B7F1A"/>
    <w:rsid w:val="009C010F"/>
    <w:rsid w:val="009C0F24"/>
    <w:rsid w:val="009C1419"/>
    <w:rsid w:val="009C232F"/>
    <w:rsid w:val="009C72C9"/>
    <w:rsid w:val="009C79BA"/>
    <w:rsid w:val="009D0276"/>
    <w:rsid w:val="009D1FD8"/>
    <w:rsid w:val="009D2CBA"/>
    <w:rsid w:val="009D348A"/>
    <w:rsid w:val="009D3576"/>
    <w:rsid w:val="009E2452"/>
    <w:rsid w:val="009E3977"/>
    <w:rsid w:val="009E534D"/>
    <w:rsid w:val="009E6ECF"/>
    <w:rsid w:val="009E6FDA"/>
    <w:rsid w:val="009F122F"/>
    <w:rsid w:val="009F2692"/>
    <w:rsid w:val="009F377C"/>
    <w:rsid w:val="009F3F67"/>
    <w:rsid w:val="009F42F4"/>
    <w:rsid w:val="009F4499"/>
    <w:rsid w:val="009F685B"/>
    <w:rsid w:val="00A0008C"/>
    <w:rsid w:val="00A029CF"/>
    <w:rsid w:val="00A03D1D"/>
    <w:rsid w:val="00A05B00"/>
    <w:rsid w:val="00A05E8E"/>
    <w:rsid w:val="00A16177"/>
    <w:rsid w:val="00A162A7"/>
    <w:rsid w:val="00A16A08"/>
    <w:rsid w:val="00A22074"/>
    <w:rsid w:val="00A23006"/>
    <w:rsid w:val="00A2369E"/>
    <w:rsid w:val="00A245C7"/>
    <w:rsid w:val="00A252E7"/>
    <w:rsid w:val="00A2577F"/>
    <w:rsid w:val="00A2648C"/>
    <w:rsid w:val="00A267E7"/>
    <w:rsid w:val="00A30820"/>
    <w:rsid w:val="00A3120F"/>
    <w:rsid w:val="00A32085"/>
    <w:rsid w:val="00A322CC"/>
    <w:rsid w:val="00A32D45"/>
    <w:rsid w:val="00A33E08"/>
    <w:rsid w:val="00A35BAC"/>
    <w:rsid w:val="00A35F05"/>
    <w:rsid w:val="00A411D5"/>
    <w:rsid w:val="00A4142C"/>
    <w:rsid w:val="00A44C39"/>
    <w:rsid w:val="00A46DD2"/>
    <w:rsid w:val="00A52901"/>
    <w:rsid w:val="00A52A06"/>
    <w:rsid w:val="00A536B9"/>
    <w:rsid w:val="00A53D28"/>
    <w:rsid w:val="00A54E12"/>
    <w:rsid w:val="00A551EA"/>
    <w:rsid w:val="00A637C8"/>
    <w:rsid w:val="00A644BC"/>
    <w:rsid w:val="00A66304"/>
    <w:rsid w:val="00A66AC1"/>
    <w:rsid w:val="00A7121A"/>
    <w:rsid w:val="00A712AC"/>
    <w:rsid w:val="00A742E9"/>
    <w:rsid w:val="00A769D9"/>
    <w:rsid w:val="00A76DFC"/>
    <w:rsid w:val="00A80859"/>
    <w:rsid w:val="00A80B86"/>
    <w:rsid w:val="00A84C9F"/>
    <w:rsid w:val="00A942C3"/>
    <w:rsid w:val="00A94989"/>
    <w:rsid w:val="00A949BE"/>
    <w:rsid w:val="00A95C78"/>
    <w:rsid w:val="00A96274"/>
    <w:rsid w:val="00A96A21"/>
    <w:rsid w:val="00AA09BD"/>
    <w:rsid w:val="00AA1378"/>
    <w:rsid w:val="00AA2228"/>
    <w:rsid w:val="00AA2B32"/>
    <w:rsid w:val="00AA2D73"/>
    <w:rsid w:val="00AB0E20"/>
    <w:rsid w:val="00AB656A"/>
    <w:rsid w:val="00AC1FE6"/>
    <w:rsid w:val="00AC3FE0"/>
    <w:rsid w:val="00AC4457"/>
    <w:rsid w:val="00AD2A03"/>
    <w:rsid w:val="00AD455C"/>
    <w:rsid w:val="00AD4EF6"/>
    <w:rsid w:val="00AD5899"/>
    <w:rsid w:val="00AD67A6"/>
    <w:rsid w:val="00AD7313"/>
    <w:rsid w:val="00AD7367"/>
    <w:rsid w:val="00AD7751"/>
    <w:rsid w:val="00AE015E"/>
    <w:rsid w:val="00AE43DE"/>
    <w:rsid w:val="00AE5436"/>
    <w:rsid w:val="00AE62CE"/>
    <w:rsid w:val="00AF19E3"/>
    <w:rsid w:val="00AF1AC5"/>
    <w:rsid w:val="00AF1AF2"/>
    <w:rsid w:val="00AF31C6"/>
    <w:rsid w:val="00AF5093"/>
    <w:rsid w:val="00AF57CE"/>
    <w:rsid w:val="00AF6981"/>
    <w:rsid w:val="00AF6DC8"/>
    <w:rsid w:val="00AF6F04"/>
    <w:rsid w:val="00AF7A68"/>
    <w:rsid w:val="00B02023"/>
    <w:rsid w:val="00B03016"/>
    <w:rsid w:val="00B0304C"/>
    <w:rsid w:val="00B0392D"/>
    <w:rsid w:val="00B04C7A"/>
    <w:rsid w:val="00B05B59"/>
    <w:rsid w:val="00B05C02"/>
    <w:rsid w:val="00B05F4A"/>
    <w:rsid w:val="00B06FE6"/>
    <w:rsid w:val="00B07B04"/>
    <w:rsid w:val="00B1016A"/>
    <w:rsid w:val="00B12829"/>
    <w:rsid w:val="00B1371D"/>
    <w:rsid w:val="00B13A5A"/>
    <w:rsid w:val="00B14822"/>
    <w:rsid w:val="00B15875"/>
    <w:rsid w:val="00B1768F"/>
    <w:rsid w:val="00B23185"/>
    <w:rsid w:val="00B246CA"/>
    <w:rsid w:val="00B24F64"/>
    <w:rsid w:val="00B25002"/>
    <w:rsid w:val="00B25AAD"/>
    <w:rsid w:val="00B27525"/>
    <w:rsid w:val="00B31D6F"/>
    <w:rsid w:val="00B3214A"/>
    <w:rsid w:val="00B3238E"/>
    <w:rsid w:val="00B3283D"/>
    <w:rsid w:val="00B36CC0"/>
    <w:rsid w:val="00B37E35"/>
    <w:rsid w:val="00B4000F"/>
    <w:rsid w:val="00B42AB8"/>
    <w:rsid w:val="00B4410E"/>
    <w:rsid w:val="00B47E41"/>
    <w:rsid w:val="00B53C56"/>
    <w:rsid w:val="00B57C9F"/>
    <w:rsid w:val="00B61756"/>
    <w:rsid w:val="00B61C81"/>
    <w:rsid w:val="00B62B0C"/>
    <w:rsid w:val="00B62F7D"/>
    <w:rsid w:val="00B654A8"/>
    <w:rsid w:val="00B66207"/>
    <w:rsid w:val="00B6624B"/>
    <w:rsid w:val="00B748B2"/>
    <w:rsid w:val="00B75A3F"/>
    <w:rsid w:val="00B75BD9"/>
    <w:rsid w:val="00B80D41"/>
    <w:rsid w:val="00B814AA"/>
    <w:rsid w:val="00B8173C"/>
    <w:rsid w:val="00B843FA"/>
    <w:rsid w:val="00B86128"/>
    <w:rsid w:val="00B94F37"/>
    <w:rsid w:val="00B95A07"/>
    <w:rsid w:val="00B96DD1"/>
    <w:rsid w:val="00B97E7C"/>
    <w:rsid w:val="00BA201F"/>
    <w:rsid w:val="00BA2860"/>
    <w:rsid w:val="00BA2F4B"/>
    <w:rsid w:val="00BA38E7"/>
    <w:rsid w:val="00BA49AB"/>
    <w:rsid w:val="00BA4D18"/>
    <w:rsid w:val="00BA54DD"/>
    <w:rsid w:val="00BA7791"/>
    <w:rsid w:val="00BA7F08"/>
    <w:rsid w:val="00BB0AAF"/>
    <w:rsid w:val="00BB1269"/>
    <w:rsid w:val="00BB393C"/>
    <w:rsid w:val="00BB3B95"/>
    <w:rsid w:val="00BB4992"/>
    <w:rsid w:val="00BB6D5D"/>
    <w:rsid w:val="00BB72E4"/>
    <w:rsid w:val="00BC07E9"/>
    <w:rsid w:val="00BC3A27"/>
    <w:rsid w:val="00BC3DC9"/>
    <w:rsid w:val="00BC491E"/>
    <w:rsid w:val="00BC4CF2"/>
    <w:rsid w:val="00BC7BBB"/>
    <w:rsid w:val="00BD1080"/>
    <w:rsid w:val="00BD27B2"/>
    <w:rsid w:val="00BD2B36"/>
    <w:rsid w:val="00BD5C69"/>
    <w:rsid w:val="00BD7176"/>
    <w:rsid w:val="00BD7348"/>
    <w:rsid w:val="00BE23DA"/>
    <w:rsid w:val="00BE31F7"/>
    <w:rsid w:val="00BE3479"/>
    <w:rsid w:val="00BE494E"/>
    <w:rsid w:val="00BE60AB"/>
    <w:rsid w:val="00BE6ECD"/>
    <w:rsid w:val="00BF244D"/>
    <w:rsid w:val="00BF2B00"/>
    <w:rsid w:val="00BF41C7"/>
    <w:rsid w:val="00BF735A"/>
    <w:rsid w:val="00BF7BF1"/>
    <w:rsid w:val="00C02048"/>
    <w:rsid w:val="00C061C4"/>
    <w:rsid w:val="00C06713"/>
    <w:rsid w:val="00C1264E"/>
    <w:rsid w:val="00C128B2"/>
    <w:rsid w:val="00C12AD3"/>
    <w:rsid w:val="00C15530"/>
    <w:rsid w:val="00C156FA"/>
    <w:rsid w:val="00C17C3E"/>
    <w:rsid w:val="00C202F2"/>
    <w:rsid w:val="00C205FA"/>
    <w:rsid w:val="00C27F86"/>
    <w:rsid w:val="00C31542"/>
    <w:rsid w:val="00C325A0"/>
    <w:rsid w:val="00C34E2A"/>
    <w:rsid w:val="00C35DCC"/>
    <w:rsid w:val="00C36A0F"/>
    <w:rsid w:val="00C37A46"/>
    <w:rsid w:val="00C37BAD"/>
    <w:rsid w:val="00C400D9"/>
    <w:rsid w:val="00C404E1"/>
    <w:rsid w:val="00C417FA"/>
    <w:rsid w:val="00C41D96"/>
    <w:rsid w:val="00C43827"/>
    <w:rsid w:val="00C4393C"/>
    <w:rsid w:val="00C43B36"/>
    <w:rsid w:val="00C45525"/>
    <w:rsid w:val="00C45D27"/>
    <w:rsid w:val="00C46C63"/>
    <w:rsid w:val="00C46D63"/>
    <w:rsid w:val="00C47857"/>
    <w:rsid w:val="00C52B06"/>
    <w:rsid w:val="00C52E5E"/>
    <w:rsid w:val="00C54541"/>
    <w:rsid w:val="00C56265"/>
    <w:rsid w:val="00C576FB"/>
    <w:rsid w:val="00C619AD"/>
    <w:rsid w:val="00C66D44"/>
    <w:rsid w:val="00C70B59"/>
    <w:rsid w:val="00C713E5"/>
    <w:rsid w:val="00C72CCC"/>
    <w:rsid w:val="00C72D7C"/>
    <w:rsid w:val="00C83F16"/>
    <w:rsid w:val="00C84028"/>
    <w:rsid w:val="00C84D03"/>
    <w:rsid w:val="00C91133"/>
    <w:rsid w:val="00C92930"/>
    <w:rsid w:val="00C92BB2"/>
    <w:rsid w:val="00C948AC"/>
    <w:rsid w:val="00C9574D"/>
    <w:rsid w:val="00C95E96"/>
    <w:rsid w:val="00C96A2A"/>
    <w:rsid w:val="00C977FE"/>
    <w:rsid w:val="00CA153E"/>
    <w:rsid w:val="00CA3DAD"/>
    <w:rsid w:val="00CA4517"/>
    <w:rsid w:val="00CA535A"/>
    <w:rsid w:val="00CA7635"/>
    <w:rsid w:val="00CB12DF"/>
    <w:rsid w:val="00CB197D"/>
    <w:rsid w:val="00CB26A9"/>
    <w:rsid w:val="00CB4C30"/>
    <w:rsid w:val="00CB608B"/>
    <w:rsid w:val="00CB6A30"/>
    <w:rsid w:val="00CB6C39"/>
    <w:rsid w:val="00CB6CE1"/>
    <w:rsid w:val="00CB745B"/>
    <w:rsid w:val="00CC20D2"/>
    <w:rsid w:val="00CC2B2A"/>
    <w:rsid w:val="00CC4DAE"/>
    <w:rsid w:val="00CC656E"/>
    <w:rsid w:val="00CC6EE2"/>
    <w:rsid w:val="00CC785A"/>
    <w:rsid w:val="00CD047D"/>
    <w:rsid w:val="00CD459F"/>
    <w:rsid w:val="00CD47F2"/>
    <w:rsid w:val="00CD4954"/>
    <w:rsid w:val="00CD6780"/>
    <w:rsid w:val="00CD7C68"/>
    <w:rsid w:val="00CE147A"/>
    <w:rsid w:val="00CE2C08"/>
    <w:rsid w:val="00CE54AE"/>
    <w:rsid w:val="00CE5AC2"/>
    <w:rsid w:val="00CE7FC7"/>
    <w:rsid w:val="00CF527B"/>
    <w:rsid w:val="00CF5FAF"/>
    <w:rsid w:val="00CF6D3E"/>
    <w:rsid w:val="00CF728D"/>
    <w:rsid w:val="00CF7D76"/>
    <w:rsid w:val="00D00EC2"/>
    <w:rsid w:val="00D0283B"/>
    <w:rsid w:val="00D032C0"/>
    <w:rsid w:val="00D037B0"/>
    <w:rsid w:val="00D061F4"/>
    <w:rsid w:val="00D10964"/>
    <w:rsid w:val="00D10AB3"/>
    <w:rsid w:val="00D1175B"/>
    <w:rsid w:val="00D1203F"/>
    <w:rsid w:val="00D16742"/>
    <w:rsid w:val="00D22C3F"/>
    <w:rsid w:val="00D22E54"/>
    <w:rsid w:val="00D26728"/>
    <w:rsid w:val="00D27A8F"/>
    <w:rsid w:val="00D3091D"/>
    <w:rsid w:val="00D315D9"/>
    <w:rsid w:val="00D31E78"/>
    <w:rsid w:val="00D345A3"/>
    <w:rsid w:val="00D3643F"/>
    <w:rsid w:val="00D36706"/>
    <w:rsid w:val="00D3694E"/>
    <w:rsid w:val="00D36BE9"/>
    <w:rsid w:val="00D37E3A"/>
    <w:rsid w:val="00D40AE0"/>
    <w:rsid w:val="00D42455"/>
    <w:rsid w:val="00D42A79"/>
    <w:rsid w:val="00D435DF"/>
    <w:rsid w:val="00D4533E"/>
    <w:rsid w:val="00D46D1A"/>
    <w:rsid w:val="00D47197"/>
    <w:rsid w:val="00D47227"/>
    <w:rsid w:val="00D4766C"/>
    <w:rsid w:val="00D50FC7"/>
    <w:rsid w:val="00D5166A"/>
    <w:rsid w:val="00D533AE"/>
    <w:rsid w:val="00D54C9E"/>
    <w:rsid w:val="00D55200"/>
    <w:rsid w:val="00D56DAD"/>
    <w:rsid w:val="00D612CA"/>
    <w:rsid w:val="00D636F6"/>
    <w:rsid w:val="00D64709"/>
    <w:rsid w:val="00D66C7C"/>
    <w:rsid w:val="00D7295A"/>
    <w:rsid w:val="00D7308D"/>
    <w:rsid w:val="00D74BC9"/>
    <w:rsid w:val="00D810B1"/>
    <w:rsid w:val="00D81CED"/>
    <w:rsid w:val="00D84692"/>
    <w:rsid w:val="00D8535E"/>
    <w:rsid w:val="00D85D90"/>
    <w:rsid w:val="00D86161"/>
    <w:rsid w:val="00D87A4A"/>
    <w:rsid w:val="00D87FC4"/>
    <w:rsid w:val="00D90A5D"/>
    <w:rsid w:val="00D95428"/>
    <w:rsid w:val="00D96840"/>
    <w:rsid w:val="00DA0188"/>
    <w:rsid w:val="00DA14E2"/>
    <w:rsid w:val="00DA2043"/>
    <w:rsid w:val="00DA3142"/>
    <w:rsid w:val="00DA40B5"/>
    <w:rsid w:val="00DA4862"/>
    <w:rsid w:val="00DA5D11"/>
    <w:rsid w:val="00DB0EDD"/>
    <w:rsid w:val="00DB179F"/>
    <w:rsid w:val="00DB2A00"/>
    <w:rsid w:val="00DB5CAD"/>
    <w:rsid w:val="00DB718C"/>
    <w:rsid w:val="00DB7DD6"/>
    <w:rsid w:val="00DB7EE7"/>
    <w:rsid w:val="00DC0DF5"/>
    <w:rsid w:val="00DC2DA8"/>
    <w:rsid w:val="00DC3A71"/>
    <w:rsid w:val="00DC3DE6"/>
    <w:rsid w:val="00DC457D"/>
    <w:rsid w:val="00DC4AA6"/>
    <w:rsid w:val="00DC5D22"/>
    <w:rsid w:val="00DC7E4F"/>
    <w:rsid w:val="00DD17E3"/>
    <w:rsid w:val="00DD6540"/>
    <w:rsid w:val="00DD6E6E"/>
    <w:rsid w:val="00DE0582"/>
    <w:rsid w:val="00DE0972"/>
    <w:rsid w:val="00DE28E8"/>
    <w:rsid w:val="00DE5CC8"/>
    <w:rsid w:val="00DE65BF"/>
    <w:rsid w:val="00DE666F"/>
    <w:rsid w:val="00DE7709"/>
    <w:rsid w:val="00DE7D26"/>
    <w:rsid w:val="00DF166C"/>
    <w:rsid w:val="00DF4DC1"/>
    <w:rsid w:val="00DF6C8B"/>
    <w:rsid w:val="00E01A15"/>
    <w:rsid w:val="00E030A0"/>
    <w:rsid w:val="00E035B4"/>
    <w:rsid w:val="00E04569"/>
    <w:rsid w:val="00E05D22"/>
    <w:rsid w:val="00E0767F"/>
    <w:rsid w:val="00E1101A"/>
    <w:rsid w:val="00E15C39"/>
    <w:rsid w:val="00E15EC6"/>
    <w:rsid w:val="00E171FD"/>
    <w:rsid w:val="00E2117E"/>
    <w:rsid w:val="00E21C91"/>
    <w:rsid w:val="00E24EBE"/>
    <w:rsid w:val="00E256FD"/>
    <w:rsid w:val="00E25A11"/>
    <w:rsid w:val="00E26913"/>
    <w:rsid w:val="00E26C3F"/>
    <w:rsid w:val="00E271FD"/>
    <w:rsid w:val="00E27BEA"/>
    <w:rsid w:val="00E30950"/>
    <w:rsid w:val="00E311C0"/>
    <w:rsid w:val="00E31D24"/>
    <w:rsid w:val="00E33872"/>
    <w:rsid w:val="00E34956"/>
    <w:rsid w:val="00E34B3F"/>
    <w:rsid w:val="00E366CF"/>
    <w:rsid w:val="00E36B4B"/>
    <w:rsid w:val="00E37B7C"/>
    <w:rsid w:val="00E40920"/>
    <w:rsid w:val="00E4128B"/>
    <w:rsid w:val="00E416D2"/>
    <w:rsid w:val="00E42CD8"/>
    <w:rsid w:val="00E43F7F"/>
    <w:rsid w:val="00E4443D"/>
    <w:rsid w:val="00E465E4"/>
    <w:rsid w:val="00E47CF9"/>
    <w:rsid w:val="00E535B4"/>
    <w:rsid w:val="00E55134"/>
    <w:rsid w:val="00E5529A"/>
    <w:rsid w:val="00E557B7"/>
    <w:rsid w:val="00E5657D"/>
    <w:rsid w:val="00E57A0B"/>
    <w:rsid w:val="00E600AE"/>
    <w:rsid w:val="00E622F5"/>
    <w:rsid w:val="00E632CF"/>
    <w:rsid w:val="00E63BFF"/>
    <w:rsid w:val="00E64448"/>
    <w:rsid w:val="00E65DE5"/>
    <w:rsid w:val="00E6629B"/>
    <w:rsid w:val="00E673C3"/>
    <w:rsid w:val="00E73402"/>
    <w:rsid w:val="00E7488A"/>
    <w:rsid w:val="00E76C14"/>
    <w:rsid w:val="00E816C2"/>
    <w:rsid w:val="00E83A62"/>
    <w:rsid w:val="00E85701"/>
    <w:rsid w:val="00E919CD"/>
    <w:rsid w:val="00E91ED6"/>
    <w:rsid w:val="00E9292A"/>
    <w:rsid w:val="00E92C58"/>
    <w:rsid w:val="00E94017"/>
    <w:rsid w:val="00E9660B"/>
    <w:rsid w:val="00E96F7A"/>
    <w:rsid w:val="00EA0660"/>
    <w:rsid w:val="00EA091C"/>
    <w:rsid w:val="00EA61D1"/>
    <w:rsid w:val="00EA6E1C"/>
    <w:rsid w:val="00EB1AF9"/>
    <w:rsid w:val="00EB3474"/>
    <w:rsid w:val="00EC1625"/>
    <w:rsid w:val="00EC28E4"/>
    <w:rsid w:val="00EC2BB0"/>
    <w:rsid w:val="00EC6C0B"/>
    <w:rsid w:val="00ED106C"/>
    <w:rsid w:val="00ED1E42"/>
    <w:rsid w:val="00ED1E52"/>
    <w:rsid w:val="00ED2F07"/>
    <w:rsid w:val="00ED53A7"/>
    <w:rsid w:val="00EE07A9"/>
    <w:rsid w:val="00EE0CCA"/>
    <w:rsid w:val="00EE1D4F"/>
    <w:rsid w:val="00EE25E8"/>
    <w:rsid w:val="00EE3DD1"/>
    <w:rsid w:val="00EE641E"/>
    <w:rsid w:val="00EF0607"/>
    <w:rsid w:val="00EF5FB6"/>
    <w:rsid w:val="00EF6221"/>
    <w:rsid w:val="00EF647F"/>
    <w:rsid w:val="00EF6B0A"/>
    <w:rsid w:val="00F019FF"/>
    <w:rsid w:val="00F06121"/>
    <w:rsid w:val="00F10C00"/>
    <w:rsid w:val="00F169D2"/>
    <w:rsid w:val="00F175F0"/>
    <w:rsid w:val="00F21C7C"/>
    <w:rsid w:val="00F266A4"/>
    <w:rsid w:val="00F27116"/>
    <w:rsid w:val="00F329D5"/>
    <w:rsid w:val="00F3371D"/>
    <w:rsid w:val="00F3604A"/>
    <w:rsid w:val="00F375E0"/>
    <w:rsid w:val="00F425A1"/>
    <w:rsid w:val="00F42857"/>
    <w:rsid w:val="00F42895"/>
    <w:rsid w:val="00F43C5F"/>
    <w:rsid w:val="00F461CC"/>
    <w:rsid w:val="00F46B7A"/>
    <w:rsid w:val="00F47901"/>
    <w:rsid w:val="00F51ACF"/>
    <w:rsid w:val="00F568CA"/>
    <w:rsid w:val="00F56D85"/>
    <w:rsid w:val="00F63A76"/>
    <w:rsid w:val="00F63C4C"/>
    <w:rsid w:val="00F66E88"/>
    <w:rsid w:val="00F67498"/>
    <w:rsid w:val="00F77E0A"/>
    <w:rsid w:val="00F80777"/>
    <w:rsid w:val="00F81658"/>
    <w:rsid w:val="00F816B1"/>
    <w:rsid w:val="00F83E7E"/>
    <w:rsid w:val="00F847F8"/>
    <w:rsid w:val="00F85A07"/>
    <w:rsid w:val="00F8699A"/>
    <w:rsid w:val="00F86DF9"/>
    <w:rsid w:val="00F87645"/>
    <w:rsid w:val="00F90B12"/>
    <w:rsid w:val="00F910F2"/>
    <w:rsid w:val="00F92EF0"/>
    <w:rsid w:val="00F93252"/>
    <w:rsid w:val="00F93D95"/>
    <w:rsid w:val="00F94DB5"/>
    <w:rsid w:val="00F9583F"/>
    <w:rsid w:val="00F95F58"/>
    <w:rsid w:val="00F96D13"/>
    <w:rsid w:val="00F970EB"/>
    <w:rsid w:val="00FA1269"/>
    <w:rsid w:val="00FA1F28"/>
    <w:rsid w:val="00FA2CCC"/>
    <w:rsid w:val="00FA3A16"/>
    <w:rsid w:val="00FA3B47"/>
    <w:rsid w:val="00FA5B04"/>
    <w:rsid w:val="00FA6225"/>
    <w:rsid w:val="00FA7B4A"/>
    <w:rsid w:val="00FB0B83"/>
    <w:rsid w:val="00FB140A"/>
    <w:rsid w:val="00FB311E"/>
    <w:rsid w:val="00FB3721"/>
    <w:rsid w:val="00FB600F"/>
    <w:rsid w:val="00FB6477"/>
    <w:rsid w:val="00FB7402"/>
    <w:rsid w:val="00FB7B23"/>
    <w:rsid w:val="00FC0CDF"/>
    <w:rsid w:val="00FC3999"/>
    <w:rsid w:val="00FC5B0B"/>
    <w:rsid w:val="00FC5B82"/>
    <w:rsid w:val="00FC7CF8"/>
    <w:rsid w:val="00FD0624"/>
    <w:rsid w:val="00FD16BC"/>
    <w:rsid w:val="00FD27AE"/>
    <w:rsid w:val="00FD37BF"/>
    <w:rsid w:val="00FD4DB7"/>
    <w:rsid w:val="00FD50D0"/>
    <w:rsid w:val="00FE23C7"/>
    <w:rsid w:val="00FE2EC2"/>
    <w:rsid w:val="00FE3DA2"/>
    <w:rsid w:val="00FE5803"/>
    <w:rsid w:val="00FE7D64"/>
    <w:rsid w:val="00FF0691"/>
    <w:rsid w:val="00FF233B"/>
    <w:rsid w:val="00FF3AAB"/>
    <w:rsid w:val="00FF6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124"/>
    <w:rPr>
      <w:rFonts w:ascii="Arial" w:hAnsi="Arial" w:cs="Arial"/>
      <w:sz w:val="22"/>
      <w:szCs w:val="22"/>
    </w:rPr>
  </w:style>
  <w:style w:type="paragraph" w:styleId="Heading1">
    <w:name w:val="heading 1"/>
    <w:basedOn w:val="Normal"/>
    <w:next w:val="Normal"/>
    <w:qFormat/>
    <w:rsid w:val="00FD16BC"/>
    <w:pPr>
      <w:keepNext/>
      <w:spacing w:before="240" w:after="60"/>
      <w:outlineLvl w:val="0"/>
    </w:pPr>
    <w:rPr>
      <w:rFonts w:eastAsia="Batang"/>
      <w:b/>
      <w:bCs/>
      <w:sz w:val="28"/>
      <w:szCs w:val="32"/>
    </w:rPr>
  </w:style>
  <w:style w:type="paragraph" w:styleId="Heading2">
    <w:name w:val="heading 2"/>
    <w:basedOn w:val="Normal"/>
    <w:next w:val="Normal"/>
    <w:qFormat/>
    <w:rsid w:val="00FD16BC"/>
    <w:pPr>
      <w:keepNext/>
      <w:spacing w:before="240" w:after="60"/>
      <w:outlineLvl w:val="1"/>
    </w:pPr>
    <w:rPr>
      <w:b/>
      <w:bCs/>
      <w:iCs/>
      <w:sz w:val="26"/>
      <w:szCs w:val="28"/>
    </w:rPr>
  </w:style>
  <w:style w:type="paragraph" w:styleId="Heading3">
    <w:name w:val="heading 3"/>
    <w:basedOn w:val="Normal"/>
    <w:next w:val="Normal"/>
    <w:qFormat/>
    <w:rsid w:val="00FD16BC"/>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5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580D"/>
    <w:rPr>
      <w:sz w:val="20"/>
    </w:rPr>
  </w:style>
  <w:style w:type="character" w:styleId="FootnoteReference">
    <w:name w:val="footnote reference"/>
    <w:basedOn w:val="DefaultParagraphFont"/>
    <w:semiHidden/>
    <w:rsid w:val="003E580D"/>
    <w:rPr>
      <w:vertAlign w:val="superscript"/>
    </w:rPr>
  </w:style>
  <w:style w:type="character" w:styleId="Hyperlink">
    <w:name w:val="Hyperlink"/>
    <w:basedOn w:val="DefaultParagraphFont"/>
    <w:rsid w:val="003E580D"/>
    <w:rPr>
      <w:color w:val="0000FF"/>
      <w:u w:val="single"/>
    </w:rPr>
  </w:style>
  <w:style w:type="paragraph" w:styleId="BalloonText">
    <w:name w:val="Balloon Text"/>
    <w:basedOn w:val="Normal"/>
    <w:semiHidden/>
    <w:rsid w:val="00E0767F"/>
    <w:rPr>
      <w:rFonts w:ascii="Tahoma" w:hAnsi="Tahoma" w:cs="Tahoma"/>
      <w:sz w:val="16"/>
      <w:szCs w:val="16"/>
    </w:rPr>
  </w:style>
  <w:style w:type="paragraph" w:styleId="Header">
    <w:name w:val="header"/>
    <w:basedOn w:val="Normal"/>
    <w:rsid w:val="0083792B"/>
    <w:pPr>
      <w:tabs>
        <w:tab w:val="center" w:pos="4153"/>
        <w:tab w:val="right" w:pos="8306"/>
      </w:tabs>
    </w:pPr>
  </w:style>
  <w:style w:type="paragraph" w:styleId="Footer">
    <w:name w:val="footer"/>
    <w:basedOn w:val="Normal"/>
    <w:rsid w:val="0083792B"/>
    <w:pPr>
      <w:tabs>
        <w:tab w:val="center" w:pos="4153"/>
        <w:tab w:val="right" w:pos="8306"/>
      </w:tabs>
    </w:pPr>
  </w:style>
  <w:style w:type="paragraph" w:customStyle="1" w:styleId="heading10">
    <w:name w:val="__heading 1"/>
    <w:basedOn w:val="Normal"/>
    <w:rsid w:val="007C1CA3"/>
    <w:pPr>
      <w:jc w:val="center"/>
    </w:pPr>
    <w:rPr>
      <w:b/>
      <w:color w:val="333399"/>
      <w:sz w:val="32"/>
      <w:szCs w:val="32"/>
    </w:rPr>
  </w:style>
  <w:style w:type="paragraph" w:customStyle="1" w:styleId="footnote">
    <w:name w:val="__footnote"/>
    <w:basedOn w:val="Normal"/>
    <w:rsid w:val="00D8535E"/>
    <w:pPr>
      <w:spacing w:line="180" w:lineRule="exact"/>
    </w:pPr>
    <w:rPr>
      <w:sz w:val="12"/>
      <w:szCs w:val="12"/>
    </w:rPr>
  </w:style>
  <w:style w:type="character" w:styleId="FollowedHyperlink">
    <w:name w:val="FollowedHyperlink"/>
    <w:basedOn w:val="DefaultParagraphFont"/>
    <w:rsid w:val="00CB197D"/>
    <w:rPr>
      <w:color w:val="800080"/>
      <w:u w:val="single"/>
    </w:rPr>
  </w:style>
  <w:style w:type="paragraph" w:customStyle="1" w:styleId="HeadingMajor">
    <w:name w:val="Heading Major"/>
    <w:basedOn w:val="Normal"/>
    <w:next w:val="Normal"/>
    <w:rsid w:val="002F5EFD"/>
    <w:pPr>
      <w:pageBreakBefore/>
      <w:pBdr>
        <w:top w:val="single" w:sz="12" w:space="4" w:color="auto" w:shadow="1"/>
        <w:left w:val="single" w:sz="12" w:space="4" w:color="auto" w:shadow="1"/>
        <w:bottom w:val="single" w:sz="12" w:space="4" w:color="auto" w:shadow="1"/>
        <w:right w:val="single" w:sz="12" w:space="4" w:color="auto" w:shadow="1"/>
      </w:pBdr>
      <w:shd w:val="pct10" w:color="auto" w:fill="auto"/>
      <w:spacing w:before="120" w:after="120" w:line="360" w:lineRule="auto"/>
      <w:jc w:val="center"/>
    </w:pPr>
    <w:rPr>
      <w:rFonts w:ascii="Times New Roman" w:hAnsi="Times New Roman" w:cs="Times New Roman"/>
      <w:b/>
      <w:bCs/>
      <w:sz w:val="40"/>
      <w:szCs w:val="40"/>
      <w:lang w:eastAsia="zh-CN"/>
    </w:rPr>
  </w:style>
  <w:style w:type="paragraph" w:styleId="ListParagraph">
    <w:name w:val="List Paragraph"/>
    <w:basedOn w:val="Normal"/>
    <w:uiPriority w:val="34"/>
    <w:qFormat/>
    <w:rsid w:val="003C08B9"/>
    <w:pPr>
      <w:ind w:left="720"/>
      <w:contextualSpacing/>
    </w:pPr>
  </w:style>
  <w:style w:type="paragraph" w:styleId="EndnoteText">
    <w:name w:val="endnote text"/>
    <w:basedOn w:val="Normal"/>
    <w:link w:val="EndnoteTextChar"/>
    <w:rsid w:val="00CB608B"/>
    <w:rPr>
      <w:sz w:val="20"/>
      <w:szCs w:val="20"/>
    </w:rPr>
  </w:style>
  <w:style w:type="character" w:customStyle="1" w:styleId="EndnoteTextChar">
    <w:name w:val="Endnote Text Char"/>
    <w:basedOn w:val="DefaultParagraphFont"/>
    <w:link w:val="EndnoteText"/>
    <w:rsid w:val="00CB608B"/>
    <w:rPr>
      <w:rFonts w:ascii="Arial" w:hAnsi="Arial" w:cs="Arial"/>
    </w:rPr>
  </w:style>
  <w:style w:type="character" w:styleId="EndnoteReference">
    <w:name w:val="endnote reference"/>
    <w:basedOn w:val="DefaultParagraphFont"/>
    <w:rsid w:val="00CB608B"/>
    <w:rPr>
      <w:vertAlign w:val="superscript"/>
    </w:rPr>
  </w:style>
  <w:style w:type="paragraph" w:customStyle="1" w:styleId="Bullet1">
    <w:name w:val="Bullet 1"/>
    <w:basedOn w:val="Normal"/>
    <w:link w:val="Bullet1Char"/>
    <w:rsid w:val="000C3189"/>
    <w:pPr>
      <w:numPr>
        <w:numId w:val="5"/>
      </w:numPr>
      <w:spacing w:before="60"/>
      <w:ind w:left="567" w:hanging="567"/>
      <w:jc w:val="both"/>
    </w:pPr>
    <w:rPr>
      <w:rFonts w:ascii="Calibri" w:hAnsi="Calibri"/>
      <w:szCs w:val="20"/>
    </w:rPr>
  </w:style>
  <w:style w:type="character" w:customStyle="1" w:styleId="Bullet1Char">
    <w:name w:val="Bullet 1 Char"/>
    <w:basedOn w:val="DefaultParagraphFont"/>
    <w:link w:val="Bullet1"/>
    <w:rsid w:val="000C3189"/>
    <w:rPr>
      <w:rFonts w:ascii="Calibri" w:hAnsi="Calibri" w:cs="Arial"/>
      <w:sz w:val="22"/>
    </w:rPr>
  </w:style>
  <w:style w:type="character" w:customStyle="1" w:styleId="FootnoteTextChar">
    <w:name w:val="Footnote Text Char"/>
    <w:basedOn w:val="DefaultParagraphFont"/>
    <w:link w:val="FootnoteText"/>
    <w:semiHidden/>
    <w:rsid w:val="00B31D6F"/>
    <w:rPr>
      <w:rFonts w:ascii="Arial" w:hAnsi="Arial"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124"/>
    <w:rPr>
      <w:rFonts w:ascii="Arial" w:hAnsi="Arial" w:cs="Arial"/>
      <w:sz w:val="22"/>
      <w:szCs w:val="22"/>
    </w:rPr>
  </w:style>
  <w:style w:type="paragraph" w:styleId="Heading1">
    <w:name w:val="heading 1"/>
    <w:basedOn w:val="Normal"/>
    <w:next w:val="Normal"/>
    <w:qFormat/>
    <w:rsid w:val="00FD16BC"/>
    <w:pPr>
      <w:keepNext/>
      <w:spacing w:before="240" w:after="60"/>
      <w:outlineLvl w:val="0"/>
    </w:pPr>
    <w:rPr>
      <w:rFonts w:eastAsia="Batang"/>
      <w:b/>
      <w:bCs/>
      <w:sz w:val="28"/>
      <w:szCs w:val="32"/>
    </w:rPr>
  </w:style>
  <w:style w:type="paragraph" w:styleId="Heading2">
    <w:name w:val="heading 2"/>
    <w:basedOn w:val="Normal"/>
    <w:next w:val="Normal"/>
    <w:qFormat/>
    <w:rsid w:val="00FD16BC"/>
    <w:pPr>
      <w:keepNext/>
      <w:spacing w:before="240" w:after="60"/>
      <w:outlineLvl w:val="1"/>
    </w:pPr>
    <w:rPr>
      <w:b/>
      <w:bCs/>
      <w:iCs/>
      <w:sz w:val="26"/>
      <w:szCs w:val="28"/>
    </w:rPr>
  </w:style>
  <w:style w:type="paragraph" w:styleId="Heading3">
    <w:name w:val="heading 3"/>
    <w:basedOn w:val="Normal"/>
    <w:next w:val="Normal"/>
    <w:qFormat/>
    <w:rsid w:val="00FD16BC"/>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5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580D"/>
    <w:rPr>
      <w:sz w:val="20"/>
    </w:rPr>
  </w:style>
  <w:style w:type="character" w:styleId="FootnoteReference">
    <w:name w:val="footnote reference"/>
    <w:basedOn w:val="DefaultParagraphFont"/>
    <w:semiHidden/>
    <w:rsid w:val="003E580D"/>
    <w:rPr>
      <w:vertAlign w:val="superscript"/>
    </w:rPr>
  </w:style>
  <w:style w:type="character" w:styleId="Hyperlink">
    <w:name w:val="Hyperlink"/>
    <w:basedOn w:val="DefaultParagraphFont"/>
    <w:rsid w:val="003E580D"/>
    <w:rPr>
      <w:color w:val="0000FF"/>
      <w:u w:val="single"/>
    </w:rPr>
  </w:style>
  <w:style w:type="paragraph" w:styleId="BalloonText">
    <w:name w:val="Balloon Text"/>
    <w:basedOn w:val="Normal"/>
    <w:semiHidden/>
    <w:rsid w:val="00E0767F"/>
    <w:rPr>
      <w:rFonts w:ascii="Tahoma" w:hAnsi="Tahoma" w:cs="Tahoma"/>
      <w:sz w:val="16"/>
      <w:szCs w:val="16"/>
    </w:rPr>
  </w:style>
  <w:style w:type="paragraph" w:styleId="Header">
    <w:name w:val="header"/>
    <w:basedOn w:val="Normal"/>
    <w:rsid w:val="0083792B"/>
    <w:pPr>
      <w:tabs>
        <w:tab w:val="center" w:pos="4153"/>
        <w:tab w:val="right" w:pos="8306"/>
      </w:tabs>
    </w:pPr>
  </w:style>
  <w:style w:type="paragraph" w:styleId="Footer">
    <w:name w:val="footer"/>
    <w:basedOn w:val="Normal"/>
    <w:rsid w:val="0083792B"/>
    <w:pPr>
      <w:tabs>
        <w:tab w:val="center" w:pos="4153"/>
        <w:tab w:val="right" w:pos="8306"/>
      </w:tabs>
    </w:pPr>
  </w:style>
  <w:style w:type="paragraph" w:customStyle="1" w:styleId="heading10">
    <w:name w:val="__heading 1"/>
    <w:basedOn w:val="Normal"/>
    <w:rsid w:val="007C1CA3"/>
    <w:pPr>
      <w:jc w:val="center"/>
    </w:pPr>
    <w:rPr>
      <w:b/>
      <w:color w:val="333399"/>
      <w:sz w:val="32"/>
      <w:szCs w:val="32"/>
    </w:rPr>
  </w:style>
  <w:style w:type="paragraph" w:customStyle="1" w:styleId="footnote">
    <w:name w:val="__footnote"/>
    <w:basedOn w:val="Normal"/>
    <w:rsid w:val="00D8535E"/>
    <w:pPr>
      <w:spacing w:line="180" w:lineRule="exact"/>
    </w:pPr>
    <w:rPr>
      <w:sz w:val="12"/>
      <w:szCs w:val="12"/>
    </w:rPr>
  </w:style>
  <w:style w:type="character" w:styleId="FollowedHyperlink">
    <w:name w:val="FollowedHyperlink"/>
    <w:basedOn w:val="DefaultParagraphFont"/>
    <w:rsid w:val="00CB197D"/>
    <w:rPr>
      <w:color w:val="800080"/>
      <w:u w:val="single"/>
    </w:rPr>
  </w:style>
  <w:style w:type="paragraph" w:customStyle="1" w:styleId="HeadingMajor">
    <w:name w:val="Heading Major"/>
    <w:basedOn w:val="Normal"/>
    <w:next w:val="Normal"/>
    <w:rsid w:val="002F5EFD"/>
    <w:pPr>
      <w:pageBreakBefore/>
      <w:pBdr>
        <w:top w:val="single" w:sz="12" w:space="4" w:color="auto" w:shadow="1"/>
        <w:left w:val="single" w:sz="12" w:space="4" w:color="auto" w:shadow="1"/>
        <w:bottom w:val="single" w:sz="12" w:space="4" w:color="auto" w:shadow="1"/>
        <w:right w:val="single" w:sz="12" w:space="4" w:color="auto" w:shadow="1"/>
      </w:pBdr>
      <w:shd w:val="pct10" w:color="auto" w:fill="auto"/>
      <w:spacing w:before="120" w:after="120" w:line="360" w:lineRule="auto"/>
      <w:jc w:val="center"/>
    </w:pPr>
    <w:rPr>
      <w:rFonts w:ascii="Times New Roman" w:hAnsi="Times New Roman" w:cs="Times New Roman"/>
      <w:b/>
      <w:bCs/>
      <w:sz w:val="40"/>
      <w:szCs w:val="40"/>
      <w:lang w:eastAsia="zh-CN"/>
    </w:rPr>
  </w:style>
  <w:style w:type="paragraph" w:styleId="ListParagraph">
    <w:name w:val="List Paragraph"/>
    <w:basedOn w:val="Normal"/>
    <w:uiPriority w:val="34"/>
    <w:qFormat/>
    <w:rsid w:val="003C08B9"/>
    <w:pPr>
      <w:ind w:left="720"/>
      <w:contextualSpacing/>
    </w:pPr>
  </w:style>
  <w:style w:type="paragraph" w:styleId="EndnoteText">
    <w:name w:val="endnote text"/>
    <w:basedOn w:val="Normal"/>
    <w:link w:val="EndnoteTextChar"/>
    <w:rsid w:val="00CB608B"/>
    <w:rPr>
      <w:sz w:val="20"/>
      <w:szCs w:val="20"/>
    </w:rPr>
  </w:style>
  <w:style w:type="character" w:customStyle="1" w:styleId="EndnoteTextChar">
    <w:name w:val="Endnote Text Char"/>
    <w:basedOn w:val="DefaultParagraphFont"/>
    <w:link w:val="EndnoteText"/>
    <w:rsid w:val="00CB608B"/>
    <w:rPr>
      <w:rFonts w:ascii="Arial" w:hAnsi="Arial" w:cs="Arial"/>
    </w:rPr>
  </w:style>
  <w:style w:type="character" w:styleId="EndnoteReference">
    <w:name w:val="endnote reference"/>
    <w:basedOn w:val="DefaultParagraphFont"/>
    <w:rsid w:val="00CB608B"/>
    <w:rPr>
      <w:vertAlign w:val="superscript"/>
    </w:rPr>
  </w:style>
  <w:style w:type="paragraph" w:customStyle="1" w:styleId="Bullet1">
    <w:name w:val="Bullet 1"/>
    <w:basedOn w:val="Normal"/>
    <w:link w:val="Bullet1Char"/>
    <w:rsid w:val="000C3189"/>
    <w:pPr>
      <w:numPr>
        <w:numId w:val="5"/>
      </w:numPr>
      <w:spacing w:before="60"/>
      <w:ind w:left="567" w:hanging="567"/>
      <w:jc w:val="both"/>
    </w:pPr>
    <w:rPr>
      <w:rFonts w:ascii="Calibri" w:hAnsi="Calibri"/>
      <w:szCs w:val="20"/>
    </w:rPr>
  </w:style>
  <w:style w:type="character" w:customStyle="1" w:styleId="Bullet1Char">
    <w:name w:val="Bullet 1 Char"/>
    <w:basedOn w:val="DefaultParagraphFont"/>
    <w:link w:val="Bullet1"/>
    <w:rsid w:val="000C3189"/>
    <w:rPr>
      <w:rFonts w:ascii="Calibri" w:hAnsi="Calibri" w:cs="Arial"/>
      <w:sz w:val="22"/>
    </w:rPr>
  </w:style>
  <w:style w:type="character" w:customStyle="1" w:styleId="FootnoteTextChar">
    <w:name w:val="Footnote Text Char"/>
    <w:basedOn w:val="DefaultParagraphFont"/>
    <w:link w:val="FootnoteText"/>
    <w:semiHidden/>
    <w:rsid w:val="00B31D6F"/>
    <w:rPr>
      <w:rFonts w:ascii="Arial"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813">
      <w:bodyDiv w:val="1"/>
      <w:marLeft w:val="0"/>
      <w:marRight w:val="0"/>
      <w:marTop w:val="0"/>
      <w:marBottom w:val="0"/>
      <w:divBdr>
        <w:top w:val="none" w:sz="0" w:space="0" w:color="auto"/>
        <w:left w:val="none" w:sz="0" w:space="0" w:color="auto"/>
        <w:bottom w:val="none" w:sz="0" w:space="0" w:color="auto"/>
        <w:right w:val="none" w:sz="0" w:space="0" w:color="auto"/>
      </w:divBdr>
    </w:div>
    <w:div w:id="66416450">
      <w:bodyDiv w:val="1"/>
      <w:marLeft w:val="0"/>
      <w:marRight w:val="0"/>
      <w:marTop w:val="0"/>
      <w:marBottom w:val="0"/>
      <w:divBdr>
        <w:top w:val="none" w:sz="0" w:space="0" w:color="auto"/>
        <w:left w:val="none" w:sz="0" w:space="0" w:color="auto"/>
        <w:bottom w:val="none" w:sz="0" w:space="0" w:color="auto"/>
        <w:right w:val="none" w:sz="0" w:space="0" w:color="auto"/>
      </w:divBdr>
    </w:div>
    <w:div w:id="83768586">
      <w:bodyDiv w:val="1"/>
      <w:marLeft w:val="0"/>
      <w:marRight w:val="0"/>
      <w:marTop w:val="0"/>
      <w:marBottom w:val="0"/>
      <w:divBdr>
        <w:top w:val="none" w:sz="0" w:space="0" w:color="auto"/>
        <w:left w:val="none" w:sz="0" w:space="0" w:color="auto"/>
        <w:bottom w:val="none" w:sz="0" w:space="0" w:color="auto"/>
        <w:right w:val="none" w:sz="0" w:space="0" w:color="auto"/>
      </w:divBdr>
    </w:div>
    <w:div w:id="211573770">
      <w:bodyDiv w:val="1"/>
      <w:marLeft w:val="0"/>
      <w:marRight w:val="0"/>
      <w:marTop w:val="0"/>
      <w:marBottom w:val="0"/>
      <w:divBdr>
        <w:top w:val="none" w:sz="0" w:space="0" w:color="auto"/>
        <w:left w:val="none" w:sz="0" w:space="0" w:color="auto"/>
        <w:bottom w:val="none" w:sz="0" w:space="0" w:color="auto"/>
        <w:right w:val="none" w:sz="0" w:space="0" w:color="auto"/>
      </w:divBdr>
    </w:div>
    <w:div w:id="285237028">
      <w:bodyDiv w:val="1"/>
      <w:marLeft w:val="0"/>
      <w:marRight w:val="0"/>
      <w:marTop w:val="0"/>
      <w:marBottom w:val="0"/>
      <w:divBdr>
        <w:top w:val="none" w:sz="0" w:space="0" w:color="auto"/>
        <w:left w:val="none" w:sz="0" w:space="0" w:color="auto"/>
        <w:bottom w:val="none" w:sz="0" w:space="0" w:color="auto"/>
        <w:right w:val="none" w:sz="0" w:space="0" w:color="auto"/>
      </w:divBdr>
    </w:div>
    <w:div w:id="383796103">
      <w:bodyDiv w:val="1"/>
      <w:marLeft w:val="0"/>
      <w:marRight w:val="0"/>
      <w:marTop w:val="0"/>
      <w:marBottom w:val="0"/>
      <w:divBdr>
        <w:top w:val="none" w:sz="0" w:space="0" w:color="auto"/>
        <w:left w:val="none" w:sz="0" w:space="0" w:color="auto"/>
        <w:bottom w:val="none" w:sz="0" w:space="0" w:color="auto"/>
        <w:right w:val="none" w:sz="0" w:space="0" w:color="auto"/>
      </w:divBdr>
    </w:div>
    <w:div w:id="402682520">
      <w:bodyDiv w:val="1"/>
      <w:marLeft w:val="0"/>
      <w:marRight w:val="0"/>
      <w:marTop w:val="0"/>
      <w:marBottom w:val="0"/>
      <w:divBdr>
        <w:top w:val="none" w:sz="0" w:space="0" w:color="auto"/>
        <w:left w:val="none" w:sz="0" w:space="0" w:color="auto"/>
        <w:bottom w:val="none" w:sz="0" w:space="0" w:color="auto"/>
        <w:right w:val="none" w:sz="0" w:space="0" w:color="auto"/>
      </w:divBdr>
    </w:div>
    <w:div w:id="423191153">
      <w:bodyDiv w:val="1"/>
      <w:marLeft w:val="0"/>
      <w:marRight w:val="0"/>
      <w:marTop w:val="0"/>
      <w:marBottom w:val="0"/>
      <w:divBdr>
        <w:top w:val="none" w:sz="0" w:space="0" w:color="auto"/>
        <w:left w:val="none" w:sz="0" w:space="0" w:color="auto"/>
        <w:bottom w:val="none" w:sz="0" w:space="0" w:color="auto"/>
        <w:right w:val="none" w:sz="0" w:space="0" w:color="auto"/>
      </w:divBdr>
    </w:div>
    <w:div w:id="439490871">
      <w:bodyDiv w:val="1"/>
      <w:marLeft w:val="0"/>
      <w:marRight w:val="0"/>
      <w:marTop w:val="0"/>
      <w:marBottom w:val="0"/>
      <w:divBdr>
        <w:top w:val="none" w:sz="0" w:space="0" w:color="auto"/>
        <w:left w:val="none" w:sz="0" w:space="0" w:color="auto"/>
        <w:bottom w:val="none" w:sz="0" w:space="0" w:color="auto"/>
        <w:right w:val="none" w:sz="0" w:space="0" w:color="auto"/>
      </w:divBdr>
    </w:div>
    <w:div w:id="461272472">
      <w:bodyDiv w:val="1"/>
      <w:marLeft w:val="0"/>
      <w:marRight w:val="0"/>
      <w:marTop w:val="0"/>
      <w:marBottom w:val="0"/>
      <w:divBdr>
        <w:top w:val="none" w:sz="0" w:space="0" w:color="auto"/>
        <w:left w:val="none" w:sz="0" w:space="0" w:color="auto"/>
        <w:bottom w:val="none" w:sz="0" w:space="0" w:color="auto"/>
        <w:right w:val="none" w:sz="0" w:space="0" w:color="auto"/>
      </w:divBdr>
    </w:div>
    <w:div w:id="472409187">
      <w:bodyDiv w:val="1"/>
      <w:marLeft w:val="0"/>
      <w:marRight w:val="0"/>
      <w:marTop w:val="0"/>
      <w:marBottom w:val="0"/>
      <w:divBdr>
        <w:top w:val="none" w:sz="0" w:space="0" w:color="auto"/>
        <w:left w:val="none" w:sz="0" w:space="0" w:color="auto"/>
        <w:bottom w:val="none" w:sz="0" w:space="0" w:color="auto"/>
        <w:right w:val="none" w:sz="0" w:space="0" w:color="auto"/>
      </w:divBdr>
    </w:div>
    <w:div w:id="478572504">
      <w:bodyDiv w:val="1"/>
      <w:marLeft w:val="0"/>
      <w:marRight w:val="0"/>
      <w:marTop w:val="0"/>
      <w:marBottom w:val="0"/>
      <w:divBdr>
        <w:top w:val="none" w:sz="0" w:space="0" w:color="auto"/>
        <w:left w:val="none" w:sz="0" w:space="0" w:color="auto"/>
        <w:bottom w:val="none" w:sz="0" w:space="0" w:color="auto"/>
        <w:right w:val="none" w:sz="0" w:space="0" w:color="auto"/>
      </w:divBdr>
    </w:div>
    <w:div w:id="567348967">
      <w:bodyDiv w:val="1"/>
      <w:marLeft w:val="0"/>
      <w:marRight w:val="0"/>
      <w:marTop w:val="0"/>
      <w:marBottom w:val="0"/>
      <w:divBdr>
        <w:top w:val="none" w:sz="0" w:space="0" w:color="auto"/>
        <w:left w:val="none" w:sz="0" w:space="0" w:color="auto"/>
        <w:bottom w:val="none" w:sz="0" w:space="0" w:color="auto"/>
        <w:right w:val="none" w:sz="0" w:space="0" w:color="auto"/>
      </w:divBdr>
    </w:div>
    <w:div w:id="594436139">
      <w:bodyDiv w:val="1"/>
      <w:marLeft w:val="0"/>
      <w:marRight w:val="0"/>
      <w:marTop w:val="0"/>
      <w:marBottom w:val="0"/>
      <w:divBdr>
        <w:top w:val="none" w:sz="0" w:space="0" w:color="auto"/>
        <w:left w:val="none" w:sz="0" w:space="0" w:color="auto"/>
        <w:bottom w:val="none" w:sz="0" w:space="0" w:color="auto"/>
        <w:right w:val="none" w:sz="0" w:space="0" w:color="auto"/>
      </w:divBdr>
    </w:div>
    <w:div w:id="609749795">
      <w:bodyDiv w:val="1"/>
      <w:marLeft w:val="0"/>
      <w:marRight w:val="0"/>
      <w:marTop w:val="0"/>
      <w:marBottom w:val="0"/>
      <w:divBdr>
        <w:top w:val="none" w:sz="0" w:space="0" w:color="auto"/>
        <w:left w:val="none" w:sz="0" w:space="0" w:color="auto"/>
        <w:bottom w:val="none" w:sz="0" w:space="0" w:color="auto"/>
        <w:right w:val="none" w:sz="0" w:space="0" w:color="auto"/>
      </w:divBdr>
    </w:div>
    <w:div w:id="744424018">
      <w:bodyDiv w:val="1"/>
      <w:marLeft w:val="0"/>
      <w:marRight w:val="0"/>
      <w:marTop w:val="0"/>
      <w:marBottom w:val="0"/>
      <w:divBdr>
        <w:top w:val="none" w:sz="0" w:space="0" w:color="auto"/>
        <w:left w:val="none" w:sz="0" w:space="0" w:color="auto"/>
        <w:bottom w:val="none" w:sz="0" w:space="0" w:color="auto"/>
        <w:right w:val="none" w:sz="0" w:space="0" w:color="auto"/>
      </w:divBdr>
    </w:div>
    <w:div w:id="759912952">
      <w:bodyDiv w:val="1"/>
      <w:marLeft w:val="0"/>
      <w:marRight w:val="0"/>
      <w:marTop w:val="0"/>
      <w:marBottom w:val="0"/>
      <w:divBdr>
        <w:top w:val="none" w:sz="0" w:space="0" w:color="auto"/>
        <w:left w:val="none" w:sz="0" w:space="0" w:color="auto"/>
        <w:bottom w:val="none" w:sz="0" w:space="0" w:color="auto"/>
        <w:right w:val="none" w:sz="0" w:space="0" w:color="auto"/>
      </w:divBdr>
    </w:div>
    <w:div w:id="786579384">
      <w:bodyDiv w:val="1"/>
      <w:marLeft w:val="0"/>
      <w:marRight w:val="0"/>
      <w:marTop w:val="0"/>
      <w:marBottom w:val="0"/>
      <w:divBdr>
        <w:top w:val="none" w:sz="0" w:space="0" w:color="auto"/>
        <w:left w:val="none" w:sz="0" w:space="0" w:color="auto"/>
        <w:bottom w:val="none" w:sz="0" w:space="0" w:color="auto"/>
        <w:right w:val="none" w:sz="0" w:space="0" w:color="auto"/>
      </w:divBdr>
    </w:div>
    <w:div w:id="790511066">
      <w:bodyDiv w:val="1"/>
      <w:marLeft w:val="0"/>
      <w:marRight w:val="0"/>
      <w:marTop w:val="0"/>
      <w:marBottom w:val="0"/>
      <w:divBdr>
        <w:top w:val="none" w:sz="0" w:space="0" w:color="auto"/>
        <w:left w:val="none" w:sz="0" w:space="0" w:color="auto"/>
        <w:bottom w:val="none" w:sz="0" w:space="0" w:color="auto"/>
        <w:right w:val="none" w:sz="0" w:space="0" w:color="auto"/>
      </w:divBdr>
    </w:div>
    <w:div w:id="814445073">
      <w:bodyDiv w:val="1"/>
      <w:marLeft w:val="0"/>
      <w:marRight w:val="0"/>
      <w:marTop w:val="0"/>
      <w:marBottom w:val="0"/>
      <w:divBdr>
        <w:top w:val="none" w:sz="0" w:space="0" w:color="auto"/>
        <w:left w:val="none" w:sz="0" w:space="0" w:color="auto"/>
        <w:bottom w:val="none" w:sz="0" w:space="0" w:color="auto"/>
        <w:right w:val="none" w:sz="0" w:space="0" w:color="auto"/>
      </w:divBdr>
    </w:div>
    <w:div w:id="848757382">
      <w:bodyDiv w:val="1"/>
      <w:marLeft w:val="0"/>
      <w:marRight w:val="0"/>
      <w:marTop w:val="0"/>
      <w:marBottom w:val="0"/>
      <w:divBdr>
        <w:top w:val="none" w:sz="0" w:space="0" w:color="auto"/>
        <w:left w:val="none" w:sz="0" w:space="0" w:color="auto"/>
        <w:bottom w:val="none" w:sz="0" w:space="0" w:color="auto"/>
        <w:right w:val="none" w:sz="0" w:space="0" w:color="auto"/>
      </w:divBdr>
    </w:div>
    <w:div w:id="853962371">
      <w:bodyDiv w:val="1"/>
      <w:marLeft w:val="0"/>
      <w:marRight w:val="0"/>
      <w:marTop w:val="0"/>
      <w:marBottom w:val="0"/>
      <w:divBdr>
        <w:top w:val="none" w:sz="0" w:space="0" w:color="auto"/>
        <w:left w:val="none" w:sz="0" w:space="0" w:color="auto"/>
        <w:bottom w:val="none" w:sz="0" w:space="0" w:color="auto"/>
        <w:right w:val="none" w:sz="0" w:space="0" w:color="auto"/>
      </w:divBdr>
    </w:div>
    <w:div w:id="907157989">
      <w:bodyDiv w:val="1"/>
      <w:marLeft w:val="0"/>
      <w:marRight w:val="0"/>
      <w:marTop w:val="0"/>
      <w:marBottom w:val="0"/>
      <w:divBdr>
        <w:top w:val="none" w:sz="0" w:space="0" w:color="auto"/>
        <w:left w:val="none" w:sz="0" w:space="0" w:color="auto"/>
        <w:bottom w:val="none" w:sz="0" w:space="0" w:color="auto"/>
        <w:right w:val="none" w:sz="0" w:space="0" w:color="auto"/>
      </w:divBdr>
    </w:div>
    <w:div w:id="945775008">
      <w:bodyDiv w:val="1"/>
      <w:marLeft w:val="0"/>
      <w:marRight w:val="0"/>
      <w:marTop w:val="0"/>
      <w:marBottom w:val="0"/>
      <w:divBdr>
        <w:top w:val="none" w:sz="0" w:space="0" w:color="auto"/>
        <w:left w:val="none" w:sz="0" w:space="0" w:color="auto"/>
        <w:bottom w:val="none" w:sz="0" w:space="0" w:color="auto"/>
        <w:right w:val="none" w:sz="0" w:space="0" w:color="auto"/>
      </w:divBdr>
    </w:div>
    <w:div w:id="989138109">
      <w:bodyDiv w:val="1"/>
      <w:marLeft w:val="0"/>
      <w:marRight w:val="0"/>
      <w:marTop w:val="0"/>
      <w:marBottom w:val="0"/>
      <w:divBdr>
        <w:top w:val="none" w:sz="0" w:space="0" w:color="auto"/>
        <w:left w:val="none" w:sz="0" w:space="0" w:color="auto"/>
        <w:bottom w:val="none" w:sz="0" w:space="0" w:color="auto"/>
        <w:right w:val="none" w:sz="0" w:space="0" w:color="auto"/>
      </w:divBdr>
    </w:div>
    <w:div w:id="1032459826">
      <w:bodyDiv w:val="1"/>
      <w:marLeft w:val="0"/>
      <w:marRight w:val="0"/>
      <w:marTop w:val="0"/>
      <w:marBottom w:val="0"/>
      <w:divBdr>
        <w:top w:val="none" w:sz="0" w:space="0" w:color="auto"/>
        <w:left w:val="none" w:sz="0" w:space="0" w:color="auto"/>
        <w:bottom w:val="none" w:sz="0" w:space="0" w:color="auto"/>
        <w:right w:val="none" w:sz="0" w:space="0" w:color="auto"/>
      </w:divBdr>
    </w:div>
    <w:div w:id="1043796664">
      <w:bodyDiv w:val="1"/>
      <w:marLeft w:val="0"/>
      <w:marRight w:val="0"/>
      <w:marTop w:val="0"/>
      <w:marBottom w:val="0"/>
      <w:divBdr>
        <w:top w:val="none" w:sz="0" w:space="0" w:color="auto"/>
        <w:left w:val="none" w:sz="0" w:space="0" w:color="auto"/>
        <w:bottom w:val="none" w:sz="0" w:space="0" w:color="auto"/>
        <w:right w:val="none" w:sz="0" w:space="0" w:color="auto"/>
      </w:divBdr>
    </w:div>
    <w:div w:id="1061057942">
      <w:bodyDiv w:val="1"/>
      <w:marLeft w:val="0"/>
      <w:marRight w:val="0"/>
      <w:marTop w:val="0"/>
      <w:marBottom w:val="0"/>
      <w:divBdr>
        <w:top w:val="none" w:sz="0" w:space="0" w:color="auto"/>
        <w:left w:val="none" w:sz="0" w:space="0" w:color="auto"/>
        <w:bottom w:val="none" w:sz="0" w:space="0" w:color="auto"/>
        <w:right w:val="none" w:sz="0" w:space="0" w:color="auto"/>
      </w:divBdr>
    </w:div>
    <w:div w:id="1064448237">
      <w:bodyDiv w:val="1"/>
      <w:marLeft w:val="0"/>
      <w:marRight w:val="0"/>
      <w:marTop w:val="0"/>
      <w:marBottom w:val="0"/>
      <w:divBdr>
        <w:top w:val="none" w:sz="0" w:space="0" w:color="auto"/>
        <w:left w:val="none" w:sz="0" w:space="0" w:color="auto"/>
        <w:bottom w:val="none" w:sz="0" w:space="0" w:color="auto"/>
        <w:right w:val="none" w:sz="0" w:space="0" w:color="auto"/>
      </w:divBdr>
    </w:div>
    <w:div w:id="1144931058">
      <w:bodyDiv w:val="1"/>
      <w:marLeft w:val="0"/>
      <w:marRight w:val="0"/>
      <w:marTop w:val="0"/>
      <w:marBottom w:val="0"/>
      <w:divBdr>
        <w:top w:val="none" w:sz="0" w:space="0" w:color="auto"/>
        <w:left w:val="none" w:sz="0" w:space="0" w:color="auto"/>
        <w:bottom w:val="none" w:sz="0" w:space="0" w:color="auto"/>
        <w:right w:val="none" w:sz="0" w:space="0" w:color="auto"/>
      </w:divBdr>
    </w:div>
    <w:div w:id="1259486401">
      <w:bodyDiv w:val="1"/>
      <w:marLeft w:val="0"/>
      <w:marRight w:val="0"/>
      <w:marTop w:val="0"/>
      <w:marBottom w:val="0"/>
      <w:divBdr>
        <w:top w:val="none" w:sz="0" w:space="0" w:color="auto"/>
        <w:left w:val="none" w:sz="0" w:space="0" w:color="auto"/>
        <w:bottom w:val="none" w:sz="0" w:space="0" w:color="auto"/>
        <w:right w:val="none" w:sz="0" w:space="0" w:color="auto"/>
      </w:divBdr>
    </w:div>
    <w:div w:id="1290239781">
      <w:bodyDiv w:val="1"/>
      <w:marLeft w:val="0"/>
      <w:marRight w:val="0"/>
      <w:marTop w:val="0"/>
      <w:marBottom w:val="0"/>
      <w:divBdr>
        <w:top w:val="none" w:sz="0" w:space="0" w:color="auto"/>
        <w:left w:val="none" w:sz="0" w:space="0" w:color="auto"/>
        <w:bottom w:val="none" w:sz="0" w:space="0" w:color="auto"/>
        <w:right w:val="none" w:sz="0" w:space="0" w:color="auto"/>
      </w:divBdr>
    </w:div>
    <w:div w:id="1319068156">
      <w:bodyDiv w:val="1"/>
      <w:marLeft w:val="0"/>
      <w:marRight w:val="0"/>
      <w:marTop w:val="0"/>
      <w:marBottom w:val="0"/>
      <w:divBdr>
        <w:top w:val="none" w:sz="0" w:space="0" w:color="auto"/>
        <w:left w:val="none" w:sz="0" w:space="0" w:color="auto"/>
        <w:bottom w:val="none" w:sz="0" w:space="0" w:color="auto"/>
        <w:right w:val="none" w:sz="0" w:space="0" w:color="auto"/>
      </w:divBdr>
    </w:div>
    <w:div w:id="1327703371">
      <w:bodyDiv w:val="1"/>
      <w:marLeft w:val="0"/>
      <w:marRight w:val="0"/>
      <w:marTop w:val="0"/>
      <w:marBottom w:val="0"/>
      <w:divBdr>
        <w:top w:val="none" w:sz="0" w:space="0" w:color="auto"/>
        <w:left w:val="none" w:sz="0" w:space="0" w:color="auto"/>
        <w:bottom w:val="none" w:sz="0" w:space="0" w:color="auto"/>
        <w:right w:val="none" w:sz="0" w:space="0" w:color="auto"/>
      </w:divBdr>
    </w:div>
    <w:div w:id="1352031044">
      <w:bodyDiv w:val="1"/>
      <w:marLeft w:val="0"/>
      <w:marRight w:val="0"/>
      <w:marTop w:val="0"/>
      <w:marBottom w:val="0"/>
      <w:divBdr>
        <w:top w:val="none" w:sz="0" w:space="0" w:color="auto"/>
        <w:left w:val="none" w:sz="0" w:space="0" w:color="auto"/>
        <w:bottom w:val="none" w:sz="0" w:space="0" w:color="auto"/>
        <w:right w:val="none" w:sz="0" w:space="0" w:color="auto"/>
      </w:divBdr>
    </w:div>
    <w:div w:id="1380058137">
      <w:bodyDiv w:val="1"/>
      <w:marLeft w:val="0"/>
      <w:marRight w:val="0"/>
      <w:marTop w:val="0"/>
      <w:marBottom w:val="0"/>
      <w:divBdr>
        <w:top w:val="none" w:sz="0" w:space="0" w:color="auto"/>
        <w:left w:val="none" w:sz="0" w:space="0" w:color="auto"/>
        <w:bottom w:val="none" w:sz="0" w:space="0" w:color="auto"/>
        <w:right w:val="none" w:sz="0" w:space="0" w:color="auto"/>
      </w:divBdr>
    </w:div>
    <w:div w:id="1390416960">
      <w:bodyDiv w:val="1"/>
      <w:marLeft w:val="0"/>
      <w:marRight w:val="0"/>
      <w:marTop w:val="0"/>
      <w:marBottom w:val="0"/>
      <w:divBdr>
        <w:top w:val="none" w:sz="0" w:space="0" w:color="auto"/>
        <w:left w:val="none" w:sz="0" w:space="0" w:color="auto"/>
        <w:bottom w:val="none" w:sz="0" w:space="0" w:color="auto"/>
        <w:right w:val="none" w:sz="0" w:space="0" w:color="auto"/>
      </w:divBdr>
    </w:div>
    <w:div w:id="1470711485">
      <w:bodyDiv w:val="1"/>
      <w:marLeft w:val="0"/>
      <w:marRight w:val="0"/>
      <w:marTop w:val="0"/>
      <w:marBottom w:val="0"/>
      <w:divBdr>
        <w:top w:val="none" w:sz="0" w:space="0" w:color="auto"/>
        <w:left w:val="none" w:sz="0" w:space="0" w:color="auto"/>
        <w:bottom w:val="none" w:sz="0" w:space="0" w:color="auto"/>
        <w:right w:val="none" w:sz="0" w:space="0" w:color="auto"/>
      </w:divBdr>
    </w:div>
    <w:div w:id="1609310857">
      <w:bodyDiv w:val="1"/>
      <w:marLeft w:val="0"/>
      <w:marRight w:val="0"/>
      <w:marTop w:val="0"/>
      <w:marBottom w:val="0"/>
      <w:divBdr>
        <w:top w:val="none" w:sz="0" w:space="0" w:color="auto"/>
        <w:left w:val="none" w:sz="0" w:space="0" w:color="auto"/>
        <w:bottom w:val="none" w:sz="0" w:space="0" w:color="auto"/>
        <w:right w:val="none" w:sz="0" w:space="0" w:color="auto"/>
      </w:divBdr>
    </w:div>
    <w:div w:id="1636107301">
      <w:bodyDiv w:val="1"/>
      <w:marLeft w:val="0"/>
      <w:marRight w:val="0"/>
      <w:marTop w:val="0"/>
      <w:marBottom w:val="0"/>
      <w:divBdr>
        <w:top w:val="none" w:sz="0" w:space="0" w:color="auto"/>
        <w:left w:val="none" w:sz="0" w:space="0" w:color="auto"/>
        <w:bottom w:val="none" w:sz="0" w:space="0" w:color="auto"/>
        <w:right w:val="none" w:sz="0" w:space="0" w:color="auto"/>
      </w:divBdr>
    </w:div>
    <w:div w:id="1645282050">
      <w:bodyDiv w:val="1"/>
      <w:marLeft w:val="0"/>
      <w:marRight w:val="0"/>
      <w:marTop w:val="0"/>
      <w:marBottom w:val="0"/>
      <w:divBdr>
        <w:top w:val="none" w:sz="0" w:space="0" w:color="auto"/>
        <w:left w:val="none" w:sz="0" w:space="0" w:color="auto"/>
        <w:bottom w:val="none" w:sz="0" w:space="0" w:color="auto"/>
        <w:right w:val="none" w:sz="0" w:space="0" w:color="auto"/>
      </w:divBdr>
    </w:div>
    <w:div w:id="1685665759">
      <w:bodyDiv w:val="1"/>
      <w:marLeft w:val="0"/>
      <w:marRight w:val="0"/>
      <w:marTop w:val="0"/>
      <w:marBottom w:val="0"/>
      <w:divBdr>
        <w:top w:val="none" w:sz="0" w:space="0" w:color="auto"/>
        <w:left w:val="none" w:sz="0" w:space="0" w:color="auto"/>
        <w:bottom w:val="none" w:sz="0" w:space="0" w:color="auto"/>
        <w:right w:val="none" w:sz="0" w:space="0" w:color="auto"/>
      </w:divBdr>
    </w:div>
    <w:div w:id="1727485434">
      <w:bodyDiv w:val="1"/>
      <w:marLeft w:val="0"/>
      <w:marRight w:val="0"/>
      <w:marTop w:val="0"/>
      <w:marBottom w:val="0"/>
      <w:divBdr>
        <w:top w:val="none" w:sz="0" w:space="0" w:color="auto"/>
        <w:left w:val="none" w:sz="0" w:space="0" w:color="auto"/>
        <w:bottom w:val="none" w:sz="0" w:space="0" w:color="auto"/>
        <w:right w:val="none" w:sz="0" w:space="0" w:color="auto"/>
      </w:divBdr>
    </w:div>
    <w:div w:id="1783768638">
      <w:bodyDiv w:val="1"/>
      <w:marLeft w:val="0"/>
      <w:marRight w:val="0"/>
      <w:marTop w:val="0"/>
      <w:marBottom w:val="0"/>
      <w:divBdr>
        <w:top w:val="none" w:sz="0" w:space="0" w:color="auto"/>
        <w:left w:val="none" w:sz="0" w:space="0" w:color="auto"/>
        <w:bottom w:val="none" w:sz="0" w:space="0" w:color="auto"/>
        <w:right w:val="none" w:sz="0" w:space="0" w:color="auto"/>
      </w:divBdr>
    </w:div>
    <w:div w:id="1834250973">
      <w:bodyDiv w:val="1"/>
      <w:marLeft w:val="0"/>
      <w:marRight w:val="0"/>
      <w:marTop w:val="0"/>
      <w:marBottom w:val="0"/>
      <w:divBdr>
        <w:top w:val="none" w:sz="0" w:space="0" w:color="auto"/>
        <w:left w:val="none" w:sz="0" w:space="0" w:color="auto"/>
        <w:bottom w:val="none" w:sz="0" w:space="0" w:color="auto"/>
        <w:right w:val="none" w:sz="0" w:space="0" w:color="auto"/>
      </w:divBdr>
    </w:div>
    <w:div w:id="1837838367">
      <w:bodyDiv w:val="1"/>
      <w:marLeft w:val="0"/>
      <w:marRight w:val="0"/>
      <w:marTop w:val="0"/>
      <w:marBottom w:val="0"/>
      <w:divBdr>
        <w:top w:val="none" w:sz="0" w:space="0" w:color="auto"/>
        <w:left w:val="none" w:sz="0" w:space="0" w:color="auto"/>
        <w:bottom w:val="none" w:sz="0" w:space="0" w:color="auto"/>
        <w:right w:val="none" w:sz="0" w:space="0" w:color="auto"/>
      </w:divBdr>
    </w:div>
    <w:div w:id="1848130006">
      <w:bodyDiv w:val="1"/>
      <w:marLeft w:val="0"/>
      <w:marRight w:val="0"/>
      <w:marTop w:val="0"/>
      <w:marBottom w:val="0"/>
      <w:divBdr>
        <w:top w:val="none" w:sz="0" w:space="0" w:color="auto"/>
        <w:left w:val="none" w:sz="0" w:space="0" w:color="auto"/>
        <w:bottom w:val="none" w:sz="0" w:space="0" w:color="auto"/>
        <w:right w:val="none" w:sz="0" w:space="0" w:color="auto"/>
      </w:divBdr>
    </w:div>
    <w:div w:id="1860045235">
      <w:bodyDiv w:val="1"/>
      <w:marLeft w:val="0"/>
      <w:marRight w:val="0"/>
      <w:marTop w:val="0"/>
      <w:marBottom w:val="0"/>
      <w:divBdr>
        <w:top w:val="none" w:sz="0" w:space="0" w:color="auto"/>
        <w:left w:val="none" w:sz="0" w:space="0" w:color="auto"/>
        <w:bottom w:val="none" w:sz="0" w:space="0" w:color="auto"/>
        <w:right w:val="none" w:sz="0" w:space="0" w:color="auto"/>
      </w:divBdr>
    </w:div>
    <w:div w:id="1863084102">
      <w:bodyDiv w:val="1"/>
      <w:marLeft w:val="0"/>
      <w:marRight w:val="0"/>
      <w:marTop w:val="0"/>
      <w:marBottom w:val="0"/>
      <w:divBdr>
        <w:top w:val="none" w:sz="0" w:space="0" w:color="auto"/>
        <w:left w:val="none" w:sz="0" w:space="0" w:color="auto"/>
        <w:bottom w:val="none" w:sz="0" w:space="0" w:color="auto"/>
        <w:right w:val="none" w:sz="0" w:space="0" w:color="auto"/>
      </w:divBdr>
    </w:div>
    <w:div w:id="1869298889">
      <w:bodyDiv w:val="1"/>
      <w:marLeft w:val="0"/>
      <w:marRight w:val="0"/>
      <w:marTop w:val="0"/>
      <w:marBottom w:val="0"/>
      <w:divBdr>
        <w:top w:val="none" w:sz="0" w:space="0" w:color="auto"/>
        <w:left w:val="none" w:sz="0" w:space="0" w:color="auto"/>
        <w:bottom w:val="none" w:sz="0" w:space="0" w:color="auto"/>
        <w:right w:val="none" w:sz="0" w:space="0" w:color="auto"/>
      </w:divBdr>
    </w:div>
    <w:div w:id="1898317838">
      <w:bodyDiv w:val="1"/>
      <w:marLeft w:val="0"/>
      <w:marRight w:val="0"/>
      <w:marTop w:val="0"/>
      <w:marBottom w:val="0"/>
      <w:divBdr>
        <w:top w:val="none" w:sz="0" w:space="0" w:color="auto"/>
        <w:left w:val="none" w:sz="0" w:space="0" w:color="auto"/>
        <w:bottom w:val="none" w:sz="0" w:space="0" w:color="auto"/>
        <w:right w:val="none" w:sz="0" w:space="0" w:color="auto"/>
      </w:divBdr>
    </w:div>
    <w:div w:id="1928806688">
      <w:bodyDiv w:val="1"/>
      <w:marLeft w:val="0"/>
      <w:marRight w:val="0"/>
      <w:marTop w:val="0"/>
      <w:marBottom w:val="0"/>
      <w:divBdr>
        <w:top w:val="none" w:sz="0" w:space="0" w:color="auto"/>
        <w:left w:val="none" w:sz="0" w:space="0" w:color="auto"/>
        <w:bottom w:val="none" w:sz="0" w:space="0" w:color="auto"/>
        <w:right w:val="none" w:sz="0" w:space="0" w:color="auto"/>
      </w:divBdr>
    </w:div>
    <w:div w:id="1971394230">
      <w:bodyDiv w:val="1"/>
      <w:marLeft w:val="0"/>
      <w:marRight w:val="0"/>
      <w:marTop w:val="0"/>
      <w:marBottom w:val="0"/>
      <w:divBdr>
        <w:top w:val="none" w:sz="0" w:space="0" w:color="auto"/>
        <w:left w:val="none" w:sz="0" w:space="0" w:color="auto"/>
        <w:bottom w:val="none" w:sz="0" w:space="0" w:color="auto"/>
        <w:right w:val="none" w:sz="0" w:space="0" w:color="auto"/>
      </w:divBdr>
    </w:div>
    <w:div w:id="1975255144">
      <w:bodyDiv w:val="1"/>
      <w:marLeft w:val="0"/>
      <w:marRight w:val="0"/>
      <w:marTop w:val="0"/>
      <w:marBottom w:val="0"/>
      <w:divBdr>
        <w:top w:val="none" w:sz="0" w:space="0" w:color="auto"/>
        <w:left w:val="none" w:sz="0" w:space="0" w:color="auto"/>
        <w:bottom w:val="none" w:sz="0" w:space="0" w:color="auto"/>
        <w:right w:val="none" w:sz="0" w:space="0" w:color="auto"/>
      </w:divBdr>
    </w:div>
    <w:div w:id="2036418832">
      <w:bodyDiv w:val="1"/>
      <w:marLeft w:val="0"/>
      <w:marRight w:val="0"/>
      <w:marTop w:val="0"/>
      <w:marBottom w:val="0"/>
      <w:divBdr>
        <w:top w:val="none" w:sz="0" w:space="0" w:color="auto"/>
        <w:left w:val="none" w:sz="0" w:space="0" w:color="auto"/>
        <w:bottom w:val="none" w:sz="0" w:space="0" w:color="auto"/>
        <w:right w:val="none" w:sz="0" w:space="0" w:color="auto"/>
      </w:divBdr>
    </w:div>
    <w:div w:id="2065443697">
      <w:bodyDiv w:val="1"/>
      <w:marLeft w:val="0"/>
      <w:marRight w:val="0"/>
      <w:marTop w:val="0"/>
      <w:marBottom w:val="0"/>
      <w:divBdr>
        <w:top w:val="none" w:sz="0" w:space="0" w:color="auto"/>
        <w:left w:val="none" w:sz="0" w:space="0" w:color="auto"/>
        <w:bottom w:val="none" w:sz="0" w:space="0" w:color="auto"/>
        <w:right w:val="none" w:sz="0" w:space="0" w:color="auto"/>
      </w:divBdr>
    </w:div>
    <w:div w:id="2074962793">
      <w:bodyDiv w:val="1"/>
      <w:marLeft w:val="0"/>
      <w:marRight w:val="0"/>
      <w:marTop w:val="0"/>
      <w:marBottom w:val="0"/>
      <w:divBdr>
        <w:top w:val="none" w:sz="0" w:space="0" w:color="auto"/>
        <w:left w:val="none" w:sz="0" w:space="0" w:color="auto"/>
        <w:bottom w:val="none" w:sz="0" w:space="0" w:color="auto"/>
        <w:right w:val="none" w:sz="0" w:space="0" w:color="auto"/>
      </w:divBdr>
    </w:div>
    <w:div w:id="2075811530">
      <w:bodyDiv w:val="1"/>
      <w:marLeft w:val="0"/>
      <w:marRight w:val="0"/>
      <w:marTop w:val="0"/>
      <w:marBottom w:val="0"/>
      <w:divBdr>
        <w:top w:val="none" w:sz="0" w:space="0" w:color="auto"/>
        <w:left w:val="none" w:sz="0" w:space="0" w:color="auto"/>
        <w:bottom w:val="none" w:sz="0" w:space="0" w:color="auto"/>
        <w:right w:val="none" w:sz="0" w:space="0" w:color="auto"/>
      </w:divBdr>
    </w:div>
    <w:div w:id="2100060847">
      <w:bodyDiv w:val="1"/>
      <w:marLeft w:val="0"/>
      <w:marRight w:val="0"/>
      <w:marTop w:val="0"/>
      <w:marBottom w:val="0"/>
      <w:divBdr>
        <w:top w:val="none" w:sz="0" w:space="0" w:color="auto"/>
        <w:left w:val="none" w:sz="0" w:space="0" w:color="auto"/>
        <w:bottom w:val="none" w:sz="0" w:space="0" w:color="auto"/>
        <w:right w:val="none" w:sz="0" w:space="0" w:color="auto"/>
      </w:divBdr>
    </w:div>
    <w:div w:id="2110156418">
      <w:bodyDiv w:val="1"/>
      <w:marLeft w:val="0"/>
      <w:marRight w:val="0"/>
      <w:marTop w:val="0"/>
      <w:marBottom w:val="0"/>
      <w:divBdr>
        <w:top w:val="none" w:sz="0" w:space="0" w:color="auto"/>
        <w:left w:val="none" w:sz="0" w:space="0" w:color="auto"/>
        <w:bottom w:val="none" w:sz="0" w:space="0" w:color="auto"/>
        <w:right w:val="none" w:sz="0" w:space="0" w:color="auto"/>
      </w:divBdr>
    </w:div>
    <w:div w:id="21161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internationaleducation.gov.au/research/research-snapshots/pages/default.aspx" TargetMode="External"/><Relationship Id="rId2" Type="http://schemas.openxmlformats.org/officeDocument/2006/relationships/hyperlink" Target="mailto:IEResearch@education.gov.au" TargetMode="External"/><Relationship Id="rId1" Type="http://schemas.openxmlformats.org/officeDocument/2006/relationships/hyperlink" Target="https://internationaleducation.gov.au/research/research-papers/Documents/ValueInternational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00AA97F9017A4288665729A97B1723" ma:contentTypeVersion="2" ma:contentTypeDescription="Create a new document." ma:contentTypeScope="" ma:versionID="2955017ab084fe0229d9de7084fe793a">
  <xsd:schema xmlns:xsd="http://www.w3.org/2001/XMLSchema" xmlns:xs="http://www.w3.org/2001/XMLSchema" xmlns:p="http://schemas.microsoft.com/office/2006/metadata/properties" xmlns:ns1="http://schemas.microsoft.com/sharepoint/v3" xmlns:ns2="3d08765e-ed01-46d2-8c42-9360717a49b5" targetNamespace="http://schemas.microsoft.com/office/2006/metadata/properties" ma:root="true" ma:fieldsID="9ff8b2dce9ac55920f923a13febf9c66" ns1:_="" ns2:_="">
    <xsd:import namespace="http://schemas.microsoft.com/sharepoint/v3"/>
    <xsd:import namespace="3d08765e-ed01-46d2-8c42-9360717a49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8765e-ed01-46d2-8c42-9360717a49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9753C8-11A9-427D-9510-80658C3D4AFC}"/>
</file>

<file path=customXml/itemProps2.xml><?xml version="1.0" encoding="utf-8"?>
<ds:datastoreItem xmlns:ds="http://schemas.openxmlformats.org/officeDocument/2006/customXml" ds:itemID="{86DAB4C8-4CD1-4D91-B542-FBD8AFFCFC80}"/>
</file>

<file path=customXml/itemProps3.xml><?xml version="1.0" encoding="utf-8"?>
<ds:datastoreItem xmlns:ds="http://schemas.openxmlformats.org/officeDocument/2006/customXml" ds:itemID="{5AA43327-BA54-40FA-818B-ECD389633018}"/>
</file>

<file path=customXml/itemProps4.xml><?xml version="1.0" encoding="utf-8"?>
<ds:datastoreItem xmlns:ds="http://schemas.openxmlformats.org/officeDocument/2006/customXml" ds:itemID="{4D685112-5063-4266-BDEC-975FE549D198}"/>
</file>

<file path=docProps/app.xml><?xml version="1.0" encoding="utf-8"?>
<Properties xmlns="http://schemas.openxmlformats.org/officeDocument/2006/extended-properties" xmlns:vt="http://schemas.openxmlformats.org/officeDocument/2006/docPropsVTypes">
  <Template>2DA8A4AB.dotm</Template>
  <TotalTime>426</TotalTime>
  <Pages>1</Pages>
  <Words>512</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DEST</Company>
  <LinksUpToDate>false</LinksUpToDate>
  <CharactersWithSpaces>3283</CharactersWithSpaces>
  <SharedDoc>false</SharedDoc>
  <HLinks>
    <vt:vector size="6" baseType="variant">
      <vt:variant>
        <vt:i4>5177404</vt:i4>
      </vt:variant>
      <vt:variant>
        <vt:i4>0</vt:i4>
      </vt:variant>
      <vt:variant>
        <vt:i4>0</vt:i4>
      </vt:variant>
      <vt:variant>
        <vt:i4>5</vt:i4>
      </vt:variant>
      <vt:variant>
        <vt:lpwstr>mailto:aeihotline@deewr.gov.au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sk1508</dc:creator>
  <cp:lastModifiedBy>Steve Nerlich</cp:lastModifiedBy>
  <cp:revision>12</cp:revision>
  <cp:lastPrinted>2016-07-21T02:06:00Z</cp:lastPrinted>
  <dcterms:created xsi:type="dcterms:W3CDTF">2016-06-03T04:53:00Z</dcterms:created>
  <dcterms:modified xsi:type="dcterms:W3CDTF">2016-07-21T02:11:00Z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0x010100D600AA97F9017A4288665729A97B1723</vt:lpwstr>
  </property>
  <property fmtid="{D5CDD505-2E9C-101B-9397-08002B2CF9AE}" pid="7" name="Order">
    <vt:r8>22300</vt:r8>
  </property>
  <property fmtid="{D5CDD505-2E9C-101B-9397-08002B2CF9AE}" pid="8" name="xd_ProgID">
    <vt:lpwstr/>
  </property>
  <property fmtid="{D5CDD505-2E9C-101B-9397-08002B2CF9AE}" pid="9" name="_SharedFileIndex">
    <vt:lpwstr/>
  </property>
  <property fmtid="{D5CDD505-2E9C-101B-9397-08002B2CF9AE}" pid="10" name="_SourceUrl">
    <vt:lpwstr/>
  </property>
  <property fmtid="{D5CDD505-2E9C-101B-9397-08002B2CF9AE}" pid="11" name="TemplateUrl">
    <vt:lpwstr/>
  </property>
</Properties>
</file>