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5B8" w:rsidRPr="00331E8C" w:rsidRDefault="00E10FB9" w:rsidP="00B20529">
      <w:pPr>
        <w:pStyle w:val="ImageHeader"/>
        <w:spacing w:after="360"/>
      </w:pPr>
      <w:r>
        <w:rPr>
          <w:noProof/>
          <w:lang w:eastAsia="en-AU"/>
        </w:rPr>
        <mc:AlternateContent>
          <mc:Choice Requires="wps">
            <w:drawing>
              <wp:anchor distT="0" distB="0" distL="114300" distR="114300" simplePos="0" relativeHeight="251660288" behindDoc="0" locked="0" layoutInCell="1" allowOverlap="1" wp14:anchorId="3BA05D55" wp14:editId="12295156">
                <wp:simplePos x="0" y="0"/>
                <wp:positionH relativeFrom="column">
                  <wp:posOffset>0</wp:posOffset>
                </wp:positionH>
                <wp:positionV relativeFrom="paragraph">
                  <wp:posOffset>1609725</wp:posOffset>
                </wp:positionV>
                <wp:extent cx="7592797" cy="0"/>
                <wp:effectExtent l="0" t="0" r="27305" b="19050"/>
                <wp:wrapNone/>
                <wp:docPr id="1" name="Straight Connector 1"/>
                <wp:cNvGraphicFramePr/>
                <a:graphic xmlns:a="http://schemas.openxmlformats.org/drawingml/2006/main">
                  <a:graphicData uri="http://schemas.microsoft.com/office/word/2010/wordprocessingShape">
                    <wps:wsp>
                      <wps:cNvCnPr/>
                      <wps:spPr>
                        <a:xfrm flipV="1">
                          <a:off x="0" y="0"/>
                          <a:ext cx="7592797"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5B3F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6.75pt" to="597.8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" strokecolor="#7030a0" strokeweight=".5pt">
                <v:stroke joinstyle="miter"/>
              </v:line>
            </w:pict>
          </mc:Fallback>
        </mc:AlternateContent>
      </w:r>
      <w:r w:rsidR="00B20529">
        <w:rPr>
          <w:noProof/>
          <w:lang w:eastAsia="en-AU"/>
        </w:rPr>
        <w:drawing>
          <wp:anchor distT="0" distB="0" distL="114300" distR="114300" simplePos="0" relativeHeight="251658240" behindDoc="1" locked="0" layoutInCell="1" allowOverlap="1">
            <wp:simplePos x="0" y="0"/>
            <wp:positionH relativeFrom="page">
              <wp:posOffset>3560087</wp:posOffset>
            </wp:positionH>
            <wp:positionV relativeFrom="paragraph">
              <wp:posOffset>1</wp:posOffset>
            </wp:positionV>
            <wp:extent cx="3996364" cy="1543050"/>
            <wp:effectExtent l="0" t="0" r="444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18-0159 - INT - Research Snapshot and Insider Banners_External Graphic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8878" cy="1544021"/>
                    </a:xfrm>
                    <a:prstGeom prst="rect">
                      <a:avLst/>
                    </a:prstGeom>
                  </pic:spPr>
                </pic:pic>
              </a:graphicData>
            </a:graphic>
            <wp14:sizeRelH relativeFrom="page">
              <wp14:pctWidth>0</wp14:pctWidth>
            </wp14:sizeRelH>
            <wp14:sizeRelV relativeFrom="page">
              <wp14:pctHeight>0</wp14:pctHeight>
            </wp14:sizeRelV>
          </wp:anchor>
        </w:drawing>
      </w:r>
      <w:r w:rsidR="00B20529">
        <w:rPr>
          <w:noProof/>
          <w:lang w:eastAsia="en-AU"/>
        </w:rPr>
        <w:drawing>
          <wp:inline distT="0" distB="0" distL="0" distR="0">
            <wp:extent cx="3391200" cy="1105200"/>
            <wp:effectExtent l="0" t="0" r="0" b="0"/>
            <wp:docPr id="7" name="Picture 7" descr="Australian Government Department of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18-0159 - INT - Research Snapshot and Insider Banners_Crest External 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1200" cy="1105200"/>
                    </a:xfrm>
                    <a:prstGeom prst="rect">
                      <a:avLst/>
                    </a:prstGeom>
                  </pic:spPr>
                </pic:pic>
              </a:graphicData>
            </a:graphic>
          </wp:inline>
        </w:drawing>
      </w:r>
      <w:r w:rsidR="007C3044">
        <w:br w:type="column"/>
      </w:r>
    </w:p>
    <w:p w:rsidR="007C3044" w:rsidRPr="00331E8C" w:rsidRDefault="007C3044" w:rsidP="00331E8C">
      <w:pPr>
        <w:pStyle w:val="Title"/>
      </w:pPr>
      <w:r w:rsidRPr="00331E8C">
        <w:t>Research</w:t>
      </w:r>
      <w:r w:rsidRPr="00331E8C">
        <w:br/>
        <w:t>Snapshot</w:t>
      </w:r>
    </w:p>
    <w:p w:rsidR="00331E8C" w:rsidRDefault="0032018A" w:rsidP="009E2AC0">
      <w:pPr>
        <w:pStyle w:val="Subtitle"/>
        <w:sectPr w:rsidR="00331E8C" w:rsidSect="00331E8C">
          <w:footerReference w:type="default" r:id="rId10"/>
          <w:type w:val="continuous"/>
          <w:pgSz w:w="11906" w:h="16838"/>
          <w:pgMar w:top="0" w:right="851" w:bottom="1134" w:left="851" w:header="680" w:footer="680" w:gutter="0"/>
          <w:cols w:num="2" w:space="708"/>
          <w:docGrid w:linePitch="360"/>
        </w:sectPr>
      </w:pPr>
      <w:r>
        <w:t>October</w:t>
      </w:r>
      <w:r w:rsidR="00331E8C">
        <w:t xml:space="preserve"> 2018</w:t>
      </w:r>
    </w:p>
    <w:p w:rsidR="0032018A" w:rsidRPr="0032018A" w:rsidRDefault="0032018A" w:rsidP="0032018A">
      <w:pPr>
        <w:pStyle w:val="Heading1"/>
        <w:jc w:val="center"/>
        <w:rPr>
          <w:rFonts w:eastAsia="Times New Roman" w:cstheme="minorHAnsi"/>
          <w:b/>
          <w:color w:val="694569"/>
          <w:sz w:val="32"/>
          <w:lang w:eastAsia="en-AU"/>
        </w:rPr>
      </w:pPr>
      <w:r w:rsidRPr="00CF7C87">
        <w:rPr>
          <w:noProof/>
          <w:lang w:eastAsia="en-AU"/>
        </w:rPr>
        <w:drawing>
          <wp:anchor distT="0" distB="0" distL="114300" distR="114300" simplePos="0" relativeHeight="251665408" behindDoc="0" locked="0" layoutInCell="1" allowOverlap="1" wp14:anchorId="2FA687A1" wp14:editId="22ADF1FF">
            <wp:simplePos x="0" y="0"/>
            <wp:positionH relativeFrom="column">
              <wp:posOffset>3203575</wp:posOffset>
            </wp:positionH>
            <wp:positionV relativeFrom="paragraph">
              <wp:posOffset>314325</wp:posOffset>
            </wp:positionV>
            <wp:extent cx="3286760" cy="2066925"/>
            <wp:effectExtent l="0" t="0" r="889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76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1E6">
        <w:rPr>
          <w:rFonts w:eastAsia="Times New Roman" w:cstheme="minorHAnsi"/>
          <w:b/>
          <w:color w:val="694569"/>
          <w:sz w:val="32"/>
          <w:lang w:eastAsia="en-AU"/>
        </w:rPr>
        <w:t>Offshore delivery of Australian</w:t>
      </w:r>
      <w:r w:rsidRPr="00C76433">
        <w:rPr>
          <w:rFonts w:cstheme="minorHAnsi"/>
          <w:b/>
          <w:color w:val="44546A" w:themeColor="text2"/>
          <w:sz w:val="32"/>
          <w:lang w:eastAsia="en-AU"/>
        </w:rPr>
        <w:t xml:space="preserve"> </w:t>
      </w:r>
      <w:r w:rsidRPr="000A61E6">
        <w:rPr>
          <w:rFonts w:eastAsia="Times New Roman" w:cstheme="minorHAnsi"/>
          <w:b/>
          <w:color w:val="694569"/>
          <w:sz w:val="32"/>
          <w:lang w:eastAsia="en-AU"/>
        </w:rPr>
        <w:t>higher education courses</w:t>
      </w:r>
      <w:r>
        <w:rPr>
          <w:rFonts w:eastAsia="Times New Roman" w:cstheme="minorHAnsi"/>
          <w:b/>
          <w:color w:val="694569"/>
          <w:sz w:val="32"/>
          <w:lang w:eastAsia="en-AU"/>
        </w:rPr>
        <w:t xml:space="preserve"> in 2017</w:t>
      </w:r>
    </w:p>
    <w:p w:rsidR="0032018A" w:rsidRPr="000D1E24" w:rsidRDefault="0032018A" w:rsidP="0032018A">
      <w:pPr>
        <w:tabs>
          <w:tab w:val="left" w:pos="4536"/>
        </w:tabs>
        <w:ind w:left="-993" w:right="-23"/>
        <w:jc w:val="both"/>
        <w:rPr>
          <w:rFonts w:cstheme="minorHAnsi"/>
          <w:b/>
          <w:bCs/>
          <w:color w:val="000000" w:themeColor="text1"/>
          <w:sz w:val="21"/>
          <w:szCs w:val="21"/>
        </w:rPr>
      </w:pPr>
      <w:r w:rsidRPr="000D1E24">
        <w:rPr>
          <w:rFonts w:cstheme="minorHAnsi"/>
          <w:noProof/>
          <w:color w:val="000000" w:themeColor="text1"/>
          <w:sz w:val="21"/>
          <w:szCs w:val="21"/>
          <w:lang w:eastAsia="en-AU"/>
        </w:rPr>
        <w:t xml:space="preserve">Many students around the world study Australian higher education courses without coming to Australia. </w:t>
      </w:r>
      <w:r w:rsidRPr="000D1E24">
        <w:rPr>
          <w:rFonts w:cstheme="minorHAnsi"/>
          <w:bCs/>
          <w:color w:val="000000" w:themeColor="text1"/>
          <w:sz w:val="21"/>
          <w:szCs w:val="21"/>
        </w:rPr>
        <w:t>For example, an Australian university may have campuses in one or more countries outside Australia or deliver courses fully or partially through a stand-alone arrangement or a partnership arrangement with foreign institutions, or offer courses online. This snapshot outlines these different modes of offshore education in the higher education sector. The data is sourced from the Australian Higher Education Statistics Collection and is largely limited to students studying courses recognised in the Australian Qualifications Framework.</w:t>
      </w:r>
    </w:p>
    <w:p w:rsidR="0032018A" w:rsidRPr="000D1E24" w:rsidRDefault="0032018A" w:rsidP="0032018A">
      <w:pPr>
        <w:tabs>
          <w:tab w:val="left" w:pos="4536"/>
          <w:tab w:val="left" w:pos="4678"/>
          <w:tab w:val="left" w:pos="5529"/>
        </w:tabs>
        <w:ind w:left="-993" w:right="-448"/>
        <w:jc w:val="both"/>
        <w:rPr>
          <w:rFonts w:cstheme="minorHAnsi"/>
          <w:b/>
          <w:color w:val="FF0000"/>
          <w:sz w:val="21"/>
          <w:szCs w:val="21"/>
        </w:rPr>
      </w:pPr>
      <w:r w:rsidRPr="000D1E24">
        <w:rPr>
          <w:rFonts w:cstheme="minorHAnsi"/>
          <w:noProof/>
          <w:color w:val="000000" w:themeColor="text1"/>
          <w:sz w:val="21"/>
          <w:szCs w:val="21"/>
          <w:lang w:eastAsia="en-AU"/>
        </w:rPr>
        <w:drawing>
          <wp:anchor distT="0" distB="0" distL="114300" distR="114300" simplePos="0" relativeHeight="251662336" behindDoc="0" locked="0" layoutInCell="1" allowOverlap="1" wp14:anchorId="169F744C" wp14:editId="7E3D4F89">
            <wp:simplePos x="0" y="0"/>
            <wp:positionH relativeFrom="column">
              <wp:posOffset>3204845</wp:posOffset>
            </wp:positionH>
            <wp:positionV relativeFrom="paragraph">
              <wp:posOffset>423545</wp:posOffset>
            </wp:positionV>
            <wp:extent cx="3283585" cy="23177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3585" cy="2317750"/>
                    </a:xfrm>
                    <a:prstGeom prst="rect">
                      <a:avLst/>
                    </a:prstGeom>
                    <a:noFill/>
                  </pic:spPr>
                </pic:pic>
              </a:graphicData>
            </a:graphic>
            <wp14:sizeRelH relativeFrom="page">
              <wp14:pctWidth>0</wp14:pctWidth>
            </wp14:sizeRelH>
            <wp14:sizeRelV relativeFrom="page">
              <wp14:pctHeight>0</wp14:pctHeight>
            </wp14:sizeRelV>
          </wp:anchor>
        </w:drawing>
      </w:r>
      <w:r w:rsidRPr="000D1E24">
        <w:rPr>
          <w:rFonts w:cstheme="minorHAnsi"/>
          <w:color w:val="000000" w:themeColor="text1"/>
          <w:sz w:val="21"/>
          <w:szCs w:val="21"/>
        </w:rPr>
        <w:t>In 2017, there were 431,438 overseas students studying Australian higher education courses. Almost 28% of those students were studying offshore. Of these, 39,262 students were enrolled in programs provided at offshore Australian university campuses</w:t>
      </w:r>
      <w:r w:rsidRPr="000D1E24">
        <w:rPr>
          <w:rFonts w:cstheme="minorHAnsi"/>
          <w:color w:val="000000" w:themeColor="text1"/>
          <w:sz w:val="21"/>
          <w:szCs w:val="21"/>
          <w:vertAlign w:val="superscript"/>
        </w:rPr>
        <w:t>1</w:t>
      </w:r>
      <w:r w:rsidRPr="000D1E24">
        <w:rPr>
          <w:rFonts w:cstheme="minorHAnsi"/>
          <w:color w:val="000000" w:themeColor="text1"/>
          <w:sz w:val="21"/>
          <w:szCs w:val="21"/>
        </w:rPr>
        <w:t>, 72,697</w:t>
      </w:r>
      <w:r w:rsidRPr="000D1E24">
        <w:rPr>
          <w:rFonts w:cstheme="minorHAnsi"/>
          <w:color w:val="FF0000"/>
          <w:sz w:val="21"/>
          <w:szCs w:val="21"/>
        </w:rPr>
        <w:t xml:space="preserve"> </w:t>
      </w:r>
      <w:r w:rsidRPr="000D1E24">
        <w:rPr>
          <w:rFonts w:cstheme="minorHAnsi"/>
          <w:color w:val="000000" w:themeColor="text1"/>
          <w:sz w:val="21"/>
          <w:szCs w:val="21"/>
        </w:rPr>
        <w:t>were enrolled in programs delivered through partnerships between Australian and foreign institutions or other programs and a further 7,392 were enrolled in online (distance) education (Table 1)</w:t>
      </w:r>
      <w:r w:rsidRPr="003C56FB">
        <w:rPr>
          <w:rFonts w:cstheme="minorHAnsi"/>
          <w:color w:val="000000" w:themeColor="text1"/>
          <w:sz w:val="21"/>
          <w:szCs w:val="21"/>
          <w:vertAlign w:val="superscript"/>
        </w:rPr>
        <w:t>2</w:t>
      </w:r>
      <w:r w:rsidRPr="000D1E24">
        <w:rPr>
          <w:rFonts w:cstheme="minorHAnsi"/>
          <w:color w:val="000000" w:themeColor="text1"/>
          <w:sz w:val="21"/>
          <w:szCs w:val="21"/>
        </w:rPr>
        <w:t xml:space="preserve">. </w:t>
      </w:r>
    </w:p>
    <w:p w:rsidR="0032018A" w:rsidRPr="000D1E24" w:rsidRDefault="0032018A" w:rsidP="0032018A">
      <w:pPr>
        <w:ind w:left="-993"/>
        <w:jc w:val="both"/>
        <w:rPr>
          <w:rFonts w:cstheme="minorHAnsi"/>
          <w:b/>
          <w:color w:val="000000" w:themeColor="text1"/>
          <w:sz w:val="21"/>
          <w:szCs w:val="21"/>
        </w:rPr>
      </w:pPr>
      <w:r w:rsidRPr="000D1E24">
        <w:rPr>
          <w:rFonts w:cstheme="minorHAnsi"/>
          <w:b/>
          <w:color w:val="000000" w:themeColor="text1"/>
          <w:sz w:val="21"/>
          <w:szCs w:val="21"/>
        </w:rPr>
        <w:t>Level of study and field of education</w:t>
      </w:r>
    </w:p>
    <w:p w:rsidR="0032018A" w:rsidRPr="000D1E24" w:rsidRDefault="0032018A" w:rsidP="0032018A">
      <w:pPr>
        <w:ind w:left="-993"/>
        <w:jc w:val="both"/>
        <w:rPr>
          <w:rFonts w:cstheme="minorHAnsi"/>
          <w:color w:val="000000" w:themeColor="text1"/>
          <w:sz w:val="21"/>
          <w:szCs w:val="21"/>
        </w:rPr>
      </w:pPr>
      <w:r w:rsidRPr="000D1E24">
        <w:rPr>
          <w:rFonts w:cstheme="minorHAnsi"/>
          <w:color w:val="000000" w:themeColor="text1"/>
          <w:sz w:val="21"/>
          <w:szCs w:val="21"/>
        </w:rPr>
        <w:t xml:space="preserve">The most popular qualifications for offshore students in 2017 were Bachelor (60%) and Masters by coursework (26%) degrees </w:t>
      </w:r>
    </w:p>
    <w:p w:rsidR="0032018A" w:rsidRPr="000D1E24" w:rsidRDefault="0032018A" w:rsidP="0032018A">
      <w:pPr>
        <w:ind w:left="-993"/>
        <w:jc w:val="both"/>
        <w:rPr>
          <w:rFonts w:cstheme="minorHAnsi"/>
          <w:color w:val="000000" w:themeColor="text1"/>
          <w:sz w:val="21"/>
          <w:szCs w:val="21"/>
        </w:rPr>
      </w:pPr>
      <w:r w:rsidRPr="000D1E24">
        <w:rPr>
          <w:rFonts w:cstheme="minorHAnsi"/>
          <w:color w:val="000000" w:themeColor="text1"/>
          <w:sz w:val="21"/>
          <w:szCs w:val="21"/>
        </w:rPr>
        <w:t>(Figure 1). The top broad fields of education were Management &amp; Commerce (55%), Engineering &amp; Related Technologies (11%), Information Technology (8%) and Society &amp; Culture (8%).</w:t>
      </w:r>
    </w:p>
    <w:p w:rsidR="0032018A" w:rsidRPr="000D1E24" w:rsidRDefault="0032018A" w:rsidP="0032018A">
      <w:pPr>
        <w:ind w:left="-993"/>
        <w:jc w:val="both"/>
        <w:rPr>
          <w:rFonts w:cstheme="minorHAnsi"/>
          <w:b/>
          <w:color w:val="000000" w:themeColor="text1"/>
          <w:sz w:val="21"/>
          <w:szCs w:val="21"/>
        </w:rPr>
      </w:pPr>
      <w:r w:rsidRPr="000D1E24">
        <w:rPr>
          <w:rFonts w:cstheme="minorHAnsi"/>
          <w:b/>
          <w:color w:val="000000" w:themeColor="text1"/>
          <w:sz w:val="21"/>
          <w:szCs w:val="21"/>
        </w:rPr>
        <w:t xml:space="preserve">Age and Gender </w:t>
      </w:r>
    </w:p>
    <w:p w:rsidR="0032018A" w:rsidRPr="000D1E24" w:rsidRDefault="0032018A" w:rsidP="0032018A">
      <w:pPr>
        <w:ind w:left="-993"/>
        <w:jc w:val="both"/>
        <w:rPr>
          <w:rFonts w:cstheme="minorHAnsi"/>
          <w:color w:val="000000" w:themeColor="text1"/>
          <w:sz w:val="21"/>
          <w:szCs w:val="21"/>
        </w:rPr>
      </w:pPr>
      <w:r>
        <w:rPr>
          <w:rFonts w:cstheme="minorHAnsi"/>
          <w:b/>
          <w:noProof/>
          <w:color w:val="000000" w:themeColor="text1"/>
          <w:sz w:val="21"/>
          <w:szCs w:val="21"/>
          <w:lang w:eastAsia="en-AU"/>
        </w:rPr>
        <w:drawing>
          <wp:anchor distT="0" distB="0" distL="114300" distR="114300" simplePos="0" relativeHeight="251663360" behindDoc="0" locked="0" layoutInCell="1" allowOverlap="1" wp14:anchorId="1121495C" wp14:editId="45081B60">
            <wp:simplePos x="0" y="0"/>
            <wp:positionH relativeFrom="column">
              <wp:posOffset>3204845</wp:posOffset>
            </wp:positionH>
            <wp:positionV relativeFrom="paragraph">
              <wp:posOffset>165100</wp:posOffset>
            </wp:positionV>
            <wp:extent cx="3275330" cy="192849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5330" cy="1928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1E24">
        <w:rPr>
          <w:rFonts w:cstheme="minorHAnsi"/>
          <w:color w:val="000000" w:themeColor="text1"/>
          <w:sz w:val="21"/>
          <w:szCs w:val="21"/>
        </w:rPr>
        <w:t xml:space="preserve">There was little difference in age and gender between offshore students and international students studying in Australia. In both cases, most were between 20 to 24 years of age in 2017. There were slightly more male (51%) than female students studying offshore, while 52 per cent of international students studying in Australia were male. </w:t>
      </w:r>
    </w:p>
    <w:p w:rsidR="0032018A" w:rsidRPr="000D1E24" w:rsidRDefault="0032018A" w:rsidP="0032018A">
      <w:pPr>
        <w:ind w:left="-993"/>
        <w:jc w:val="both"/>
        <w:rPr>
          <w:rFonts w:cstheme="minorHAnsi"/>
          <w:b/>
          <w:color w:val="000000" w:themeColor="text1"/>
          <w:sz w:val="21"/>
          <w:szCs w:val="21"/>
        </w:rPr>
      </w:pPr>
      <w:r>
        <w:rPr>
          <w:rFonts w:cstheme="minorHAnsi"/>
          <w:b/>
          <w:color w:val="000000" w:themeColor="text1"/>
          <w:sz w:val="21"/>
          <w:szCs w:val="21"/>
        </w:rPr>
        <w:t>Location</w:t>
      </w:r>
    </w:p>
    <w:p w:rsidR="0032018A" w:rsidRPr="000D1E24" w:rsidRDefault="0032018A" w:rsidP="0032018A">
      <w:pPr>
        <w:ind w:left="-993"/>
        <w:jc w:val="both"/>
        <w:rPr>
          <w:rFonts w:cstheme="minorHAnsi"/>
          <w:color w:val="000000" w:themeColor="text1"/>
          <w:sz w:val="21"/>
          <w:szCs w:val="21"/>
        </w:rPr>
      </w:pPr>
      <w:r w:rsidRPr="000D1E24">
        <w:rPr>
          <w:rFonts w:cstheme="minorHAnsi"/>
          <w:color w:val="000000" w:themeColor="text1"/>
          <w:sz w:val="21"/>
          <w:szCs w:val="21"/>
        </w:rPr>
        <w:t>Figure 2 shows the top five countries with the most number of students enrolled in Australian offshore programs over the last six years from 2011 up to 2017. These top countries represent the location of institutions where students studied and not necessarily the nationalities of those students. For example, around 20 per cent of students undertaking Australian university programs in Singa</w:t>
      </w:r>
      <w:bookmarkStart w:id="0" w:name="_GoBack"/>
      <w:bookmarkEnd w:id="0"/>
      <w:r w:rsidRPr="000D1E24">
        <w:rPr>
          <w:rFonts w:cstheme="minorHAnsi"/>
          <w:color w:val="000000" w:themeColor="text1"/>
          <w:sz w:val="21"/>
          <w:szCs w:val="21"/>
        </w:rPr>
        <w:t>pore were not permanent residents of Singapore.</w:t>
      </w:r>
    </w:p>
    <w:p w:rsidR="0032018A" w:rsidRPr="000D1E24" w:rsidRDefault="0032018A" w:rsidP="0032018A">
      <w:pPr>
        <w:ind w:left="-993"/>
        <w:rPr>
          <w:rFonts w:cstheme="minorHAnsi"/>
          <w:b/>
          <w:color w:val="000000" w:themeColor="text1"/>
          <w:sz w:val="21"/>
          <w:szCs w:val="21"/>
        </w:rPr>
      </w:pPr>
      <w:r w:rsidRPr="000D1E24">
        <w:rPr>
          <w:rFonts w:cstheme="minorHAnsi"/>
          <w:b/>
          <w:color w:val="000000" w:themeColor="text1"/>
          <w:sz w:val="21"/>
          <w:szCs w:val="21"/>
        </w:rPr>
        <w:t>Type of attendance</w:t>
      </w:r>
    </w:p>
    <w:p w:rsidR="0032018A" w:rsidRPr="0032018A" w:rsidRDefault="0032018A" w:rsidP="0032018A">
      <w:pPr>
        <w:ind w:left="-993"/>
        <w:rPr>
          <w:lang w:eastAsia="en-AU"/>
        </w:rPr>
      </w:pPr>
      <w:r w:rsidRPr="000D1E24">
        <w:rPr>
          <w:rFonts w:cstheme="minorHAnsi"/>
          <w:color w:val="000000" w:themeColor="text1"/>
          <w:sz w:val="21"/>
          <w:szCs w:val="21"/>
        </w:rPr>
        <w:t xml:space="preserve">While onshore international students are primarily full time students, only 76% of offshore students studied full time in </w:t>
      </w:r>
      <w:r w:rsidR="00533DEF">
        <w:rPr>
          <w:rFonts w:cstheme="minorHAnsi"/>
          <w:color w:val="000000" w:themeColor="text1"/>
          <w:sz w:val="21"/>
          <w:szCs w:val="21"/>
        </w:rPr>
        <w:t>2</w:t>
      </w:r>
      <w:r w:rsidRPr="000D1E24">
        <w:rPr>
          <w:rFonts w:cstheme="minorHAnsi"/>
          <w:color w:val="000000" w:themeColor="text1"/>
          <w:sz w:val="21"/>
          <w:szCs w:val="21"/>
        </w:rPr>
        <w:t>017.</w:t>
      </w:r>
    </w:p>
    <w:sectPr w:rsidR="0032018A" w:rsidRPr="0032018A" w:rsidSect="0032018A">
      <w:type w:val="continuous"/>
      <w:pgSz w:w="11906" w:h="16838"/>
      <w:pgMar w:top="1134" w:right="127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FDA" w:rsidRDefault="00EE7FDA" w:rsidP="00EE7FDA">
      <w:pPr>
        <w:spacing w:after="0" w:line="240" w:lineRule="auto"/>
      </w:pPr>
      <w:r>
        <w:separator/>
      </w:r>
    </w:p>
  </w:endnote>
  <w:endnote w:type="continuationSeparator" w:id="0">
    <w:p w:rsidR="00EE7FDA" w:rsidRDefault="00EE7FDA" w:rsidP="00EE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18A" w:rsidRDefault="0032018A" w:rsidP="0032018A">
    <w:pPr>
      <w:pStyle w:val="FootnoteText"/>
      <w:spacing w:before="0"/>
      <w:ind w:left="-426"/>
      <w:rPr>
        <w:rFonts w:cstheme="minorHAnsi"/>
        <w:sz w:val="16"/>
      </w:rPr>
    </w:pPr>
    <w:r w:rsidRPr="0042079F">
      <w:rPr>
        <w:rStyle w:val="FootnoteReference"/>
        <w:rFonts w:cstheme="minorHAnsi"/>
        <w:sz w:val="16"/>
      </w:rPr>
      <w:footnoteRef/>
    </w:r>
    <w:r w:rsidRPr="0042079F">
      <w:rPr>
        <w:rFonts w:cstheme="minorHAnsi"/>
        <w:sz w:val="16"/>
      </w:rPr>
      <w:t xml:space="preserve"> </w:t>
    </w:r>
    <w:r>
      <w:rPr>
        <w:rFonts w:cstheme="minorHAnsi"/>
        <w:sz w:val="16"/>
      </w:rPr>
      <w:t>Curtin University (Malaysia, Singapore &amp; UAE), James Cook University (Singapore), Monash University (India, Italy, Malaysia &amp; South Africa) Murdoch University (Singapore &amp; UAE), University of Newcastle (Singapore), University of Wollongong (UAE), RMIT University (Vietnam x 2), Swinburne University (Malaysia).</w:t>
    </w:r>
  </w:p>
  <w:p w:rsidR="0032018A" w:rsidRPr="003C56FB" w:rsidRDefault="0032018A" w:rsidP="0032018A">
    <w:pPr>
      <w:pStyle w:val="FootnoteText"/>
      <w:spacing w:before="0"/>
      <w:ind w:left="-426"/>
      <w:rPr>
        <w:rFonts w:cstheme="minorHAnsi"/>
        <w:sz w:val="16"/>
      </w:rPr>
    </w:pPr>
    <w:r w:rsidRPr="003C56FB">
      <w:rPr>
        <w:rFonts w:cstheme="minorHAnsi"/>
        <w:sz w:val="16"/>
        <w:vertAlign w:val="superscript"/>
      </w:rPr>
      <w:t>2</w:t>
    </w:r>
    <w:r>
      <w:rPr>
        <w:rFonts w:cstheme="minorHAnsi"/>
        <w:sz w:val="16"/>
        <w:vertAlign w:val="superscript"/>
      </w:rPr>
      <w:t xml:space="preserve"> </w:t>
    </w:r>
    <w:r>
      <w:rPr>
        <w:rFonts w:cstheme="minorHAnsi"/>
        <w:sz w:val="16"/>
      </w:rPr>
      <w:t>Offshore students are students reported with ‘Term-residence’ other than Australia.</w:t>
    </w:r>
  </w:p>
  <w:p w:rsidR="0032018A" w:rsidRPr="00015A23" w:rsidRDefault="0032018A" w:rsidP="0032018A">
    <w:pPr>
      <w:pStyle w:val="Footer"/>
      <w:spacing w:before="0"/>
      <w:rPr>
        <w:rFonts w:asciiTheme="minorHAnsi" w:hAnsiTheme="minorHAnsi" w:cstheme="minorHAnsi"/>
        <w:sz w:val="6"/>
        <w:szCs w:val="16"/>
      </w:rPr>
    </w:pPr>
  </w:p>
  <w:p w:rsidR="0032018A" w:rsidRPr="0032018A" w:rsidRDefault="0032018A" w:rsidP="0032018A">
    <w:pPr>
      <w:pStyle w:val="Footer"/>
      <w:spacing w:before="0"/>
      <w:ind w:left="-425"/>
      <w:rPr>
        <w:rFonts w:asciiTheme="minorHAnsi" w:hAnsiTheme="minorHAnsi" w:cstheme="minorHAnsi"/>
        <w:sz w:val="16"/>
        <w:szCs w:val="16"/>
      </w:rPr>
    </w:pPr>
    <w:r w:rsidRPr="00393030">
      <w:rPr>
        <w:rFonts w:asciiTheme="minorHAnsi" w:hAnsiTheme="minorHAnsi" w:cstheme="minorHAnsi"/>
        <w:sz w:val="16"/>
        <w:szCs w:val="16"/>
      </w:rPr>
      <w:t xml:space="preserve">For further information about this </w:t>
    </w:r>
    <w:r>
      <w:rPr>
        <w:rFonts w:asciiTheme="minorHAnsi" w:hAnsiTheme="minorHAnsi" w:cstheme="minorHAnsi"/>
        <w:sz w:val="16"/>
        <w:szCs w:val="16"/>
      </w:rPr>
      <w:t xml:space="preserve">Research Snapshot series contact the International Research and Analysis Unit by email: </w:t>
    </w:r>
    <w:hyperlink r:id="rId1" w:history="1">
      <w:r w:rsidRPr="00AA65AE">
        <w:rPr>
          <w:rStyle w:val="Hyperlink"/>
          <w:rFonts w:asciiTheme="minorHAnsi" w:hAnsiTheme="minorHAnsi" w:cstheme="minorHAnsi"/>
          <w:sz w:val="16"/>
          <w:szCs w:val="16"/>
        </w:rPr>
        <w:t>IEResearch@education.gov.au</w:t>
      </w:r>
    </w:hyperlink>
    <w:r>
      <w:rPr>
        <w:rFonts w:asciiTheme="minorHAnsi" w:hAnsiTheme="minorHAnsi" w:cstheme="minorHAnsi"/>
        <w:sz w:val="16"/>
        <w:szCs w:val="16"/>
      </w:rPr>
      <w:t xml:space="preserve">.The Research Snapshot series can be accessed from </w:t>
    </w:r>
    <w:hyperlink r:id="rId2" w:history="1">
      <w:r w:rsidRPr="00AA65AE">
        <w:rPr>
          <w:rStyle w:val="Hyperlink"/>
          <w:rFonts w:asciiTheme="minorHAnsi" w:hAnsiTheme="minorHAnsi" w:cstheme="minorHAnsi"/>
          <w:sz w:val="16"/>
          <w:szCs w:val="16"/>
        </w:rPr>
        <w:t>https://internationaleducation.gov.au/research/pages/data-and-research.aspx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FDA" w:rsidRDefault="00EE7FDA" w:rsidP="00D105E6">
      <w:pPr>
        <w:spacing w:line="240" w:lineRule="auto"/>
      </w:pPr>
      <w:r>
        <w:separator/>
      </w:r>
    </w:p>
  </w:footnote>
  <w:footnote w:type="continuationSeparator" w:id="0">
    <w:p w:rsidR="00EE7FDA" w:rsidRDefault="00EE7FDA" w:rsidP="00EE7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DE8791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1B58880C"/>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31AB0BE"/>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56A0C43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0EC04D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0E88FD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720D48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942D5C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CE1212"/>
    <w:multiLevelType w:val="multilevel"/>
    <w:tmpl w:val="13003D80"/>
    <w:numStyleLink w:val="RSCBNumberList1"/>
  </w:abstractNum>
  <w:abstractNum w:abstractNumId="9" w15:restartNumberingAfterBreak="0">
    <w:nsid w:val="0BE176C9"/>
    <w:multiLevelType w:val="multilevel"/>
    <w:tmpl w:val="11A8BA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8E18E5"/>
    <w:multiLevelType w:val="multilevel"/>
    <w:tmpl w:val="13003D80"/>
    <w:numStyleLink w:val="RSCBNumberList1"/>
  </w:abstractNum>
  <w:abstractNum w:abstractNumId="11" w15:restartNumberingAfterBreak="0">
    <w:nsid w:val="123E0A03"/>
    <w:multiLevelType w:val="multilevel"/>
    <w:tmpl w:val="13003D80"/>
    <w:numStyleLink w:val="RSCBNumberList1"/>
  </w:abstractNum>
  <w:abstractNum w:abstractNumId="12" w15:restartNumberingAfterBreak="0">
    <w:nsid w:val="13CE6DD1"/>
    <w:multiLevelType w:val="multilevel"/>
    <w:tmpl w:val="13003D80"/>
    <w:numStyleLink w:val="RSCBNumberList1"/>
  </w:abstractNum>
  <w:abstractNum w:abstractNumId="13" w15:restartNumberingAfterBreak="0">
    <w:nsid w:val="14787F8A"/>
    <w:multiLevelType w:val="multilevel"/>
    <w:tmpl w:val="13003D80"/>
    <w:numStyleLink w:val="RSCBNumberList1"/>
  </w:abstractNum>
  <w:abstractNum w:abstractNumId="14" w15:restartNumberingAfterBreak="0">
    <w:nsid w:val="172935CE"/>
    <w:multiLevelType w:val="multilevel"/>
    <w:tmpl w:val="13003D80"/>
    <w:numStyleLink w:val="RSCBNumberList1"/>
  </w:abstractNum>
  <w:abstractNum w:abstractNumId="15" w15:restartNumberingAfterBreak="0">
    <w:nsid w:val="183B3472"/>
    <w:multiLevelType w:val="multilevel"/>
    <w:tmpl w:val="13003D80"/>
    <w:numStyleLink w:val="RSCBNumberList1"/>
  </w:abstractNum>
  <w:abstractNum w:abstractNumId="16" w15:restartNumberingAfterBreak="0">
    <w:nsid w:val="183E2EB0"/>
    <w:multiLevelType w:val="multilevel"/>
    <w:tmpl w:val="13003D80"/>
    <w:numStyleLink w:val="RSCBNumberList1"/>
  </w:abstractNum>
  <w:abstractNum w:abstractNumId="17" w15:restartNumberingAfterBreak="0">
    <w:nsid w:val="1C4B1F18"/>
    <w:multiLevelType w:val="multilevel"/>
    <w:tmpl w:val="13003D80"/>
    <w:numStyleLink w:val="RSCBNumberList1"/>
  </w:abstractNum>
  <w:abstractNum w:abstractNumId="18" w15:restartNumberingAfterBreak="0">
    <w:nsid w:val="1E8224E2"/>
    <w:multiLevelType w:val="multilevel"/>
    <w:tmpl w:val="9AAADADC"/>
    <w:numStyleLink w:val="Style1"/>
  </w:abstractNum>
  <w:abstractNum w:abstractNumId="19" w15:restartNumberingAfterBreak="0">
    <w:nsid w:val="22BE0D51"/>
    <w:multiLevelType w:val="multilevel"/>
    <w:tmpl w:val="13003D80"/>
    <w:numStyleLink w:val="RSCBNumberList1"/>
  </w:abstractNum>
  <w:abstractNum w:abstractNumId="20" w15:restartNumberingAfterBreak="0">
    <w:nsid w:val="230B0B81"/>
    <w:multiLevelType w:val="multilevel"/>
    <w:tmpl w:val="4330073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6D03546"/>
    <w:multiLevelType w:val="multilevel"/>
    <w:tmpl w:val="13003D80"/>
    <w:numStyleLink w:val="RSCBNumberList1"/>
  </w:abstractNum>
  <w:abstractNum w:abstractNumId="22" w15:restartNumberingAfterBreak="0">
    <w:nsid w:val="26DE56D5"/>
    <w:multiLevelType w:val="multilevel"/>
    <w:tmpl w:val="13003D80"/>
    <w:numStyleLink w:val="RSCBNumberList1"/>
  </w:abstractNum>
  <w:abstractNum w:abstractNumId="23" w15:restartNumberingAfterBreak="0">
    <w:nsid w:val="33AD3028"/>
    <w:multiLevelType w:val="multilevel"/>
    <w:tmpl w:val="13003D80"/>
    <w:numStyleLink w:val="RSCBNumberList1"/>
  </w:abstractNum>
  <w:abstractNum w:abstractNumId="24" w15:restartNumberingAfterBreak="0">
    <w:nsid w:val="360770A9"/>
    <w:multiLevelType w:val="multilevel"/>
    <w:tmpl w:val="13003D80"/>
    <w:numStyleLink w:val="RSCBNumberList1"/>
  </w:abstractNum>
  <w:abstractNum w:abstractNumId="25" w15:restartNumberingAfterBreak="0">
    <w:nsid w:val="3E8067AC"/>
    <w:multiLevelType w:val="multilevel"/>
    <w:tmpl w:val="13003D80"/>
    <w:numStyleLink w:val="RSCBNumberList1"/>
  </w:abstractNum>
  <w:abstractNum w:abstractNumId="26" w15:restartNumberingAfterBreak="0">
    <w:nsid w:val="3F81732B"/>
    <w:multiLevelType w:val="multilevel"/>
    <w:tmpl w:val="13003D80"/>
    <w:numStyleLink w:val="RSCBNumberList1"/>
  </w:abstractNum>
  <w:abstractNum w:abstractNumId="27" w15:restartNumberingAfterBreak="0">
    <w:nsid w:val="3F863C35"/>
    <w:multiLevelType w:val="multilevel"/>
    <w:tmpl w:val="13003D80"/>
    <w:styleLink w:val="RSCBNumberList1"/>
    <w:lvl w:ilvl="0">
      <w:start w:val="1"/>
      <w:numFmt w:val="decimal"/>
      <w:pStyle w:val="ListNumber"/>
      <w:lvlText w:val="%1."/>
      <w:lvlJc w:val="left"/>
      <w:pPr>
        <w:ind w:left="284" w:hanging="284"/>
      </w:pPr>
      <w:rPr>
        <w:rFonts w:hint="default"/>
      </w:rPr>
    </w:lvl>
    <w:lvl w:ilvl="1">
      <w:start w:val="1"/>
      <w:numFmt w:val="decimal"/>
      <w:pStyle w:val="ListNumber2"/>
      <w:lvlText w:val="%2.%1."/>
      <w:lvlJc w:val="left"/>
      <w:pPr>
        <w:tabs>
          <w:tab w:val="num" w:pos="737"/>
        </w:tabs>
        <w:ind w:left="737" w:hanging="453"/>
      </w:pPr>
      <w:rPr>
        <w:rFonts w:hint="default"/>
      </w:rPr>
    </w:lvl>
    <w:lvl w:ilvl="2">
      <w:start w:val="1"/>
      <w:numFmt w:val="decimal"/>
      <w:pStyle w:val="ListNumber3"/>
      <w:lvlText w:val="%1.%2.%3."/>
      <w:lvlJc w:val="left"/>
      <w:pPr>
        <w:tabs>
          <w:tab w:val="num" w:pos="1361"/>
        </w:tabs>
        <w:ind w:left="1361" w:hanging="624"/>
      </w:pPr>
      <w:rPr>
        <w:rFonts w:hint="default"/>
      </w:rPr>
    </w:lvl>
    <w:lvl w:ilvl="3">
      <w:start w:val="1"/>
      <w:numFmt w:val="decimal"/>
      <w:pStyle w:val="ListNumber4"/>
      <w:lvlText w:val="%1.%2.%3.%4."/>
      <w:lvlJc w:val="left"/>
      <w:pPr>
        <w:tabs>
          <w:tab w:val="num" w:pos="2155"/>
        </w:tabs>
        <w:ind w:left="2155" w:hanging="79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8" w15:restartNumberingAfterBreak="0">
    <w:nsid w:val="45505B52"/>
    <w:multiLevelType w:val="multilevel"/>
    <w:tmpl w:val="13003D80"/>
    <w:numStyleLink w:val="RSCBNumberList1"/>
  </w:abstractNum>
  <w:abstractNum w:abstractNumId="29" w15:restartNumberingAfterBreak="0">
    <w:nsid w:val="4D3E7BEE"/>
    <w:multiLevelType w:val="multilevel"/>
    <w:tmpl w:val="13003D80"/>
    <w:numStyleLink w:val="RSCBNumberList1"/>
  </w:abstractNum>
  <w:abstractNum w:abstractNumId="30" w15:restartNumberingAfterBreak="0">
    <w:nsid w:val="4DEF0367"/>
    <w:multiLevelType w:val="multilevel"/>
    <w:tmpl w:val="13003D80"/>
    <w:numStyleLink w:val="RSCBNumberList1"/>
  </w:abstractNum>
  <w:abstractNum w:abstractNumId="31" w15:restartNumberingAfterBreak="0">
    <w:nsid w:val="50562F09"/>
    <w:multiLevelType w:val="multilevel"/>
    <w:tmpl w:val="13003D80"/>
    <w:numStyleLink w:val="RSCBNumberList1"/>
  </w:abstractNum>
  <w:abstractNum w:abstractNumId="32" w15:restartNumberingAfterBreak="0">
    <w:nsid w:val="50772C17"/>
    <w:multiLevelType w:val="multilevel"/>
    <w:tmpl w:val="13003D80"/>
    <w:numStyleLink w:val="RSCBNumberList1"/>
  </w:abstractNum>
  <w:abstractNum w:abstractNumId="33" w15:restartNumberingAfterBreak="0">
    <w:nsid w:val="511725BE"/>
    <w:multiLevelType w:val="multilevel"/>
    <w:tmpl w:val="13003D80"/>
    <w:numStyleLink w:val="RSCBNumberList1"/>
  </w:abstractNum>
  <w:abstractNum w:abstractNumId="34" w15:restartNumberingAfterBreak="0">
    <w:nsid w:val="51B8547F"/>
    <w:multiLevelType w:val="multilevel"/>
    <w:tmpl w:val="13003D80"/>
    <w:numStyleLink w:val="RSCBNumberList1"/>
  </w:abstractNum>
  <w:abstractNum w:abstractNumId="35" w15:restartNumberingAfterBreak="0">
    <w:nsid w:val="571F1AB0"/>
    <w:multiLevelType w:val="multilevel"/>
    <w:tmpl w:val="13003D80"/>
    <w:numStyleLink w:val="RSCBNumberList1"/>
  </w:abstractNum>
  <w:abstractNum w:abstractNumId="36" w15:restartNumberingAfterBreak="0">
    <w:nsid w:val="57842B7B"/>
    <w:multiLevelType w:val="multilevel"/>
    <w:tmpl w:val="86CA58B2"/>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DD04F5"/>
    <w:multiLevelType w:val="multilevel"/>
    <w:tmpl w:val="13003D80"/>
    <w:numStyleLink w:val="RSCBNumberList1"/>
  </w:abstractNum>
  <w:abstractNum w:abstractNumId="38" w15:restartNumberingAfterBreak="0">
    <w:nsid w:val="58AB69F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10256A2"/>
    <w:multiLevelType w:val="multilevel"/>
    <w:tmpl w:val="13003D80"/>
    <w:numStyleLink w:val="RSCBNumberList1"/>
  </w:abstractNum>
  <w:abstractNum w:abstractNumId="40" w15:restartNumberingAfterBreak="0">
    <w:nsid w:val="68C47B32"/>
    <w:multiLevelType w:val="multilevel"/>
    <w:tmpl w:val="13003D80"/>
    <w:numStyleLink w:val="RSCBNumberList1"/>
  </w:abstractNum>
  <w:abstractNum w:abstractNumId="41" w15:restartNumberingAfterBreak="0">
    <w:nsid w:val="698F5734"/>
    <w:multiLevelType w:val="multilevel"/>
    <w:tmpl w:val="13003D80"/>
    <w:numStyleLink w:val="RSCBNumberList1"/>
  </w:abstractNum>
  <w:abstractNum w:abstractNumId="42" w15:restartNumberingAfterBreak="0">
    <w:nsid w:val="69C447DD"/>
    <w:multiLevelType w:val="multilevel"/>
    <w:tmpl w:val="9AAADADC"/>
    <w:styleLink w:val="Style1"/>
    <w:lvl w:ilvl="0">
      <w:start w:val="1"/>
      <w:numFmt w:val="bullet"/>
      <w:pStyle w:val="ListBullet"/>
      <w:lvlText w:val=""/>
      <w:lvlJc w:val="left"/>
      <w:pPr>
        <w:tabs>
          <w:tab w:val="num" w:pos="284"/>
        </w:tabs>
        <w:ind w:left="284" w:hanging="284"/>
      </w:pPr>
      <w:rPr>
        <w:rFonts w:ascii="Symbol" w:hAnsi="Symbol" w:hint="default"/>
      </w:rPr>
    </w:lvl>
    <w:lvl w:ilvl="1">
      <w:start w:val="1"/>
      <w:numFmt w:val="bullet"/>
      <w:pStyle w:val="ListBullet2"/>
      <w:lvlText w:val="o"/>
      <w:lvlJc w:val="left"/>
      <w:pPr>
        <w:tabs>
          <w:tab w:val="num" w:pos="567"/>
        </w:tabs>
        <w:ind w:left="567" w:hanging="283"/>
      </w:pPr>
      <w:rPr>
        <w:rFonts w:ascii="Courier New" w:hAnsi="Courier New" w:hint="default"/>
      </w:rPr>
    </w:lvl>
    <w:lvl w:ilvl="2">
      <w:start w:val="1"/>
      <w:numFmt w:val="bullet"/>
      <w:pStyle w:val="ListBullet3"/>
      <w:lvlText w:val=""/>
      <w:lvlJc w:val="left"/>
      <w:pPr>
        <w:tabs>
          <w:tab w:val="num" w:pos="851"/>
        </w:tabs>
        <w:ind w:left="851" w:hanging="284"/>
      </w:pPr>
      <w:rPr>
        <w:rFonts w:ascii="Wingdings" w:hAnsi="Wingdings" w:hint="default"/>
        <w:position w:val="-4"/>
        <w:sz w:val="28"/>
      </w:rPr>
    </w:lvl>
    <w:lvl w:ilvl="3">
      <w:start w:val="1"/>
      <w:numFmt w:val="bullet"/>
      <w:pStyle w:val="ListBullet4"/>
      <w:lvlText w:val=""/>
      <w:lvlJc w:val="left"/>
      <w:pPr>
        <w:tabs>
          <w:tab w:val="num" w:pos="1134"/>
        </w:tabs>
        <w:ind w:left="1134" w:hanging="283"/>
      </w:pPr>
      <w:rPr>
        <w:rFonts w:ascii="Wingdings 2" w:hAnsi="Wingdings 2" w:hint="default"/>
        <w:position w:val="2"/>
        <w:sz w:val="1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E8B1BC7"/>
    <w:multiLevelType w:val="multilevel"/>
    <w:tmpl w:val="13003D80"/>
    <w:numStyleLink w:val="RSCBNumberList1"/>
  </w:abstractNum>
  <w:abstractNum w:abstractNumId="44" w15:restartNumberingAfterBreak="0">
    <w:nsid w:val="73CA695E"/>
    <w:multiLevelType w:val="multilevel"/>
    <w:tmpl w:val="13003D80"/>
    <w:numStyleLink w:val="RSCBNumberList1"/>
  </w:abstractNum>
  <w:abstractNum w:abstractNumId="45" w15:restartNumberingAfterBreak="0">
    <w:nsid w:val="75E93F69"/>
    <w:multiLevelType w:val="multilevel"/>
    <w:tmpl w:val="13003D80"/>
    <w:numStyleLink w:val="RSCBNumberList1"/>
  </w:abstractNum>
  <w:abstractNum w:abstractNumId="46" w15:restartNumberingAfterBreak="0">
    <w:nsid w:val="77C33E78"/>
    <w:multiLevelType w:val="multilevel"/>
    <w:tmpl w:val="13003D80"/>
    <w:numStyleLink w:val="RSCBNumberList1"/>
  </w:abstractNum>
  <w:abstractNum w:abstractNumId="47" w15:restartNumberingAfterBreak="0">
    <w:nsid w:val="78761E8E"/>
    <w:multiLevelType w:val="multilevel"/>
    <w:tmpl w:val="13003D80"/>
    <w:numStyleLink w:val="RSCBNumberList1"/>
  </w:abstractNum>
  <w:num w:numId="1">
    <w:abstractNumId w:val="7"/>
  </w:num>
  <w:num w:numId="2">
    <w:abstractNumId w:val="5"/>
  </w:num>
  <w:num w:numId="3">
    <w:abstractNumId w:val="6"/>
  </w:num>
  <w:num w:numId="4">
    <w:abstractNumId w:val="2"/>
  </w:num>
  <w:num w:numId="5">
    <w:abstractNumId w:val="36"/>
  </w:num>
  <w:num w:numId="6">
    <w:abstractNumId w:val="1"/>
  </w:num>
  <w:num w:numId="7">
    <w:abstractNumId w:val="0"/>
  </w:num>
  <w:num w:numId="8">
    <w:abstractNumId w:val="4"/>
  </w:num>
  <w:num w:numId="9">
    <w:abstractNumId w:val="3"/>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8"/>
  </w:num>
  <w:num w:numId="14">
    <w:abstractNumId w:val="26"/>
  </w:num>
  <w:num w:numId="15">
    <w:abstractNumId w:val="14"/>
  </w:num>
  <w:num w:numId="16">
    <w:abstractNumId w:val="38"/>
  </w:num>
  <w:num w:numId="17">
    <w:abstractNumId w:val="19"/>
  </w:num>
  <w:num w:numId="18">
    <w:abstractNumId w:val="13"/>
  </w:num>
  <w:num w:numId="19">
    <w:abstractNumId w:val="46"/>
  </w:num>
  <w:num w:numId="20">
    <w:abstractNumId w:val="10"/>
  </w:num>
  <w:num w:numId="21">
    <w:abstractNumId w:val="41"/>
  </w:num>
  <w:num w:numId="22">
    <w:abstractNumId w:val="17"/>
  </w:num>
  <w:num w:numId="23">
    <w:abstractNumId w:val="21"/>
  </w:num>
  <w:num w:numId="24">
    <w:abstractNumId w:val="32"/>
  </w:num>
  <w:num w:numId="25">
    <w:abstractNumId w:val="11"/>
  </w:num>
  <w:num w:numId="26">
    <w:abstractNumId w:val="28"/>
  </w:num>
  <w:num w:numId="27">
    <w:abstractNumId w:val="30"/>
  </w:num>
  <w:num w:numId="28">
    <w:abstractNumId w:val="22"/>
  </w:num>
  <w:num w:numId="29">
    <w:abstractNumId w:val="16"/>
  </w:num>
  <w:num w:numId="30">
    <w:abstractNumId w:val="40"/>
  </w:num>
  <w:num w:numId="31">
    <w:abstractNumId w:val="47"/>
  </w:num>
  <w:num w:numId="32">
    <w:abstractNumId w:val="12"/>
  </w:num>
  <w:num w:numId="33">
    <w:abstractNumId w:val="45"/>
  </w:num>
  <w:num w:numId="34">
    <w:abstractNumId w:val="33"/>
  </w:num>
  <w:num w:numId="35">
    <w:abstractNumId w:val="43"/>
  </w:num>
  <w:num w:numId="36">
    <w:abstractNumId w:val="44"/>
  </w:num>
  <w:num w:numId="37">
    <w:abstractNumId w:val="15"/>
  </w:num>
  <w:num w:numId="38">
    <w:abstractNumId w:val="23"/>
  </w:num>
  <w:num w:numId="39">
    <w:abstractNumId w:val="31"/>
  </w:num>
  <w:num w:numId="40">
    <w:abstractNumId w:val="35"/>
  </w:num>
  <w:num w:numId="41">
    <w:abstractNumId w:val="24"/>
  </w:num>
  <w:num w:numId="42">
    <w:abstractNumId w:val="25"/>
  </w:num>
  <w:num w:numId="43">
    <w:abstractNumId w:val="39"/>
  </w:num>
  <w:num w:numId="44">
    <w:abstractNumId w:val="29"/>
  </w:num>
  <w:num w:numId="45">
    <w:abstractNumId w:val="37"/>
  </w:num>
  <w:num w:numId="46">
    <w:abstractNumId w:val="42"/>
  </w:num>
  <w:num w:numId="47">
    <w:abstractNumId w:val="18"/>
  </w:num>
  <w:num w:numId="48">
    <w:abstractNumId w:val="9"/>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B8"/>
    <w:rsid w:val="00011BA5"/>
    <w:rsid w:val="00037765"/>
    <w:rsid w:val="0009541A"/>
    <w:rsid w:val="000A68B6"/>
    <w:rsid w:val="000D685F"/>
    <w:rsid w:val="000D7DAF"/>
    <w:rsid w:val="001043EB"/>
    <w:rsid w:val="0016510A"/>
    <w:rsid w:val="00195EF0"/>
    <w:rsid w:val="001B6D04"/>
    <w:rsid w:val="001C3386"/>
    <w:rsid w:val="001C6347"/>
    <w:rsid w:val="001F444A"/>
    <w:rsid w:val="001F7332"/>
    <w:rsid w:val="00257065"/>
    <w:rsid w:val="002678F4"/>
    <w:rsid w:val="00316088"/>
    <w:rsid w:val="0032018A"/>
    <w:rsid w:val="00331E8C"/>
    <w:rsid w:val="003530A6"/>
    <w:rsid w:val="003E21F8"/>
    <w:rsid w:val="00402E08"/>
    <w:rsid w:val="004460BE"/>
    <w:rsid w:val="0046637C"/>
    <w:rsid w:val="004D00B2"/>
    <w:rsid w:val="00533DEF"/>
    <w:rsid w:val="005565B8"/>
    <w:rsid w:val="005725B2"/>
    <w:rsid w:val="00575DFC"/>
    <w:rsid w:val="00586EA4"/>
    <w:rsid w:val="006239D5"/>
    <w:rsid w:val="00657B92"/>
    <w:rsid w:val="00774BA7"/>
    <w:rsid w:val="007C3044"/>
    <w:rsid w:val="00813629"/>
    <w:rsid w:val="008447BA"/>
    <w:rsid w:val="008F24CE"/>
    <w:rsid w:val="00973379"/>
    <w:rsid w:val="00997BE6"/>
    <w:rsid w:val="009D079F"/>
    <w:rsid w:val="009E2AC0"/>
    <w:rsid w:val="00A31085"/>
    <w:rsid w:val="00A34D39"/>
    <w:rsid w:val="00A513A6"/>
    <w:rsid w:val="00A74FD2"/>
    <w:rsid w:val="00A81FB9"/>
    <w:rsid w:val="00A82BDB"/>
    <w:rsid w:val="00AA03F6"/>
    <w:rsid w:val="00B20529"/>
    <w:rsid w:val="00B5251F"/>
    <w:rsid w:val="00B81A68"/>
    <w:rsid w:val="00BB57FE"/>
    <w:rsid w:val="00BE54EE"/>
    <w:rsid w:val="00BF7BDF"/>
    <w:rsid w:val="00C00B5F"/>
    <w:rsid w:val="00C66B71"/>
    <w:rsid w:val="00C74084"/>
    <w:rsid w:val="00D105E6"/>
    <w:rsid w:val="00D569FA"/>
    <w:rsid w:val="00D910F9"/>
    <w:rsid w:val="00DA46BB"/>
    <w:rsid w:val="00DE1663"/>
    <w:rsid w:val="00E00F51"/>
    <w:rsid w:val="00E10FB9"/>
    <w:rsid w:val="00EC586D"/>
    <w:rsid w:val="00EC63BF"/>
    <w:rsid w:val="00EE7FDA"/>
    <w:rsid w:val="00F121AC"/>
    <w:rsid w:val="00F23C4B"/>
    <w:rsid w:val="00F25A17"/>
    <w:rsid w:val="00F3117C"/>
    <w:rsid w:val="00FF73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FFF933"/>
  <w15:chartTrackingRefBased/>
  <w15:docId w15:val="{ADF564AE-5F47-47CF-B7BA-1DF729F5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uiPriority="9"/>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E8C"/>
    <w:pPr>
      <w:spacing w:before="60" w:after="60"/>
    </w:pPr>
    <w:rPr>
      <w:sz w:val="20"/>
    </w:rPr>
  </w:style>
  <w:style w:type="paragraph" w:styleId="Heading1">
    <w:name w:val="heading 1"/>
    <w:basedOn w:val="Normal"/>
    <w:next w:val="Normal"/>
    <w:link w:val="Heading1Char"/>
    <w:uiPriority w:val="9"/>
    <w:qFormat/>
    <w:rsid w:val="001C3386"/>
    <w:pPr>
      <w:keepNext/>
      <w:keepLines/>
      <w:spacing w:before="360" w:line="240" w:lineRule="auto"/>
      <w:outlineLvl w:val="0"/>
    </w:pPr>
    <w:rPr>
      <w:rFonts w:ascii="Calibri" w:eastAsiaTheme="majorEastAsia" w:hAnsi="Calibri" w:cstheme="majorBidi"/>
      <w:color w:val="522761"/>
      <w:sz w:val="44"/>
      <w:szCs w:val="32"/>
    </w:rPr>
  </w:style>
  <w:style w:type="paragraph" w:styleId="Heading2">
    <w:name w:val="heading 2"/>
    <w:basedOn w:val="Normal"/>
    <w:next w:val="Normal"/>
    <w:link w:val="Heading2Char"/>
    <w:uiPriority w:val="9"/>
    <w:qFormat/>
    <w:rsid w:val="001C3386"/>
    <w:pPr>
      <w:keepNext/>
      <w:keepLines/>
      <w:spacing w:before="240" w:after="0" w:line="240" w:lineRule="auto"/>
      <w:outlineLvl w:val="1"/>
    </w:pPr>
    <w:rPr>
      <w:rFonts w:ascii="Calibri" w:eastAsiaTheme="majorEastAsia" w:hAnsi="Calibri" w:cstheme="majorBidi"/>
      <w:b/>
      <w:color w:val="522761"/>
      <w:sz w:val="28"/>
      <w:szCs w:val="26"/>
    </w:rPr>
  </w:style>
  <w:style w:type="paragraph" w:styleId="Heading3">
    <w:name w:val="heading 3"/>
    <w:basedOn w:val="Normal"/>
    <w:next w:val="Normal"/>
    <w:link w:val="Heading3Char"/>
    <w:uiPriority w:val="9"/>
    <w:qFormat/>
    <w:rsid w:val="00331E8C"/>
    <w:pPr>
      <w:keepNext/>
      <w:keepLines/>
      <w:spacing w:before="12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qFormat/>
    <w:rsid w:val="00331E8C"/>
    <w:pPr>
      <w:keepNext/>
      <w:keepLines/>
      <w:spacing w:before="120" w:after="0"/>
      <w:outlineLvl w:val="3"/>
    </w:pPr>
    <w:rPr>
      <w:rFonts w:ascii="Calibri" w:eastAsiaTheme="majorEastAsia" w:hAnsi="Calibri" w:cstheme="majorBidi"/>
      <w:b/>
      <w:i/>
      <w:iCs/>
    </w:rPr>
  </w:style>
  <w:style w:type="paragraph" w:styleId="Heading5">
    <w:name w:val="heading 5"/>
    <w:basedOn w:val="Normal"/>
    <w:next w:val="Normal"/>
    <w:link w:val="Heading5Char"/>
    <w:uiPriority w:val="9"/>
    <w:rsid w:val="00813629"/>
    <w:pPr>
      <w:keepNext/>
      <w:keepLines/>
      <w:spacing w:before="40" w:after="0"/>
      <w:outlineLvl w:val="4"/>
    </w:pPr>
    <w:rPr>
      <w:rFonts w:ascii="Calibri" w:eastAsiaTheme="majorEastAsia" w:hAnsi="Calibri" w:cstheme="majorBidi"/>
      <w:b/>
      <w:color w:val="757575"/>
    </w:rPr>
  </w:style>
  <w:style w:type="paragraph" w:styleId="Heading6">
    <w:name w:val="heading 6"/>
    <w:basedOn w:val="Normal"/>
    <w:next w:val="Normal"/>
    <w:link w:val="Heading6Char"/>
    <w:uiPriority w:val="9"/>
    <w:rsid w:val="00813629"/>
    <w:pPr>
      <w:keepNext/>
      <w:keepLines/>
      <w:spacing w:before="40" w:after="0"/>
      <w:outlineLvl w:val="5"/>
    </w:pPr>
    <w:rPr>
      <w:rFonts w:ascii="Calibri" w:eastAsiaTheme="majorEastAsia" w:hAnsi="Calibri" w:cstheme="majorBidi"/>
      <w:b/>
      <w:i/>
      <w:color w:val="75757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5B8"/>
    <w:rPr>
      <w:color w:val="808080"/>
    </w:rPr>
  </w:style>
  <w:style w:type="paragraph" w:styleId="Title">
    <w:name w:val="Title"/>
    <w:basedOn w:val="Normal"/>
    <w:next w:val="Normal"/>
    <w:link w:val="TitleChar"/>
    <w:uiPriority w:val="10"/>
    <w:qFormat/>
    <w:rsid w:val="00B20529"/>
    <w:pPr>
      <w:spacing w:before="120" w:after="0" w:line="600" w:lineRule="exact"/>
      <w:contextualSpacing/>
      <w:jc w:val="right"/>
    </w:pPr>
    <w:rPr>
      <w:rFonts w:ascii="Rockwell" w:eastAsiaTheme="majorEastAsia" w:hAnsi="Rockwell" w:cstheme="majorBidi"/>
      <w:caps/>
      <w:color w:val="FFFFFF" w:themeColor="background1"/>
      <w:spacing w:val="-10"/>
      <w:kern w:val="28"/>
      <w:sz w:val="64"/>
      <w:szCs w:val="56"/>
    </w:rPr>
  </w:style>
  <w:style w:type="character" w:customStyle="1" w:styleId="TitleChar">
    <w:name w:val="Title Char"/>
    <w:basedOn w:val="DefaultParagraphFont"/>
    <w:link w:val="Title"/>
    <w:uiPriority w:val="10"/>
    <w:rsid w:val="00B20529"/>
    <w:rPr>
      <w:rFonts w:ascii="Rockwell" w:eastAsiaTheme="majorEastAsia" w:hAnsi="Rockwell" w:cstheme="majorBidi"/>
      <w:caps/>
      <w:color w:val="FFFFFF" w:themeColor="background1"/>
      <w:spacing w:val="-10"/>
      <w:kern w:val="28"/>
      <w:sz w:val="64"/>
      <w:szCs w:val="56"/>
    </w:rPr>
  </w:style>
  <w:style w:type="paragraph" w:customStyle="1" w:styleId="InstructionText">
    <w:name w:val="Instruction Text"/>
    <w:basedOn w:val="Normal"/>
    <w:rsid w:val="00A82BDB"/>
    <w:pPr>
      <w:spacing w:after="200" w:line="240" w:lineRule="auto"/>
    </w:pPr>
    <w:rPr>
      <w:color w:val="7030A0"/>
    </w:rPr>
  </w:style>
  <w:style w:type="character" w:customStyle="1" w:styleId="Heading1Char">
    <w:name w:val="Heading 1 Char"/>
    <w:basedOn w:val="DefaultParagraphFont"/>
    <w:link w:val="Heading1"/>
    <w:uiPriority w:val="9"/>
    <w:rsid w:val="001C3386"/>
    <w:rPr>
      <w:rFonts w:ascii="Calibri" w:eastAsiaTheme="majorEastAsia" w:hAnsi="Calibri" w:cstheme="majorBidi"/>
      <w:color w:val="522761"/>
      <w:sz w:val="44"/>
      <w:szCs w:val="32"/>
    </w:rPr>
  </w:style>
  <w:style w:type="character" w:customStyle="1" w:styleId="Heading2Char">
    <w:name w:val="Heading 2 Char"/>
    <w:basedOn w:val="DefaultParagraphFont"/>
    <w:link w:val="Heading2"/>
    <w:uiPriority w:val="9"/>
    <w:rsid w:val="001C3386"/>
    <w:rPr>
      <w:rFonts w:ascii="Calibri" w:eastAsiaTheme="majorEastAsia" w:hAnsi="Calibri" w:cstheme="majorBidi"/>
      <w:b/>
      <w:color w:val="522761"/>
      <w:sz w:val="28"/>
      <w:szCs w:val="26"/>
    </w:rPr>
  </w:style>
  <w:style w:type="character" w:customStyle="1" w:styleId="Heading3Char">
    <w:name w:val="Heading 3 Char"/>
    <w:basedOn w:val="DefaultParagraphFont"/>
    <w:link w:val="Heading3"/>
    <w:uiPriority w:val="9"/>
    <w:rsid w:val="00331E8C"/>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331E8C"/>
    <w:rPr>
      <w:rFonts w:ascii="Calibri" w:eastAsiaTheme="majorEastAsia" w:hAnsi="Calibri" w:cstheme="majorBidi"/>
      <w:b/>
      <w:i/>
      <w:iCs/>
      <w:sz w:val="20"/>
    </w:rPr>
  </w:style>
  <w:style w:type="paragraph" w:styleId="ListNumber">
    <w:name w:val="List Number"/>
    <w:basedOn w:val="Normal"/>
    <w:uiPriority w:val="99"/>
    <w:qFormat/>
    <w:rsid w:val="00A513A6"/>
    <w:pPr>
      <w:numPr>
        <w:numId w:val="45"/>
      </w:numPr>
      <w:tabs>
        <w:tab w:val="left" w:pos="284"/>
        <w:tab w:val="left" w:pos="567"/>
        <w:tab w:val="left" w:pos="851"/>
        <w:tab w:val="left" w:pos="1134"/>
      </w:tabs>
      <w:contextualSpacing/>
    </w:pPr>
  </w:style>
  <w:style w:type="paragraph" w:styleId="ListNumber2">
    <w:name w:val="List Number 2"/>
    <w:basedOn w:val="Normal"/>
    <w:uiPriority w:val="99"/>
    <w:qFormat/>
    <w:rsid w:val="00A513A6"/>
    <w:pPr>
      <w:numPr>
        <w:ilvl w:val="1"/>
        <w:numId w:val="45"/>
      </w:numPr>
      <w:contextualSpacing/>
    </w:pPr>
  </w:style>
  <w:style w:type="paragraph" w:styleId="ListBullet">
    <w:name w:val="List Bullet"/>
    <w:basedOn w:val="Normal"/>
    <w:uiPriority w:val="99"/>
    <w:qFormat/>
    <w:rsid w:val="00316088"/>
    <w:pPr>
      <w:numPr>
        <w:numId w:val="47"/>
      </w:numPr>
      <w:contextualSpacing/>
    </w:pPr>
  </w:style>
  <w:style w:type="paragraph" w:styleId="ListBullet2">
    <w:name w:val="List Bullet 2"/>
    <w:basedOn w:val="Normal"/>
    <w:uiPriority w:val="99"/>
    <w:qFormat/>
    <w:rsid w:val="00316088"/>
    <w:pPr>
      <w:numPr>
        <w:ilvl w:val="1"/>
        <w:numId w:val="47"/>
      </w:numPr>
      <w:tabs>
        <w:tab w:val="left" w:pos="567"/>
      </w:tabs>
      <w:contextualSpacing/>
    </w:pPr>
  </w:style>
  <w:style w:type="character" w:styleId="Hyperlink">
    <w:name w:val="Hyperlink"/>
    <w:basedOn w:val="DefaultParagraphFont"/>
    <w:uiPriority w:val="99"/>
    <w:qFormat/>
    <w:rsid w:val="005725B2"/>
    <w:rPr>
      <w:color w:val="32375D"/>
      <w:u w:val="single"/>
    </w:rPr>
  </w:style>
  <w:style w:type="table" w:styleId="TableGrid">
    <w:name w:val="Table Grid"/>
    <w:aliases w:val="NSRB Table"/>
    <w:basedOn w:val="TableNormal"/>
    <w:uiPriority w:val="39"/>
    <w:rsid w:val="00402E08"/>
    <w:pPr>
      <w:spacing w:after="40" w:line="240" w:lineRule="auto"/>
    </w:pPr>
    <w:tblPr>
      <w:tblBorders>
        <w:top w:val="single" w:sz="4" w:space="0" w:color="32375D"/>
        <w:left w:val="single" w:sz="4" w:space="0" w:color="32375D"/>
        <w:bottom w:val="single" w:sz="4" w:space="0" w:color="32375D"/>
        <w:right w:val="single" w:sz="4" w:space="0" w:color="32375D"/>
        <w:insideH w:val="single" w:sz="4" w:space="0" w:color="32375D"/>
        <w:insideV w:val="single" w:sz="4" w:space="0" w:color="32375D"/>
      </w:tblBorders>
      <w:tblCellMar>
        <w:top w:w="45" w:type="dxa"/>
      </w:tblCellMar>
    </w:tblPr>
    <w:tcPr>
      <w:vAlign w:val="center"/>
    </w:tcPr>
    <w:tblStylePr w:type="firstRow">
      <w:pPr>
        <w:jc w:val="left"/>
      </w:pPr>
      <w:rPr>
        <w:rFonts w:ascii="Calibri" w:hAnsi="Calibri"/>
        <w:b/>
        <w:color w:val="FFFFFF" w:themeColor="background1"/>
        <w:sz w:val="24"/>
      </w:rPr>
      <w:tblPr/>
      <w:tcPr>
        <w:shd w:val="clear" w:color="auto" w:fill="522761"/>
      </w:tcPr>
    </w:tblStylePr>
  </w:style>
  <w:style w:type="paragraph" w:styleId="Caption">
    <w:name w:val="caption"/>
    <w:basedOn w:val="Normal"/>
    <w:next w:val="Normal"/>
    <w:uiPriority w:val="35"/>
    <w:qFormat/>
    <w:rsid w:val="00C00B5F"/>
    <w:rPr>
      <w:b/>
      <w:i/>
    </w:rPr>
  </w:style>
  <w:style w:type="numbering" w:customStyle="1" w:styleId="RSCBNumberList1">
    <w:name w:val="RSCB Number List 1"/>
    <w:uiPriority w:val="99"/>
    <w:rsid w:val="00A513A6"/>
    <w:pPr>
      <w:numPr>
        <w:numId w:val="10"/>
      </w:numPr>
    </w:pPr>
  </w:style>
  <w:style w:type="paragraph" w:styleId="ListBullet3">
    <w:name w:val="List Bullet 3"/>
    <w:basedOn w:val="Normal"/>
    <w:uiPriority w:val="99"/>
    <w:qFormat/>
    <w:rsid w:val="00316088"/>
    <w:pPr>
      <w:numPr>
        <w:ilvl w:val="2"/>
        <w:numId w:val="47"/>
      </w:numPr>
      <w:tabs>
        <w:tab w:val="left" w:pos="851"/>
      </w:tabs>
      <w:contextualSpacing/>
    </w:pPr>
  </w:style>
  <w:style w:type="paragraph" w:styleId="ListNumber3">
    <w:name w:val="List Number 3"/>
    <w:basedOn w:val="Normal"/>
    <w:uiPriority w:val="99"/>
    <w:qFormat/>
    <w:rsid w:val="00A513A6"/>
    <w:pPr>
      <w:numPr>
        <w:ilvl w:val="2"/>
        <w:numId w:val="45"/>
      </w:numPr>
      <w:tabs>
        <w:tab w:val="left" w:pos="1021"/>
      </w:tabs>
      <w:contextualSpacing/>
    </w:pPr>
  </w:style>
  <w:style w:type="paragraph" w:styleId="ListNumber4">
    <w:name w:val="List Number 4"/>
    <w:basedOn w:val="Normal"/>
    <w:uiPriority w:val="99"/>
    <w:qFormat/>
    <w:rsid w:val="00A513A6"/>
    <w:pPr>
      <w:numPr>
        <w:ilvl w:val="3"/>
        <w:numId w:val="45"/>
      </w:numPr>
      <w:contextualSpacing/>
    </w:pPr>
  </w:style>
  <w:style w:type="paragraph" w:styleId="ListBullet4">
    <w:name w:val="List Bullet 4"/>
    <w:basedOn w:val="Normal"/>
    <w:uiPriority w:val="99"/>
    <w:qFormat/>
    <w:rsid w:val="00316088"/>
    <w:pPr>
      <w:numPr>
        <w:ilvl w:val="3"/>
        <w:numId w:val="47"/>
      </w:numPr>
      <w:tabs>
        <w:tab w:val="left" w:pos="1134"/>
      </w:tabs>
      <w:contextualSpacing/>
    </w:pPr>
  </w:style>
  <w:style w:type="numbering" w:customStyle="1" w:styleId="Style1">
    <w:name w:val="Style1"/>
    <w:uiPriority w:val="99"/>
    <w:rsid w:val="00316088"/>
    <w:pPr>
      <w:numPr>
        <w:numId w:val="46"/>
      </w:numPr>
    </w:pPr>
  </w:style>
  <w:style w:type="paragraph" w:styleId="Header">
    <w:name w:val="header"/>
    <w:basedOn w:val="Normal"/>
    <w:link w:val="HeaderChar"/>
    <w:uiPriority w:val="99"/>
    <w:unhideWhenUsed/>
    <w:rsid w:val="00EE7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1AC"/>
  </w:style>
  <w:style w:type="paragraph" w:styleId="Footer">
    <w:name w:val="footer"/>
    <w:basedOn w:val="Normal"/>
    <w:link w:val="FooterChar"/>
    <w:uiPriority w:val="99"/>
    <w:rsid w:val="005725B2"/>
    <w:pPr>
      <w:tabs>
        <w:tab w:val="center" w:pos="4513"/>
        <w:tab w:val="right" w:pos="9026"/>
      </w:tabs>
      <w:spacing w:after="0" w:line="240" w:lineRule="auto"/>
    </w:pPr>
    <w:rPr>
      <w:rFonts w:ascii="Calibri" w:hAnsi="Calibri"/>
      <w:sz w:val="18"/>
    </w:rPr>
  </w:style>
  <w:style w:type="character" w:customStyle="1" w:styleId="FooterChar">
    <w:name w:val="Footer Char"/>
    <w:basedOn w:val="DefaultParagraphFont"/>
    <w:link w:val="Footer"/>
    <w:uiPriority w:val="99"/>
    <w:rsid w:val="005725B2"/>
    <w:rPr>
      <w:rFonts w:ascii="Calibri" w:hAnsi="Calibri"/>
      <w:sz w:val="18"/>
    </w:rPr>
  </w:style>
  <w:style w:type="paragraph" w:styleId="FootnoteText">
    <w:name w:val="footnote text"/>
    <w:basedOn w:val="Normal"/>
    <w:link w:val="FootnoteTextChar"/>
    <w:uiPriority w:val="99"/>
    <w:rsid w:val="005725B2"/>
    <w:pPr>
      <w:spacing w:after="0" w:line="240" w:lineRule="auto"/>
    </w:pPr>
    <w:rPr>
      <w:szCs w:val="20"/>
    </w:rPr>
  </w:style>
  <w:style w:type="character" w:customStyle="1" w:styleId="FootnoteTextChar">
    <w:name w:val="Footnote Text Char"/>
    <w:basedOn w:val="DefaultParagraphFont"/>
    <w:link w:val="FootnoteText"/>
    <w:uiPriority w:val="99"/>
    <w:rsid w:val="005725B2"/>
    <w:rPr>
      <w:sz w:val="20"/>
      <w:szCs w:val="20"/>
    </w:rPr>
  </w:style>
  <w:style w:type="character" w:styleId="FootnoteReference">
    <w:name w:val="footnote reference"/>
    <w:basedOn w:val="DefaultParagraphFont"/>
    <w:uiPriority w:val="99"/>
    <w:semiHidden/>
    <w:unhideWhenUsed/>
    <w:rsid w:val="005725B2"/>
    <w:rPr>
      <w:vertAlign w:val="superscript"/>
    </w:rPr>
  </w:style>
  <w:style w:type="paragraph" w:styleId="Subtitle">
    <w:name w:val="Subtitle"/>
    <w:basedOn w:val="Normal"/>
    <w:next w:val="Normal"/>
    <w:link w:val="SubtitleChar"/>
    <w:uiPriority w:val="11"/>
    <w:qFormat/>
    <w:rsid w:val="009E2AC0"/>
    <w:pPr>
      <w:numPr>
        <w:ilvl w:val="1"/>
      </w:numPr>
      <w:spacing w:before="0" w:after="560"/>
      <w:jc w:val="right"/>
    </w:pPr>
    <w:rPr>
      <w:rFonts w:ascii="Calibri" w:eastAsiaTheme="minorEastAsia" w:hAnsi="Calibri"/>
      <w:color w:val="FFFFFF" w:themeColor="background1"/>
      <w:spacing w:val="15"/>
      <w:sz w:val="32"/>
    </w:rPr>
  </w:style>
  <w:style w:type="character" w:customStyle="1" w:styleId="SubtitleChar">
    <w:name w:val="Subtitle Char"/>
    <w:basedOn w:val="DefaultParagraphFont"/>
    <w:link w:val="Subtitle"/>
    <w:uiPriority w:val="11"/>
    <w:rsid w:val="009E2AC0"/>
    <w:rPr>
      <w:rFonts w:ascii="Calibri" w:eastAsiaTheme="minorEastAsia" w:hAnsi="Calibri"/>
      <w:color w:val="FFFFFF" w:themeColor="background1"/>
      <w:spacing w:val="15"/>
      <w:sz w:val="32"/>
    </w:rPr>
  </w:style>
  <w:style w:type="character" w:styleId="Strong">
    <w:name w:val="Strong"/>
    <w:basedOn w:val="DefaultParagraphFont"/>
    <w:uiPriority w:val="22"/>
    <w:qFormat/>
    <w:rsid w:val="001F444A"/>
    <w:rPr>
      <w:b/>
      <w:bCs/>
    </w:rPr>
  </w:style>
  <w:style w:type="character" w:customStyle="1" w:styleId="Heading5Char">
    <w:name w:val="Heading 5 Char"/>
    <w:basedOn w:val="DefaultParagraphFont"/>
    <w:link w:val="Heading5"/>
    <w:uiPriority w:val="9"/>
    <w:rsid w:val="00813629"/>
    <w:rPr>
      <w:rFonts w:ascii="Calibri" w:eastAsiaTheme="majorEastAsia" w:hAnsi="Calibri" w:cstheme="majorBidi"/>
      <w:b/>
      <w:color w:val="757575"/>
    </w:rPr>
  </w:style>
  <w:style w:type="character" w:customStyle="1" w:styleId="Heading6Char">
    <w:name w:val="Heading 6 Char"/>
    <w:basedOn w:val="DefaultParagraphFont"/>
    <w:link w:val="Heading6"/>
    <w:uiPriority w:val="9"/>
    <w:rsid w:val="00813629"/>
    <w:rPr>
      <w:rFonts w:ascii="Calibri" w:eastAsiaTheme="majorEastAsia" w:hAnsi="Calibri" w:cstheme="majorBidi"/>
      <w:b/>
      <w:i/>
      <w:color w:val="757575"/>
    </w:rPr>
  </w:style>
  <w:style w:type="character" w:styleId="BookTitle">
    <w:name w:val="Book Title"/>
    <w:basedOn w:val="DefaultParagraphFont"/>
    <w:uiPriority w:val="33"/>
    <w:semiHidden/>
    <w:qFormat/>
    <w:rsid w:val="00B81A68"/>
    <w:rPr>
      <w:b w:val="0"/>
      <w:bCs/>
      <w:i/>
      <w:iCs/>
      <w:spacing w:val="5"/>
    </w:rPr>
  </w:style>
  <w:style w:type="character" w:styleId="Emphasis">
    <w:name w:val="Emphasis"/>
    <w:basedOn w:val="DefaultParagraphFont"/>
    <w:uiPriority w:val="20"/>
    <w:qFormat/>
    <w:rsid w:val="001C6347"/>
    <w:rPr>
      <w:b w:val="0"/>
      <w:i/>
      <w:iCs/>
    </w:rPr>
  </w:style>
  <w:style w:type="paragraph" w:customStyle="1" w:styleId="SourceImageCaption">
    <w:name w:val="Source/Image Caption"/>
    <w:basedOn w:val="Normal"/>
    <w:rsid w:val="00DE1663"/>
    <w:rPr>
      <w:sz w:val="18"/>
    </w:rPr>
  </w:style>
  <w:style w:type="paragraph" w:customStyle="1" w:styleId="Normal-AfterTableFigure">
    <w:name w:val="Normal - After Table/Figure"/>
    <w:basedOn w:val="Normal"/>
    <w:qFormat/>
    <w:rsid w:val="002678F4"/>
    <w:pPr>
      <w:spacing w:before="240"/>
    </w:pPr>
  </w:style>
  <w:style w:type="paragraph" w:styleId="ListParagraph">
    <w:name w:val="List Paragraph"/>
    <w:basedOn w:val="Normal"/>
    <w:uiPriority w:val="34"/>
    <w:semiHidden/>
    <w:qFormat/>
    <w:rsid w:val="002678F4"/>
    <w:pPr>
      <w:ind w:left="720"/>
      <w:contextualSpacing/>
    </w:pPr>
  </w:style>
  <w:style w:type="paragraph" w:styleId="Quote">
    <w:name w:val="Quote"/>
    <w:basedOn w:val="Normal"/>
    <w:next w:val="Normal"/>
    <w:link w:val="QuoteChar"/>
    <w:uiPriority w:val="29"/>
    <w:qFormat/>
    <w:rsid w:val="00F121AC"/>
    <w:pPr>
      <w:spacing w:before="200" w:line="240" w:lineRule="auto"/>
      <w:ind w:left="567" w:right="567"/>
    </w:pPr>
    <w:rPr>
      <w:i/>
      <w:iCs/>
      <w:color w:val="404040" w:themeColor="text1" w:themeTint="BF"/>
    </w:rPr>
  </w:style>
  <w:style w:type="character" w:customStyle="1" w:styleId="QuoteChar">
    <w:name w:val="Quote Char"/>
    <w:basedOn w:val="DefaultParagraphFont"/>
    <w:link w:val="Quote"/>
    <w:uiPriority w:val="29"/>
    <w:rsid w:val="00F121AC"/>
    <w:rPr>
      <w:i/>
      <w:iCs/>
      <w:color w:val="404040" w:themeColor="text1" w:themeTint="BF"/>
    </w:rPr>
  </w:style>
  <w:style w:type="character" w:styleId="IntenseEmphasis">
    <w:name w:val="Intense Emphasis"/>
    <w:basedOn w:val="DefaultParagraphFont"/>
    <w:uiPriority w:val="21"/>
    <w:semiHidden/>
    <w:rsid w:val="00A34D39"/>
    <w:rPr>
      <w:b/>
      <w:i/>
      <w:iCs/>
      <w:color w:val="auto"/>
    </w:rPr>
  </w:style>
  <w:style w:type="character" w:styleId="IntenseReference">
    <w:name w:val="Intense Reference"/>
    <w:basedOn w:val="DefaultParagraphFont"/>
    <w:uiPriority w:val="32"/>
    <w:semiHidden/>
    <w:rsid w:val="00A34D39"/>
    <w:rPr>
      <w:b/>
      <w:bCs/>
      <w:smallCaps/>
      <w:color w:val="auto"/>
      <w:spacing w:val="5"/>
      <w:u w:val="single"/>
    </w:rPr>
  </w:style>
  <w:style w:type="character" w:styleId="SubtleReference">
    <w:name w:val="Subtle Reference"/>
    <w:basedOn w:val="DefaultParagraphFont"/>
    <w:uiPriority w:val="31"/>
    <w:semiHidden/>
    <w:rsid w:val="00A74FD2"/>
    <w:rPr>
      <w:smallCaps/>
      <w:color w:val="auto"/>
      <w:u w:val="single"/>
    </w:rPr>
  </w:style>
  <w:style w:type="paragraph" w:customStyle="1" w:styleId="ImageHeader">
    <w:name w:val="Image Header"/>
    <w:basedOn w:val="Normal"/>
    <w:rsid w:val="003530A6"/>
    <w:pPr>
      <w:spacing w:before="0" w:after="600"/>
      <w:ind w:left="-851"/>
    </w:pPr>
    <w:rPr>
      <w:rFonts w:eastAsia="Times New Roman" w:cs="Times New Roman"/>
      <w:szCs w:val="20"/>
    </w:rPr>
  </w:style>
  <w:style w:type="paragraph" w:customStyle="1" w:styleId="heading10">
    <w:name w:val="__heading 1"/>
    <w:basedOn w:val="Normal"/>
    <w:rsid w:val="00D569FA"/>
    <w:pPr>
      <w:spacing w:before="0" w:after="0" w:line="240" w:lineRule="auto"/>
      <w:jc w:val="center"/>
    </w:pPr>
    <w:rPr>
      <w:rFonts w:ascii="Arial" w:eastAsia="Times New Roman" w:hAnsi="Arial" w:cs="Arial"/>
      <w:b/>
      <w:color w:val="333399"/>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0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internationaleducation.gov.au/research/Pages/Data-and-ResearchOLD.aspx" TargetMode="External"/><Relationship Id="rId1" Type="http://schemas.openxmlformats.org/officeDocument/2006/relationships/hyperlink" Target="mailto:IEResearch@educat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00AA97F9017A4288665729A97B1723" ma:contentTypeVersion="2" ma:contentTypeDescription="Create a new document." ma:contentTypeScope="" ma:versionID="2955017ab084fe0229d9de7084fe793a">
  <xsd:schema xmlns:xsd="http://www.w3.org/2001/XMLSchema" xmlns:xs="http://www.w3.org/2001/XMLSchema" xmlns:p="http://schemas.microsoft.com/office/2006/metadata/properties" xmlns:ns1="http://schemas.microsoft.com/sharepoint/v3" xmlns:ns2="3d08765e-ed01-46d2-8c42-9360717a49b5" targetNamespace="http://schemas.microsoft.com/office/2006/metadata/properties" ma:root="true" ma:fieldsID="9ff8b2dce9ac55920f923a13febf9c66" ns1:_="" ns2:_="">
    <xsd:import namespace="http://schemas.microsoft.com/sharepoint/v3"/>
    <xsd:import namespace="3d08765e-ed01-46d2-8c42-9360717a49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8765e-ed01-46d2-8c42-9360717a4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6FBC26-4E92-4858-AE83-9381331A4AA4}"/>
</file>

<file path=customXml/itemProps2.xml><?xml version="1.0" encoding="utf-8"?>
<ds:datastoreItem xmlns:ds="http://schemas.openxmlformats.org/officeDocument/2006/customXml" ds:itemID="{E6873743-905F-4C5A-9F95-051E464CCA41}"/>
</file>

<file path=customXml/itemProps3.xml><?xml version="1.0" encoding="utf-8"?>
<ds:datastoreItem xmlns:ds="http://schemas.openxmlformats.org/officeDocument/2006/customXml" ds:itemID="{921273FA-6B07-460B-BD14-F8E074C2FC23}"/>
</file>

<file path=customXml/itemProps4.xml><?xml version="1.0" encoding="utf-8"?>
<ds:datastoreItem xmlns:ds="http://schemas.openxmlformats.org/officeDocument/2006/customXml" ds:itemID="{91CDD52D-9F36-4A4F-AA62-620DBB4DABF0}"/>
</file>

<file path=docProps/app.xml><?xml version="1.0" encoding="utf-8"?>
<Properties xmlns="http://schemas.openxmlformats.org/officeDocument/2006/extended-properties" xmlns:vt="http://schemas.openxmlformats.org/officeDocument/2006/docPropsVTypes">
  <Template>2EB787F6.dotm</Template>
  <TotalTime>2</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ResearchSnapshot</vt:lpstr>
    </vt:vector>
  </TitlesOfParts>
  <Company>Australian Government</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ResearchSnapshot</dc:title>
  <dc:subject/>
  <dc:creator>ASHTON,Michael</dc:creator>
  <cp:keywords/>
  <dc:description/>
  <cp:lastModifiedBy>BASRAI,Sarabjot</cp:lastModifiedBy>
  <cp:revision>5</cp:revision>
  <cp:lastPrinted>2018-09-13T06:59:00Z</cp:lastPrinted>
  <dcterms:created xsi:type="dcterms:W3CDTF">2018-11-15T22:24:00Z</dcterms:created>
  <dcterms:modified xsi:type="dcterms:W3CDTF">2018-11-15T22:26:00Z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0x010100D600AA97F9017A4288665729A97B1723</vt:lpwstr>
  </property>
  <property fmtid="{D5CDD505-2E9C-101B-9397-08002B2CF9AE}" pid="3" name="Order">
    <vt:r8>29400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