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D4" w:rsidRDefault="00656CE7" w:rsidP="005833DB">
      <w:pPr>
        <w:tabs>
          <w:tab w:val="left" w:pos="5954"/>
        </w:tabs>
        <w:spacing w:before="120"/>
        <w:ind w:left="284" w:right="81"/>
        <w:jc w:val="center"/>
        <w:rPr>
          <w:b/>
        </w:rPr>
      </w:pPr>
      <w:r>
        <w:rPr>
          <w:noProof/>
          <w:lang w:bidi="hi-IN"/>
        </w:rPr>
        <w:drawing>
          <wp:inline distT="0" distB="0" distL="0" distR="0" wp14:anchorId="201E09FA" wp14:editId="3B718F5E">
            <wp:extent cx="68199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5728" cy="107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FA" w:rsidRPr="007218E1" w:rsidRDefault="00606A1D" w:rsidP="006640F2">
      <w:pPr>
        <w:spacing w:before="80"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</w:t>
      </w:r>
      <w:r w:rsidR="0052579E" w:rsidRPr="007218E1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</w:p>
    <w:p w:rsidR="00CF0EDA" w:rsidRDefault="00CF0EDA" w:rsidP="004D3713">
      <w:pPr>
        <w:pStyle w:val="heading10"/>
        <w:spacing w:after="120"/>
        <w:sectPr w:rsidR="00CF0EDA" w:rsidSect="005876B4">
          <w:footerReference w:type="default" r:id="rId9"/>
          <w:pgSz w:w="11906" w:h="16838" w:code="9"/>
          <w:pgMar w:top="142" w:right="510" w:bottom="567" w:left="400" w:header="567" w:footer="283" w:gutter="0"/>
          <w:cols w:space="720"/>
          <w:docGrid w:linePitch="272"/>
        </w:sectPr>
      </w:pPr>
    </w:p>
    <w:p w:rsidR="005E048E" w:rsidRPr="007218E1" w:rsidRDefault="00714A6E" w:rsidP="00D12C11">
      <w:pPr>
        <w:pStyle w:val="heading10"/>
        <w:spacing w:after="120"/>
        <w:ind w:left="284"/>
        <w:rPr>
          <w:rFonts w:ascii="Arial" w:hAnsi="Arial"/>
        </w:rPr>
        <w:sectPr w:rsidR="005E048E" w:rsidRPr="007218E1" w:rsidSect="00CF0EDA">
          <w:type w:val="continuous"/>
          <w:pgSz w:w="11906" w:h="16838" w:code="9"/>
          <w:pgMar w:top="142" w:right="510" w:bottom="567" w:left="400" w:header="567" w:footer="362" w:gutter="0"/>
          <w:cols w:space="720"/>
          <w:docGrid w:linePitch="272"/>
        </w:sectPr>
      </w:pPr>
      <w:r>
        <w:rPr>
          <w:rFonts w:ascii="Arial" w:hAnsi="Arial"/>
          <w:sz w:val="28"/>
        </w:rPr>
        <w:t>I</w:t>
      </w:r>
      <w:r w:rsidR="005E048E" w:rsidRPr="007218E1">
        <w:rPr>
          <w:rFonts w:ascii="Arial" w:hAnsi="Arial"/>
          <w:sz w:val="28"/>
        </w:rPr>
        <w:t xml:space="preserve">nternational </w:t>
      </w:r>
      <w:r w:rsidR="00AB22FA" w:rsidRPr="007218E1">
        <w:rPr>
          <w:rFonts w:ascii="Arial" w:hAnsi="Arial"/>
          <w:sz w:val="28"/>
        </w:rPr>
        <w:t>student</w:t>
      </w:r>
      <w:r w:rsidR="00C53105" w:rsidRPr="007218E1">
        <w:rPr>
          <w:rFonts w:ascii="Arial" w:hAnsi="Arial"/>
          <w:sz w:val="28"/>
        </w:rPr>
        <w:t xml:space="preserve">s in </w:t>
      </w:r>
      <w:r>
        <w:rPr>
          <w:rFonts w:ascii="Arial" w:hAnsi="Arial"/>
          <w:sz w:val="28"/>
        </w:rPr>
        <w:t>regional area</w:t>
      </w:r>
      <w:r w:rsidR="00787F8B">
        <w:rPr>
          <w:rFonts w:ascii="Arial" w:hAnsi="Arial"/>
          <w:sz w:val="28"/>
        </w:rPr>
        <w:t>s</w:t>
      </w:r>
    </w:p>
    <w:p w:rsidR="00521F57" w:rsidRPr="00BA7BAF" w:rsidRDefault="00D83C16" w:rsidP="00D12C11">
      <w:pPr>
        <w:pStyle w:val="heading10"/>
        <w:tabs>
          <w:tab w:val="left" w:pos="11057"/>
        </w:tabs>
        <w:spacing w:after="120"/>
        <w:ind w:left="284"/>
        <w:jc w:val="both"/>
        <w:rPr>
          <w:rFonts w:cstheme="minorHAnsi"/>
          <w:b w:val="0"/>
          <w:color w:val="000000" w:themeColor="text1"/>
          <w:sz w:val="2"/>
          <w:szCs w:val="19"/>
        </w:rPr>
      </w:pPr>
      <w:r w:rsidRPr="00D83C16">
        <w:rPr>
          <w:noProof/>
          <w:lang w:bidi="hi-I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51435</wp:posOffset>
            </wp:positionV>
            <wp:extent cx="3215640" cy="1905000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47D" w:rsidRPr="00742E05">
        <w:rPr>
          <w:rFonts w:cstheme="minorHAnsi"/>
          <w:b w:val="0"/>
          <w:color w:val="000000" w:themeColor="text1"/>
          <w:sz w:val="20"/>
          <w:szCs w:val="20"/>
        </w:rPr>
        <w:t>In 201</w:t>
      </w:r>
      <w:r w:rsidR="00742E05" w:rsidRPr="00742E05">
        <w:rPr>
          <w:rFonts w:cstheme="minorHAnsi"/>
          <w:b w:val="0"/>
          <w:color w:val="000000" w:themeColor="text1"/>
          <w:sz w:val="20"/>
          <w:szCs w:val="20"/>
        </w:rPr>
        <w:t>7</w:t>
      </w:r>
      <w:r w:rsidR="003B547D" w:rsidRPr="00742E05">
        <w:rPr>
          <w:rFonts w:cstheme="minorHAnsi"/>
          <w:b w:val="0"/>
          <w:color w:val="000000" w:themeColor="text1"/>
          <w:sz w:val="20"/>
          <w:szCs w:val="20"/>
        </w:rPr>
        <w:t>,</w:t>
      </w:r>
      <w:r w:rsidR="00A00FB2">
        <w:rPr>
          <w:rFonts w:cstheme="minorHAnsi"/>
          <w:b w:val="0"/>
          <w:color w:val="000000" w:themeColor="text1"/>
          <w:sz w:val="20"/>
          <w:szCs w:val="20"/>
        </w:rPr>
        <w:t xml:space="preserve"> according to the </w:t>
      </w:r>
      <w:r w:rsidR="00A00FB2" w:rsidRPr="00A00FB2">
        <w:rPr>
          <w:rFonts w:cstheme="minorHAnsi"/>
          <w:b w:val="0"/>
          <w:color w:val="000000" w:themeColor="text1"/>
          <w:sz w:val="20"/>
          <w:szCs w:val="20"/>
        </w:rPr>
        <w:t xml:space="preserve">Australian Bureau of Statistics Australian Statistical Geography Standard </w:t>
      </w:r>
      <w:r w:rsidR="00A00FB2">
        <w:rPr>
          <w:rFonts w:cstheme="minorHAnsi"/>
          <w:b w:val="0"/>
          <w:color w:val="000000" w:themeColor="text1"/>
          <w:sz w:val="20"/>
          <w:szCs w:val="20"/>
        </w:rPr>
        <w:t>r</w:t>
      </w:r>
      <w:r w:rsidR="00A00FB2" w:rsidRPr="00A00FB2">
        <w:rPr>
          <w:rFonts w:cstheme="minorHAnsi"/>
          <w:b w:val="0"/>
          <w:color w:val="000000" w:themeColor="text1"/>
          <w:sz w:val="20"/>
          <w:szCs w:val="20"/>
        </w:rPr>
        <w:t>emoteness structure</w:t>
      </w:r>
      <w:r w:rsidR="00A00FB2">
        <w:rPr>
          <w:rFonts w:cstheme="minorHAnsi"/>
          <w:b w:val="0"/>
          <w:color w:val="000000" w:themeColor="text1"/>
          <w:sz w:val="20"/>
          <w:szCs w:val="20"/>
        </w:rPr>
        <w:t>,</w:t>
      </w:r>
      <w:r w:rsidR="003B547D" w:rsidRPr="00742E05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0D2C34">
        <w:rPr>
          <w:rFonts w:cstheme="minorHAnsi"/>
          <w:b w:val="0"/>
          <w:color w:val="000000" w:themeColor="text1"/>
          <w:sz w:val="20"/>
          <w:szCs w:val="20"/>
        </w:rPr>
        <w:t>three</w:t>
      </w:r>
      <w:r w:rsidR="003B40BF" w:rsidRPr="00742E05">
        <w:rPr>
          <w:rFonts w:cstheme="minorHAnsi"/>
          <w:b w:val="0"/>
          <w:color w:val="000000" w:themeColor="text1"/>
          <w:sz w:val="20"/>
          <w:szCs w:val="20"/>
        </w:rPr>
        <w:t xml:space="preserve"> per cent of </w:t>
      </w:r>
      <w:r w:rsidR="00521F57" w:rsidRPr="00742E05">
        <w:rPr>
          <w:rFonts w:cstheme="minorHAnsi"/>
          <w:b w:val="0"/>
          <w:color w:val="000000" w:themeColor="text1"/>
          <w:sz w:val="20"/>
          <w:szCs w:val="20"/>
        </w:rPr>
        <w:t xml:space="preserve">onshore international student </w:t>
      </w:r>
      <w:r w:rsidR="00FE7FE3" w:rsidRPr="00742E05">
        <w:rPr>
          <w:rFonts w:cstheme="minorHAnsi"/>
          <w:b w:val="0"/>
          <w:color w:val="000000" w:themeColor="text1"/>
          <w:sz w:val="20"/>
          <w:szCs w:val="20"/>
        </w:rPr>
        <w:t>enrolments</w:t>
      </w:r>
      <w:r w:rsidR="00BF3549" w:rsidRPr="00742E05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742E05">
        <w:rPr>
          <w:rFonts w:cstheme="minorHAnsi"/>
          <w:b w:val="0"/>
          <w:color w:val="000000" w:themeColor="text1"/>
          <w:sz w:val="20"/>
          <w:szCs w:val="20"/>
        </w:rPr>
        <w:t>were</w:t>
      </w:r>
      <w:r w:rsidR="00A82CE3">
        <w:rPr>
          <w:rFonts w:cstheme="minorHAnsi"/>
          <w:b w:val="0"/>
          <w:color w:val="000000" w:themeColor="text1"/>
          <w:sz w:val="20"/>
          <w:szCs w:val="20"/>
        </w:rPr>
        <w:t xml:space="preserve"> at</w:t>
      </w:r>
      <w:r w:rsidR="00742E05">
        <w:rPr>
          <w:rFonts w:cstheme="minorHAnsi"/>
          <w:b w:val="0"/>
          <w:color w:val="000000" w:themeColor="text1"/>
          <w:sz w:val="20"/>
          <w:szCs w:val="20"/>
        </w:rPr>
        <w:t xml:space="preserve"> institutions </w:t>
      </w:r>
      <w:r w:rsidR="00A82CE3">
        <w:rPr>
          <w:rFonts w:cstheme="minorHAnsi"/>
          <w:b w:val="0"/>
          <w:color w:val="000000" w:themeColor="text1"/>
          <w:sz w:val="20"/>
          <w:szCs w:val="20"/>
        </w:rPr>
        <w:t>in</w:t>
      </w:r>
      <w:r w:rsidR="00742E05">
        <w:rPr>
          <w:rFonts w:cstheme="minorHAnsi"/>
          <w:b w:val="0"/>
          <w:color w:val="000000" w:themeColor="text1"/>
          <w:sz w:val="20"/>
          <w:szCs w:val="20"/>
        </w:rPr>
        <w:t xml:space="preserve"> regional locations of Australia</w:t>
      </w:r>
      <w:r w:rsidR="00463A29" w:rsidRPr="00742E05">
        <w:rPr>
          <w:rStyle w:val="FootnoteReference"/>
          <w:rFonts w:cstheme="minorHAnsi"/>
          <w:b w:val="0"/>
          <w:color w:val="000000" w:themeColor="text1"/>
          <w:sz w:val="20"/>
          <w:szCs w:val="20"/>
        </w:rPr>
        <w:footnoteReference w:id="1"/>
      </w:r>
      <w:r w:rsidR="00983DEF" w:rsidRPr="00742E05">
        <w:rPr>
          <w:rFonts w:cstheme="minorHAnsi"/>
          <w:b w:val="0"/>
          <w:color w:val="000000" w:themeColor="text1"/>
          <w:sz w:val="20"/>
          <w:szCs w:val="20"/>
        </w:rPr>
        <w:t xml:space="preserve">. </w:t>
      </w:r>
      <w:r w:rsidR="006E2A3B" w:rsidRPr="00742E05">
        <w:rPr>
          <w:rFonts w:cstheme="minorHAnsi"/>
          <w:b w:val="0"/>
          <w:color w:val="000000" w:themeColor="text1"/>
          <w:sz w:val="20"/>
          <w:szCs w:val="20"/>
        </w:rPr>
        <w:t xml:space="preserve">Queensland </w:t>
      </w:r>
      <w:r w:rsidR="00C02A75" w:rsidRPr="00742E05">
        <w:rPr>
          <w:rFonts w:cstheme="minorHAnsi"/>
          <w:b w:val="0"/>
          <w:color w:val="000000" w:themeColor="text1"/>
          <w:sz w:val="20"/>
          <w:szCs w:val="20"/>
        </w:rPr>
        <w:t>ha</w:t>
      </w:r>
      <w:r w:rsidR="00782267" w:rsidRPr="00742E05">
        <w:rPr>
          <w:rFonts w:cstheme="minorHAnsi"/>
          <w:b w:val="0"/>
          <w:color w:val="000000" w:themeColor="text1"/>
          <w:sz w:val="20"/>
          <w:szCs w:val="20"/>
        </w:rPr>
        <w:t>d</w:t>
      </w:r>
      <w:r w:rsidR="00C02A75" w:rsidRPr="00742E05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FB44FF" w:rsidRPr="00742E05">
        <w:rPr>
          <w:rFonts w:cstheme="minorHAnsi"/>
          <w:b w:val="0"/>
          <w:color w:val="000000" w:themeColor="text1"/>
          <w:sz w:val="20"/>
          <w:szCs w:val="20"/>
        </w:rPr>
        <w:t xml:space="preserve">the highest </w:t>
      </w:r>
      <w:r w:rsidR="00C02A75" w:rsidRPr="00742E05">
        <w:rPr>
          <w:rFonts w:cstheme="minorHAnsi"/>
          <w:b w:val="0"/>
          <w:color w:val="000000" w:themeColor="text1"/>
          <w:sz w:val="20"/>
          <w:szCs w:val="20"/>
        </w:rPr>
        <w:t>proportion</w:t>
      </w:r>
      <w:r w:rsidR="008419E5" w:rsidRPr="00742E05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A82CE3">
        <w:rPr>
          <w:rFonts w:cstheme="minorHAnsi"/>
          <w:b w:val="0"/>
          <w:color w:val="000000" w:themeColor="text1"/>
          <w:sz w:val="20"/>
          <w:szCs w:val="20"/>
        </w:rPr>
        <w:t>(</w:t>
      </w:r>
      <w:r w:rsidR="000D2C34">
        <w:rPr>
          <w:rFonts w:cstheme="minorHAnsi"/>
          <w:b w:val="0"/>
          <w:color w:val="000000" w:themeColor="text1"/>
          <w:sz w:val="20"/>
          <w:szCs w:val="20"/>
        </w:rPr>
        <w:t>6%</w:t>
      </w:r>
      <w:r w:rsidR="00A82CE3">
        <w:rPr>
          <w:rFonts w:cstheme="minorHAnsi"/>
          <w:b w:val="0"/>
          <w:color w:val="000000" w:themeColor="text1"/>
          <w:sz w:val="20"/>
          <w:szCs w:val="20"/>
        </w:rPr>
        <w:t xml:space="preserve">), </w:t>
      </w:r>
      <w:r w:rsidR="00C63BB0">
        <w:rPr>
          <w:rFonts w:cstheme="minorHAnsi"/>
          <w:b w:val="0"/>
          <w:color w:val="000000" w:themeColor="text1"/>
          <w:sz w:val="20"/>
          <w:szCs w:val="20"/>
        </w:rPr>
        <w:t xml:space="preserve">followed by </w:t>
      </w:r>
      <w:r w:rsidR="00C63BB0" w:rsidRPr="00C63BB0">
        <w:rPr>
          <w:rFonts w:cstheme="minorHAnsi"/>
          <w:b w:val="0"/>
          <w:color w:val="000000" w:themeColor="text1"/>
          <w:sz w:val="20"/>
          <w:szCs w:val="20"/>
        </w:rPr>
        <w:t>N</w:t>
      </w:r>
      <w:r w:rsidR="006E2A3B" w:rsidRPr="00C63BB0">
        <w:rPr>
          <w:rFonts w:cstheme="minorHAnsi"/>
          <w:b w:val="0"/>
          <w:color w:val="000000" w:themeColor="text1"/>
          <w:sz w:val="20"/>
          <w:szCs w:val="20"/>
        </w:rPr>
        <w:t>ew South Wales</w:t>
      </w:r>
      <w:r w:rsidR="00E06090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 with </w:t>
      </w:r>
      <w:r w:rsidR="000D2C34">
        <w:rPr>
          <w:rFonts w:cstheme="minorHAnsi"/>
          <w:b w:val="0"/>
          <w:color w:val="000000" w:themeColor="text1"/>
          <w:sz w:val="20"/>
          <w:szCs w:val="20"/>
        </w:rPr>
        <w:t>1.2%</w:t>
      </w:r>
      <w:r w:rsidR="005119E9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E06090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of </w:t>
      </w:r>
      <w:r w:rsidR="00A82CE3">
        <w:rPr>
          <w:rFonts w:cstheme="minorHAnsi"/>
          <w:b w:val="0"/>
          <w:color w:val="000000" w:themeColor="text1"/>
          <w:sz w:val="20"/>
          <w:szCs w:val="20"/>
        </w:rPr>
        <w:t xml:space="preserve">its </w:t>
      </w:r>
      <w:r w:rsidR="00E06090" w:rsidRPr="00C63BB0">
        <w:rPr>
          <w:rFonts w:cstheme="minorHAnsi"/>
          <w:b w:val="0"/>
          <w:color w:val="000000" w:themeColor="text1"/>
          <w:sz w:val="20"/>
          <w:szCs w:val="20"/>
        </w:rPr>
        <w:t>international student</w:t>
      </w:r>
      <w:r w:rsidR="006E2A3B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8419E5" w:rsidRPr="00C63BB0">
        <w:rPr>
          <w:rFonts w:cstheme="minorHAnsi"/>
          <w:b w:val="0"/>
          <w:color w:val="000000" w:themeColor="text1"/>
          <w:sz w:val="20"/>
          <w:szCs w:val="20"/>
        </w:rPr>
        <w:t>enrolments</w:t>
      </w:r>
      <w:r w:rsidR="00360AF0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C63BB0">
        <w:rPr>
          <w:rFonts w:cstheme="minorHAnsi"/>
          <w:b w:val="0"/>
          <w:color w:val="000000" w:themeColor="text1"/>
          <w:sz w:val="20"/>
          <w:szCs w:val="20"/>
        </w:rPr>
        <w:t>in regional locations</w:t>
      </w:r>
      <w:r w:rsidR="008E0FD6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0D2C34">
        <w:rPr>
          <w:rFonts w:cstheme="minorHAnsi"/>
          <w:b w:val="0"/>
          <w:color w:val="000000" w:themeColor="text1"/>
          <w:sz w:val="20"/>
          <w:szCs w:val="20"/>
        </w:rPr>
        <w:t>(Table 1).</w:t>
      </w:r>
    </w:p>
    <w:p w:rsidR="00AC7313" w:rsidRPr="00C63BB0" w:rsidRDefault="004F1ACC" w:rsidP="00D12C11">
      <w:pPr>
        <w:pStyle w:val="heading10"/>
        <w:tabs>
          <w:tab w:val="left" w:pos="5670"/>
          <w:tab w:val="left" w:pos="5812"/>
          <w:tab w:val="left" w:pos="11057"/>
        </w:tabs>
        <w:spacing w:after="120"/>
        <w:ind w:left="284"/>
        <w:jc w:val="both"/>
        <w:rPr>
          <w:rFonts w:cstheme="minorHAnsi"/>
          <w:b w:val="0"/>
          <w:color w:val="000000" w:themeColor="text1"/>
          <w:sz w:val="20"/>
          <w:szCs w:val="20"/>
        </w:rPr>
      </w:pPr>
      <w:r w:rsidRPr="00D2638D">
        <w:rPr>
          <w:noProof/>
          <w:lang w:bidi="hi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966470</wp:posOffset>
            </wp:positionV>
            <wp:extent cx="3207385" cy="24961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0BF" w:rsidRPr="00C63BB0">
        <w:rPr>
          <w:rFonts w:cstheme="minorHAnsi"/>
          <w:b w:val="0"/>
          <w:color w:val="000000" w:themeColor="text1"/>
          <w:sz w:val="20"/>
          <w:szCs w:val="20"/>
        </w:rPr>
        <w:t>The majority (8</w:t>
      </w:r>
      <w:r w:rsidR="000D2C34">
        <w:rPr>
          <w:rFonts w:cstheme="minorHAnsi"/>
          <w:b w:val="0"/>
          <w:color w:val="000000" w:themeColor="text1"/>
          <w:sz w:val="20"/>
          <w:szCs w:val="20"/>
        </w:rPr>
        <w:t>9</w:t>
      </w:r>
      <w:r w:rsidR="003B40BF" w:rsidRPr="00C63BB0">
        <w:rPr>
          <w:rFonts w:cstheme="minorHAnsi"/>
          <w:b w:val="0"/>
          <w:color w:val="000000" w:themeColor="text1"/>
          <w:sz w:val="20"/>
          <w:szCs w:val="20"/>
        </w:rPr>
        <w:t>%)</w:t>
      </w:r>
      <w:r w:rsidR="00EC7A9E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 of international student</w:t>
      </w:r>
      <w:r w:rsidR="003B40BF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 enrolments in</w:t>
      </w:r>
      <w:r w:rsidR="00EC7A9E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 regional </w:t>
      </w:r>
      <w:r w:rsidR="003B40BF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campuses across Australia were in </w:t>
      </w:r>
      <w:r w:rsidR="008E0FD6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the </w:t>
      </w:r>
      <w:r w:rsidR="003B40BF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ten </w:t>
      </w:r>
      <w:r w:rsidR="008E0FD6" w:rsidRPr="00C63BB0">
        <w:rPr>
          <w:rFonts w:cstheme="minorHAnsi"/>
          <w:b w:val="0"/>
          <w:color w:val="000000" w:themeColor="text1"/>
          <w:sz w:val="20"/>
          <w:szCs w:val="20"/>
        </w:rPr>
        <w:t>regions shown in Table 2.</w:t>
      </w:r>
      <w:r w:rsidR="003B40BF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A82CE3">
        <w:rPr>
          <w:rFonts w:cstheme="minorHAnsi"/>
          <w:b w:val="0"/>
          <w:color w:val="000000" w:themeColor="text1"/>
          <w:sz w:val="20"/>
          <w:szCs w:val="20"/>
        </w:rPr>
        <w:t xml:space="preserve">Students </w:t>
      </w:r>
      <w:r w:rsidR="00542F29">
        <w:rPr>
          <w:rFonts w:cstheme="minorHAnsi"/>
          <w:b w:val="0"/>
          <w:color w:val="000000" w:themeColor="text1"/>
          <w:sz w:val="20"/>
          <w:szCs w:val="20"/>
        </w:rPr>
        <w:t xml:space="preserve">were </w:t>
      </w:r>
      <w:r w:rsidR="00A82CE3">
        <w:rPr>
          <w:rFonts w:cstheme="minorHAnsi"/>
          <w:b w:val="0"/>
          <w:color w:val="000000" w:themeColor="text1"/>
          <w:sz w:val="20"/>
          <w:szCs w:val="20"/>
        </w:rPr>
        <w:t>predominantly</w:t>
      </w:r>
      <w:r w:rsidR="00542F29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8E0FD6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in large regional cities where education campuses are </w:t>
      </w:r>
      <w:r w:rsidR="00A82CE3">
        <w:rPr>
          <w:rFonts w:cstheme="minorHAnsi"/>
          <w:b w:val="0"/>
          <w:color w:val="000000" w:themeColor="text1"/>
          <w:sz w:val="20"/>
          <w:szCs w:val="20"/>
        </w:rPr>
        <w:t>present</w:t>
      </w:r>
      <w:r w:rsidR="003B40BF" w:rsidRPr="00C63BB0">
        <w:rPr>
          <w:rFonts w:cstheme="minorHAnsi"/>
          <w:b w:val="0"/>
          <w:color w:val="000000" w:themeColor="text1"/>
          <w:sz w:val="20"/>
          <w:szCs w:val="20"/>
        </w:rPr>
        <w:t>.</w:t>
      </w:r>
      <w:r w:rsidR="00EC7A9E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8E0FD6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For example, only </w:t>
      </w:r>
      <w:r w:rsidR="00C63BB0" w:rsidRPr="00C63BB0">
        <w:rPr>
          <w:rFonts w:cstheme="minorHAnsi"/>
          <w:b w:val="0"/>
          <w:color w:val="000000" w:themeColor="text1"/>
          <w:sz w:val="20"/>
          <w:szCs w:val="20"/>
        </w:rPr>
        <w:t>seven</w:t>
      </w:r>
      <w:r w:rsidR="008E0FD6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 of the </w:t>
      </w:r>
      <w:r w:rsidR="00C63BB0" w:rsidRPr="00C63BB0">
        <w:rPr>
          <w:rFonts w:cstheme="minorHAnsi"/>
          <w:b w:val="0"/>
          <w:color w:val="000000" w:themeColor="text1"/>
          <w:sz w:val="20"/>
          <w:szCs w:val="20"/>
        </w:rPr>
        <w:t>2,4</w:t>
      </w:r>
      <w:r w:rsidR="00AA5FAE">
        <w:rPr>
          <w:rFonts w:cstheme="minorHAnsi"/>
          <w:b w:val="0"/>
          <w:color w:val="000000" w:themeColor="text1"/>
          <w:sz w:val="20"/>
          <w:szCs w:val="20"/>
        </w:rPr>
        <w:t>30</w:t>
      </w:r>
      <w:r w:rsidR="008E0FD6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D62D73">
        <w:rPr>
          <w:rFonts w:cstheme="minorHAnsi"/>
          <w:b w:val="0"/>
          <w:color w:val="000000" w:themeColor="text1"/>
          <w:sz w:val="20"/>
          <w:szCs w:val="20"/>
        </w:rPr>
        <w:t>enrolments</w:t>
      </w:r>
      <w:r w:rsidR="008E0FD6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 in the Northern Territory were outside of Darwin.</w:t>
      </w:r>
    </w:p>
    <w:p w:rsidR="009B3FAA" w:rsidRPr="00CE0CD7" w:rsidRDefault="009B3FAA" w:rsidP="00D12C11">
      <w:pPr>
        <w:ind w:left="284"/>
        <w:jc w:val="both"/>
      </w:pPr>
      <w:r w:rsidRPr="00CE0CD7">
        <w:rPr>
          <w:b/>
        </w:rPr>
        <w:t>Nationality</w:t>
      </w:r>
    </w:p>
    <w:p w:rsidR="007624F4" w:rsidRPr="00740891" w:rsidRDefault="005B0959" w:rsidP="00D12C11">
      <w:pPr>
        <w:pStyle w:val="heading10"/>
        <w:tabs>
          <w:tab w:val="left" w:pos="5670"/>
          <w:tab w:val="left" w:pos="5812"/>
          <w:tab w:val="left" w:pos="5954"/>
          <w:tab w:val="left" w:pos="11057"/>
        </w:tabs>
        <w:spacing w:after="120"/>
        <w:ind w:left="284"/>
        <w:jc w:val="both"/>
        <w:rPr>
          <w:rFonts w:cstheme="minorHAnsi"/>
          <w:b w:val="0"/>
          <w:color w:val="000000" w:themeColor="text1"/>
          <w:sz w:val="20"/>
          <w:szCs w:val="20"/>
        </w:rPr>
      </w:pPr>
      <w:r w:rsidRPr="00C63BB0">
        <w:rPr>
          <w:rFonts w:cstheme="minorHAnsi"/>
          <w:b w:val="0"/>
          <w:color w:val="000000" w:themeColor="text1"/>
          <w:sz w:val="20"/>
          <w:szCs w:val="20"/>
        </w:rPr>
        <w:t xml:space="preserve">China </w:t>
      </w:r>
      <w:r w:rsidR="00542F29">
        <w:rPr>
          <w:rFonts w:cstheme="minorHAnsi"/>
          <w:b w:val="0"/>
          <w:color w:val="000000" w:themeColor="text1"/>
          <w:sz w:val="20"/>
          <w:szCs w:val="20"/>
        </w:rPr>
        <w:t>(24</w:t>
      </w:r>
      <w:r w:rsidR="00740891">
        <w:rPr>
          <w:rFonts w:cstheme="minorHAnsi"/>
          <w:b w:val="0"/>
          <w:color w:val="000000" w:themeColor="text1"/>
          <w:sz w:val="20"/>
          <w:szCs w:val="20"/>
        </w:rPr>
        <w:t xml:space="preserve">%) </w:t>
      </w:r>
      <w:r w:rsidRPr="00C63BB0">
        <w:rPr>
          <w:rFonts w:cstheme="minorHAnsi"/>
          <w:b w:val="0"/>
          <w:color w:val="000000" w:themeColor="text1"/>
          <w:sz w:val="20"/>
          <w:szCs w:val="20"/>
        </w:rPr>
        <w:t xml:space="preserve">and India </w:t>
      </w:r>
      <w:r w:rsidR="00740891">
        <w:rPr>
          <w:rFonts w:cstheme="minorHAnsi"/>
          <w:b w:val="0"/>
          <w:color w:val="000000" w:themeColor="text1"/>
          <w:sz w:val="20"/>
          <w:szCs w:val="20"/>
        </w:rPr>
        <w:t>(1</w:t>
      </w:r>
      <w:r w:rsidR="00542F29">
        <w:rPr>
          <w:rFonts w:cstheme="minorHAnsi"/>
          <w:b w:val="0"/>
          <w:color w:val="000000" w:themeColor="text1"/>
          <w:sz w:val="20"/>
          <w:szCs w:val="20"/>
        </w:rPr>
        <w:t>2</w:t>
      </w:r>
      <w:r w:rsidR="00740891">
        <w:rPr>
          <w:rFonts w:cstheme="minorHAnsi"/>
          <w:b w:val="0"/>
          <w:color w:val="000000" w:themeColor="text1"/>
          <w:sz w:val="20"/>
          <w:szCs w:val="20"/>
        </w:rPr>
        <w:t xml:space="preserve">%) </w:t>
      </w:r>
      <w:r w:rsidR="003B40BF" w:rsidRPr="00C63BB0">
        <w:rPr>
          <w:rFonts w:cstheme="minorHAnsi"/>
          <w:b w:val="0"/>
          <w:color w:val="000000" w:themeColor="text1"/>
          <w:sz w:val="20"/>
          <w:szCs w:val="20"/>
        </w:rPr>
        <w:t>were</w:t>
      </w:r>
      <w:r w:rsidRPr="00C63BB0">
        <w:rPr>
          <w:rFonts w:cstheme="minorHAnsi"/>
          <w:b w:val="0"/>
          <w:color w:val="000000" w:themeColor="text1"/>
          <w:sz w:val="20"/>
          <w:szCs w:val="20"/>
        </w:rPr>
        <w:t xml:space="preserve"> t</w:t>
      </w:r>
      <w:r w:rsidR="00CA7EB7" w:rsidRPr="00C63BB0">
        <w:rPr>
          <w:rFonts w:cstheme="minorHAnsi"/>
          <w:b w:val="0"/>
          <w:color w:val="000000" w:themeColor="text1"/>
          <w:sz w:val="20"/>
          <w:szCs w:val="20"/>
        </w:rPr>
        <w:t>he top two source countries</w:t>
      </w:r>
      <w:r w:rsidR="006E2A3B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281943" w:rsidRPr="00C63BB0">
        <w:rPr>
          <w:rFonts w:cstheme="minorHAnsi"/>
          <w:b w:val="0"/>
          <w:color w:val="000000" w:themeColor="text1"/>
          <w:sz w:val="20"/>
          <w:szCs w:val="20"/>
        </w:rPr>
        <w:t>for</w:t>
      </w:r>
      <w:r w:rsidR="00740891">
        <w:rPr>
          <w:rFonts w:cstheme="minorHAnsi"/>
          <w:b w:val="0"/>
          <w:color w:val="000000" w:themeColor="text1"/>
          <w:sz w:val="20"/>
          <w:szCs w:val="20"/>
        </w:rPr>
        <w:t xml:space="preserve"> regional enrolment</w:t>
      </w:r>
      <w:r w:rsidR="0091133A">
        <w:rPr>
          <w:rFonts w:cstheme="minorHAnsi"/>
          <w:b w:val="0"/>
          <w:color w:val="000000" w:themeColor="text1"/>
          <w:sz w:val="20"/>
          <w:szCs w:val="20"/>
        </w:rPr>
        <w:t>s</w:t>
      </w:r>
      <w:r w:rsidR="00740891">
        <w:rPr>
          <w:rFonts w:cstheme="minorHAnsi"/>
          <w:b w:val="0"/>
          <w:color w:val="000000" w:themeColor="text1"/>
          <w:sz w:val="20"/>
          <w:szCs w:val="20"/>
        </w:rPr>
        <w:t xml:space="preserve"> followed by </w:t>
      </w:r>
      <w:r w:rsidR="00542F29">
        <w:rPr>
          <w:rFonts w:cstheme="minorHAnsi"/>
          <w:b w:val="0"/>
          <w:color w:val="000000" w:themeColor="text1"/>
          <w:sz w:val="20"/>
          <w:szCs w:val="20"/>
        </w:rPr>
        <w:t>Nepal</w:t>
      </w:r>
      <w:r w:rsidR="00740891">
        <w:rPr>
          <w:rFonts w:cstheme="minorHAnsi"/>
          <w:b w:val="0"/>
          <w:color w:val="000000" w:themeColor="text1"/>
          <w:sz w:val="20"/>
          <w:szCs w:val="20"/>
        </w:rPr>
        <w:t xml:space="preserve"> (</w:t>
      </w:r>
      <w:r w:rsidR="00542F29">
        <w:rPr>
          <w:rFonts w:cstheme="minorHAnsi"/>
          <w:b w:val="0"/>
          <w:color w:val="000000" w:themeColor="text1"/>
          <w:sz w:val="20"/>
          <w:szCs w:val="20"/>
        </w:rPr>
        <w:t>6</w:t>
      </w:r>
      <w:r w:rsidR="00740891">
        <w:rPr>
          <w:rFonts w:cstheme="minorHAnsi"/>
          <w:b w:val="0"/>
          <w:color w:val="000000" w:themeColor="text1"/>
          <w:sz w:val="20"/>
          <w:szCs w:val="20"/>
        </w:rPr>
        <w:t xml:space="preserve">%), </w:t>
      </w:r>
      <w:r w:rsidR="00542F29">
        <w:rPr>
          <w:rFonts w:cstheme="minorHAnsi"/>
          <w:b w:val="0"/>
          <w:color w:val="000000" w:themeColor="text1"/>
          <w:sz w:val="20"/>
          <w:szCs w:val="20"/>
        </w:rPr>
        <w:t>Malaysia</w:t>
      </w:r>
      <w:r w:rsidR="00740891">
        <w:rPr>
          <w:rFonts w:cstheme="minorHAnsi"/>
          <w:b w:val="0"/>
          <w:color w:val="000000" w:themeColor="text1"/>
          <w:sz w:val="20"/>
          <w:szCs w:val="20"/>
        </w:rPr>
        <w:t xml:space="preserve"> (4%) and </w:t>
      </w:r>
      <w:r w:rsidR="00542F29">
        <w:rPr>
          <w:rFonts w:cstheme="minorHAnsi"/>
          <w:b w:val="0"/>
          <w:color w:val="000000" w:themeColor="text1"/>
          <w:sz w:val="20"/>
          <w:szCs w:val="20"/>
        </w:rPr>
        <w:t xml:space="preserve">the </w:t>
      </w:r>
      <w:r w:rsidR="00A00FB2">
        <w:rPr>
          <w:rFonts w:cstheme="minorHAnsi"/>
          <w:b w:val="0"/>
          <w:color w:val="000000" w:themeColor="text1"/>
          <w:sz w:val="20"/>
          <w:szCs w:val="20"/>
        </w:rPr>
        <w:t>USA</w:t>
      </w:r>
      <w:r w:rsidR="00740891">
        <w:rPr>
          <w:rFonts w:cstheme="minorHAnsi"/>
          <w:b w:val="0"/>
          <w:color w:val="000000" w:themeColor="text1"/>
          <w:sz w:val="20"/>
          <w:szCs w:val="20"/>
        </w:rPr>
        <w:t xml:space="preserve"> (4%).</w:t>
      </w:r>
      <w:r w:rsidR="006E2A3B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740891">
        <w:rPr>
          <w:rFonts w:cstheme="minorHAnsi"/>
          <w:b w:val="0"/>
          <w:color w:val="000000" w:themeColor="text1"/>
          <w:sz w:val="20"/>
          <w:szCs w:val="20"/>
        </w:rPr>
        <w:t xml:space="preserve">China and India together </w:t>
      </w:r>
      <w:r w:rsidR="006E2A3B" w:rsidRPr="00C63BB0">
        <w:rPr>
          <w:rFonts w:cstheme="minorHAnsi"/>
          <w:b w:val="0"/>
          <w:color w:val="000000" w:themeColor="text1"/>
          <w:sz w:val="20"/>
          <w:szCs w:val="20"/>
        </w:rPr>
        <w:t xml:space="preserve">contributed </w:t>
      </w:r>
      <w:r w:rsidR="00207AA8">
        <w:rPr>
          <w:rFonts w:cstheme="minorHAnsi"/>
          <w:b w:val="0"/>
          <w:color w:val="000000" w:themeColor="text1"/>
          <w:sz w:val="20"/>
          <w:szCs w:val="20"/>
        </w:rPr>
        <w:t>a third (</w:t>
      </w:r>
      <w:r w:rsidR="006E2A3B" w:rsidRPr="00C63BB0">
        <w:rPr>
          <w:rFonts w:cstheme="minorHAnsi"/>
          <w:b w:val="0"/>
          <w:color w:val="000000" w:themeColor="text1"/>
          <w:sz w:val="20"/>
          <w:szCs w:val="20"/>
        </w:rPr>
        <w:t>3</w:t>
      </w:r>
      <w:r w:rsidR="00542F29">
        <w:rPr>
          <w:rFonts w:cstheme="minorHAnsi"/>
          <w:b w:val="0"/>
          <w:color w:val="000000" w:themeColor="text1"/>
          <w:sz w:val="20"/>
          <w:szCs w:val="20"/>
        </w:rPr>
        <w:t>6</w:t>
      </w:r>
      <w:r w:rsidR="00207AA8">
        <w:rPr>
          <w:rFonts w:cstheme="minorHAnsi"/>
          <w:b w:val="0"/>
          <w:color w:val="000000" w:themeColor="text1"/>
          <w:sz w:val="20"/>
          <w:szCs w:val="20"/>
        </w:rPr>
        <w:t xml:space="preserve">%) </w:t>
      </w:r>
      <w:r w:rsidR="00281943" w:rsidRPr="00207AA8">
        <w:rPr>
          <w:rFonts w:cstheme="minorHAnsi"/>
          <w:b w:val="0"/>
          <w:color w:val="000000" w:themeColor="text1"/>
          <w:sz w:val="20"/>
          <w:szCs w:val="20"/>
        </w:rPr>
        <w:t>of the total regional enrolments, although</w:t>
      </w:r>
      <w:r w:rsidR="00CA7EB7" w:rsidRPr="00207AA8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C63BB0" w:rsidRPr="00207AA8">
        <w:rPr>
          <w:rFonts w:cstheme="minorHAnsi"/>
          <w:b w:val="0"/>
          <w:color w:val="000000" w:themeColor="text1"/>
          <w:sz w:val="20"/>
          <w:szCs w:val="20"/>
        </w:rPr>
        <w:t xml:space="preserve">just </w:t>
      </w:r>
      <w:r w:rsidR="00542F29">
        <w:rPr>
          <w:rFonts w:cstheme="minorHAnsi"/>
          <w:b w:val="0"/>
          <w:color w:val="000000" w:themeColor="text1"/>
          <w:sz w:val="20"/>
          <w:szCs w:val="20"/>
        </w:rPr>
        <w:t>three</w:t>
      </w:r>
      <w:r w:rsidR="006E2A3B" w:rsidRPr="00207AA8">
        <w:rPr>
          <w:rFonts w:cstheme="minorHAnsi"/>
          <w:b w:val="0"/>
          <w:color w:val="000000" w:themeColor="text1"/>
          <w:sz w:val="20"/>
          <w:szCs w:val="20"/>
        </w:rPr>
        <w:t xml:space="preserve"> per cent </w:t>
      </w:r>
      <w:r w:rsidR="00CA7EB7" w:rsidRPr="00207AA8">
        <w:rPr>
          <w:rFonts w:cstheme="minorHAnsi"/>
          <w:b w:val="0"/>
          <w:color w:val="000000" w:themeColor="text1"/>
          <w:sz w:val="20"/>
          <w:szCs w:val="20"/>
        </w:rPr>
        <w:t xml:space="preserve">of </w:t>
      </w:r>
      <w:r w:rsidR="00281943" w:rsidRPr="00207AA8">
        <w:rPr>
          <w:rFonts w:cstheme="minorHAnsi"/>
          <w:b w:val="0"/>
          <w:color w:val="000000" w:themeColor="text1"/>
          <w:sz w:val="20"/>
          <w:szCs w:val="20"/>
        </w:rPr>
        <w:t xml:space="preserve">all </w:t>
      </w:r>
      <w:r w:rsidR="00CA7EB7" w:rsidRPr="00207AA8">
        <w:rPr>
          <w:rFonts w:cstheme="minorHAnsi"/>
          <w:b w:val="0"/>
          <w:color w:val="000000" w:themeColor="text1"/>
          <w:sz w:val="20"/>
          <w:szCs w:val="20"/>
        </w:rPr>
        <w:t xml:space="preserve">student </w:t>
      </w:r>
      <w:r w:rsidR="003F1096" w:rsidRPr="00207AA8">
        <w:rPr>
          <w:rFonts w:cstheme="minorHAnsi"/>
          <w:b w:val="0"/>
          <w:color w:val="000000" w:themeColor="text1"/>
          <w:sz w:val="20"/>
          <w:szCs w:val="20"/>
        </w:rPr>
        <w:t xml:space="preserve">enrolments from </w:t>
      </w:r>
      <w:r w:rsidR="00281943" w:rsidRPr="00207AA8">
        <w:rPr>
          <w:rFonts w:cstheme="minorHAnsi"/>
          <w:b w:val="0"/>
          <w:color w:val="000000" w:themeColor="text1"/>
          <w:sz w:val="20"/>
          <w:szCs w:val="20"/>
        </w:rPr>
        <w:t>these countries</w:t>
      </w:r>
      <w:r w:rsidR="003F1096" w:rsidRPr="00207AA8">
        <w:rPr>
          <w:rFonts w:cstheme="minorHAnsi"/>
          <w:b w:val="0"/>
          <w:color w:val="000000" w:themeColor="text1"/>
          <w:sz w:val="20"/>
          <w:szCs w:val="20"/>
        </w:rPr>
        <w:t xml:space="preserve"> were</w:t>
      </w:r>
      <w:r w:rsidR="00CA7EB7" w:rsidRPr="00207AA8">
        <w:rPr>
          <w:rFonts w:cstheme="minorHAnsi"/>
          <w:b w:val="0"/>
          <w:color w:val="000000" w:themeColor="text1"/>
          <w:sz w:val="20"/>
          <w:szCs w:val="20"/>
        </w:rPr>
        <w:t xml:space="preserve"> in regional areas. </w:t>
      </w:r>
      <w:r w:rsidR="00542F29">
        <w:rPr>
          <w:rFonts w:cstheme="minorHAnsi"/>
          <w:b w:val="0"/>
          <w:color w:val="000000" w:themeColor="text1"/>
          <w:sz w:val="20"/>
          <w:szCs w:val="20"/>
        </w:rPr>
        <w:t xml:space="preserve">In comparison, eight per cent of </w:t>
      </w:r>
      <w:r w:rsidR="00A00FB2">
        <w:rPr>
          <w:rFonts w:cstheme="minorHAnsi"/>
          <w:b w:val="0"/>
          <w:color w:val="000000" w:themeColor="text1"/>
          <w:sz w:val="20"/>
          <w:szCs w:val="20"/>
        </w:rPr>
        <w:t>the USA’s</w:t>
      </w:r>
      <w:r w:rsidR="00542F29">
        <w:rPr>
          <w:rFonts w:cstheme="minorHAnsi"/>
          <w:b w:val="0"/>
          <w:color w:val="000000" w:themeColor="text1"/>
          <w:sz w:val="20"/>
          <w:szCs w:val="20"/>
        </w:rPr>
        <w:t xml:space="preserve"> enrolments </w:t>
      </w:r>
      <w:r w:rsidR="00A00FB2">
        <w:rPr>
          <w:rFonts w:cstheme="minorHAnsi"/>
          <w:b w:val="0"/>
          <w:color w:val="000000" w:themeColor="text1"/>
          <w:sz w:val="20"/>
          <w:szCs w:val="20"/>
        </w:rPr>
        <w:t xml:space="preserve">were </w:t>
      </w:r>
      <w:r w:rsidR="00542F29">
        <w:rPr>
          <w:rFonts w:cstheme="minorHAnsi"/>
          <w:b w:val="0"/>
          <w:color w:val="000000" w:themeColor="text1"/>
          <w:sz w:val="20"/>
          <w:szCs w:val="20"/>
        </w:rPr>
        <w:t>in regional areas</w:t>
      </w:r>
      <w:r w:rsidR="00A00FB2">
        <w:rPr>
          <w:rFonts w:cstheme="minorHAnsi"/>
          <w:b w:val="0"/>
          <w:color w:val="000000" w:themeColor="text1"/>
          <w:sz w:val="20"/>
          <w:szCs w:val="20"/>
        </w:rPr>
        <w:t>. The USA had the</w:t>
      </w:r>
      <w:r w:rsidR="00542F29">
        <w:rPr>
          <w:rFonts w:cstheme="minorHAnsi"/>
          <w:b w:val="0"/>
          <w:color w:val="000000" w:themeColor="text1"/>
          <w:sz w:val="20"/>
          <w:szCs w:val="20"/>
        </w:rPr>
        <w:t xml:space="preserve"> highest proportion of </w:t>
      </w:r>
      <w:r w:rsidR="00CA7EB7" w:rsidRPr="00740891">
        <w:rPr>
          <w:rFonts w:cstheme="minorHAnsi"/>
          <w:b w:val="0"/>
          <w:color w:val="000000" w:themeColor="text1"/>
          <w:sz w:val="20"/>
          <w:szCs w:val="20"/>
        </w:rPr>
        <w:t>regional enrolment</w:t>
      </w:r>
      <w:r w:rsidR="00A82CE3">
        <w:rPr>
          <w:rFonts w:cstheme="minorHAnsi"/>
          <w:b w:val="0"/>
          <w:color w:val="000000" w:themeColor="text1"/>
          <w:sz w:val="20"/>
          <w:szCs w:val="20"/>
        </w:rPr>
        <w:t>s</w:t>
      </w:r>
      <w:r w:rsidR="00542F29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A00FB2">
        <w:rPr>
          <w:rFonts w:cstheme="minorHAnsi"/>
          <w:b w:val="0"/>
          <w:color w:val="000000" w:themeColor="text1"/>
          <w:sz w:val="20"/>
          <w:szCs w:val="20"/>
        </w:rPr>
        <w:t xml:space="preserve">out </w:t>
      </w:r>
      <w:r w:rsidR="00542F29">
        <w:rPr>
          <w:rFonts w:cstheme="minorHAnsi"/>
          <w:b w:val="0"/>
          <w:color w:val="000000" w:themeColor="text1"/>
          <w:sz w:val="20"/>
          <w:szCs w:val="20"/>
        </w:rPr>
        <w:t>of the top ten nationalities represented in the regional areas</w:t>
      </w:r>
      <w:r w:rsidR="00CA7EB7" w:rsidRPr="00740891">
        <w:rPr>
          <w:rFonts w:cstheme="minorHAnsi"/>
          <w:b w:val="0"/>
          <w:color w:val="000000" w:themeColor="text1"/>
          <w:sz w:val="20"/>
          <w:szCs w:val="20"/>
        </w:rPr>
        <w:t>.</w:t>
      </w:r>
      <w:r w:rsidR="00347B13" w:rsidRPr="00740891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</w:p>
    <w:p w:rsidR="007218E1" w:rsidRPr="005876B4" w:rsidRDefault="007218E1" w:rsidP="00D12C11">
      <w:pPr>
        <w:pStyle w:val="heading10"/>
        <w:tabs>
          <w:tab w:val="left" w:pos="5670"/>
          <w:tab w:val="left" w:pos="5812"/>
          <w:tab w:val="left" w:pos="11057"/>
        </w:tabs>
        <w:spacing w:after="120"/>
        <w:ind w:left="284"/>
        <w:jc w:val="both"/>
        <w:rPr>
          <w:sz w:val="2"/>
          <w:szCs w:val="20"/>
          <w:lang w:val="en"/>
        </w:rPr>
      </w:pPr>
    </w:p>
    <w:p w:rsidR="00F2059D" w:rsidRPr="00CE0CD7" w:rsidRDefault="00983F7F" w:rsidP="00D12C11">
      <w:pPr>
        <w:tabs>
          <w:tab w:val="left" w:pos="5812"/>
        </w:tabs>
        <w:ind w:left="284"/>
        <w:jc w:val="both"/>
        <w:rPr>
          <w:b/>
        </w:rPr>
      </w:pPr>
      <w:r>
        <w:rPr>
          <w:b/>
        </w:rPr>
        <w:t xml:space="preserve">Sector, </w:t>
      </w:r>
      <w:r w:rsidR="00522731" w:rsidRPr="00CE0CD7">
        <w:rPr>
          <w:b/>
        </w:rPr>
        <w:t>Level of Study and Field of Education</w:t>
      </w:r>
    </w:p>
    <w:p w:rsidR="00CE768C" w:rsidRPr="007218E1" w:rsidRDefault="00C4477E" w:rsidP="00D12C11">
      <w:pPr>
        <w:pStyle w:val="heading10"/>
        <w:tabs>
          <w:tab w:val="left" w:pos="5670"/>
          <w:tab w:val="left" w:pos="5812"/>
          <w:tab w:val="left" w:pos="11057"/>
        </w:tabs>
        <w:spacing w:after="120"/>
        <w:ind w:left="284"/>
        <w:jc w:val="both"/>
        <w:rPr>
          <w:rFonts w:cstheme="minorHAnsi"/>
          <w:b w:val="0"/>
          <w:color w:val="000000" w:themeColor="text1"/>
          <w:sz w:val="20"/>
          <w:szCs w:val="20"/>
        </w:rPr>
      </w:pPr>
      <w:r>
        <w:rPr>
          <w:rFonts w:cstheme="minorHAnsi"/>
          <w:b w:val="0"/>
          <w:color w:val="000000" w:themeColor="text1"/>
          <w:sz w:val="20"/>
          <w:szCs w:val="20"/>
        </w:rPr>
        <w:t>Over</w:t>
      </w:r>
      <w:bookmarkStart w:id="0" w:name="_GoBack"/>
      <w:bookmarkEnd w:id="0"/>
      <w:r w:rsidR="002B526A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 half (</w:t>
      </w:r>
      <w:r w:rsidR="00FD14A1">
        <w:rPr>
          <w:rFonts w:cstheme="minorHAnsi"/>
          <w:b w:val="0"/>
          <w:color w:val="000000" w:themeColor="text1"/>
          <w:sz w:val="20"/>
          <w:szCs w:val="20"/>
        </w:rPr>
        <w:t>52</w:t>
      </w:r>
      <w:r w:rsidR="002B526A" w:rsidRPr="008E59C1">
        <w:rPr>
          <w:rFonts w:cstheme="minorHAnsi"/>
          <w:b w:val="0"/>
          <w:color w:val="000000" w:themeColor="text1"/>
          <w:sz w:val="20"/>
          <w:szCs w:val="20"/>
        </w:rPr>
        <w:t>%) of</w:t>
      </w:r>
      <w:r w:rsidR="00552783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F15FC5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students </w:t>
      </w:r>
      <w:r w:rsidR="00B82442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studying </w:t>
      </w:r>
      <w:r w:rsidR="00552783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in regional areas </w:t>
      </w:r>
      <w:r w:rsidR="002B526A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were </w:t>
      </w:r>
      <w:r w:rsidR="00B82442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enrolled in </w:t>
      </w:r>
      <w:r w:rsidR="00A82CE3">
        <w:rPr>
          <w:rFonts w:cstheme="minorHAnsi"/>
          <w:b w:val="0"/>
          <w:color w:val="000000" w:themeColor="text1"/>
          <w:sz w:val="20"/>
          <w:szCs w:val="20"/>
        </w:rPr>
        <w:t>higher education</w:t>
      </w:r>
      <w:r w:rsidR="00BF3549" w:rsidRPr="007218E1">
        <w:rPr>
          <w:rFonts w:cstheme="minorHAnsi"/>
          <w:b w:val="0"/>
          <w:color w:val="000000" w:themeColor="text1"/>
          <w:sz w:val="20"/>
          <w:szCs w:val="20"/>
        </w:rPr>
        <w:t>.</w:t>
      </w:r>
      <w:r w:rsidR="00CE768C" w:rsidRPr="007218E1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A82CE3">
        <w:rPr>
          <w:rFonts w:cstheme="minorHAnsi"/>
          <w:b w:val="0"/>
          <w:color w:val="000000" w:themeColor="text1"/>
          <w:sz w:val="20"/>
          <w:szCs w:val="20"/>
        </w:rPr>
        <w:t xml:space="preserve">The next most popular education sectors were </w:t>
      </w:r>
      <w:r w:rsidR="00A82CE3" w:rsidRPr="008E59C1">
        <w:rPr>
          <w:rFonts w:cstheme="minorHAnsi"/>
          <w:b w:val="0"/>
          <w:color w:val="000000" w:themeColor="text1"/>
          <w:sz w:val="20"/>
          <w:szCs w:val="20"/>
        </w:rPr>
        <w:t>VET, ELICOS, schools</w:t>
      </w:r>
      <w:r w:rsidR="00A82CE3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FD14A1">
        <w:rPr>
          <w:rFonts w:cstheme="minorHAnsi"/>
          <w:b w:val="0"/>
          <w:color w:val="000000" w:themeColor="text1"/>
          <w:sz w:val="20"/>
          <w:szCs w:val="20"/>
        </w:rPr>
        <w:t xml:space="preserve">and non-award </w:t>
      </w:r>
      <w:r w:rsidR="00A82CE3">
        <w:rPr>
          <w:rFonts w:cstheme="minorHAnsi"/>
          <w:b w:val="0"/>
          <w:color w:val="000000" w:themeColor="text1"/>
          <w:sz w:val="20"/>
          <w:szCs w:val="20"/>
        </w:rPr>
        <w:t>(see Chart</w:t>
      </w:r>
      <w:r w:rsidR="00E91835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A82CE3">
        <w:rPr>
          <w:rFonts w:cstheme="minorHAnsi"/>
          <w:b w:val="0"/>
          <w:color w:val="000000" w:themeColor="text1"/>
          <w:sz w:val="20"/>
          <w:szCs w:val="20"/>
        </w:rPr>
        <w:t>1)</w:t>
      </w:r>
      <w:r w:rsidR="00A531D3">
        <w:rPr>
          <w:rFonts w:cstheme="minorHAnsi"/>
          <w:b w:val="0"/>
          <w:color w:val="000000" w:themeColor="text1"/>
          <w:sz w:val="20"/>
          <w:szCs w:val="20"/>
        </w:rPr>
        <w:t>.</w:t>
      </w:r>
    </w:p>
    <w:p w:rsidR="005119E9" w:rsidRPr="008E59C1" w:rsidRDefault="004F1ACC" w:rsidP="00D12C11">
      <w:pPr>
        <w:pStyle w:val="heading10"/>
        <w:tabs>
          <w:tab w:val="left" w:pos="5670"/>
          <w:tab w:val="left" w:pos="5812"/>
          <w:tab w:val="left" w:pos="5954"/>
          <w:tab w:val="left" w:pos="11057"/>
        </w:tabs>
        <w:spacing w:after="120"/>
        <w:ind w:left="284"/>
        <w:jc w:val="both"/>
        <w:rPr>
          <w:color w:val="000000" w:themeColor="text1"/>
          <w:sz w:val="20"/>
          <w:szCs w:val="20"/>
        </w:rPr>
      </w:pPr>
      <w:r>
        <w:rPr>
          <w:noProof/>
          <w:lang w:bidi="hi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155575</wp:posOffset>
            </wp:positionV>
            <wp:extent cx="3219450" cy="19862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FB2">
        <w:rPr>
          <w:rFonts w:cstheme="minorHAnsi"/>
          <w:b w:val="0"/>
          <w:color w:val="000000" w:themeColor="text1"/>
          <w:sz w:val="20"/>
          <w:szCs w:val="20"/>
        </w:rPr>
        <w:t>Bachelor or M</w:t>
      </w:r>
      <w:r w:rsidR="00D140C2" w:rsidRPr="008E59C1">
        <w:rPr>
          <w:rFonts w:cstheme="minorHAnsi"/>
          <w:b w:val="0"/>
          <w:color w:val="000000" w:themeColor="text1"/>
          <w:sz w:val="20"/>
          <w:szCs w:val="20"/>
        </w:rPr>
        <w:t>asters (by coursework) degree</w:t>
      </w:r>
      <w:r w:rsidR="00A00FB2">
        <w:rPr>
          <w:rFonts w:cstheme="minorHAnsi"/>
          <w:b w:val="0"/>
          <w:color w:val="000000" w:themeColor="text1"/>
          <w:sz w:val="20"/>
          <w:szCs w:val="20"/>
        </w:rPr>
        <w:t>s</w:t>
      </w:r>
      <w:r w:rsidR="00AC1B97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983F7F" w:rsidRPr="008E59C1">
        <w:rPr>
          <w:rFonts w:cstheme="minorHAnsi"/>
          <w:b w:val="0"/>
          <w:color w:val="000000" w:themeColor="text1"/>
          <w:sz w:val="20"/>
          <w:szCs w:val="20"/>
        </w:rPr>
        <w:t>were</w:t>
      </w:r>
      <w:r w:rsidR="00AC1B97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 the most popular level of study for higher education students in</w:t>
      </w:r>
      <w:r w:rsidR="00B95E0D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 both regional and metropolitan areas</w:t>
      </w:r>
      <w:r w:rsidR="00AC1B97" w:rsidRPr="008E59C1">
        <w:rPr>
          <w:rFonts w:cstheme="minorHAnsi"/>
          <w:b w:val="0"/>
          <w:color w:val="000000" w:themeColor="text1"/>
          <w:sz w:val="20"/>
          <w:szCs w:val="20"/>
        </w:rPr>
        <w:t>.</w:t>
      </w:r>
      <w:r w:rsidR="00A00FB2">
        <w:rPr>
          <w:rFonts w:cstheme="minorHAnsi"/>
          <w:b w:val="0"/>
          <w:color w:val="000000" w:themeColor="text1"/>
          <w:sz w:val="20"/>
          <w:szCs w:val="20"/>
        </w:rPr>
        <w:t xml:space="preserve"> P</w:t>
      </w:r>
      <w:r w:rsidR="00A00FB2" w:rsidRPr="008E59C1">
        <w:rPr>
          <w:rFonts w:cstheme="minorHAnsi"/>
          <w:b w:val="0"/>
          <w:color w:val="000000" w:themeColor="text1"/>
          <w:sz w:val="20"/>
          <w:szCs w:val="20"/>
        </w:rPr>
        <w:t>ostgraduate research</w:t>
      </w:r>
      <w:r w:rsidR="00A00FB2">
        <w:rPr>
          <w:rFonts w:cstheme="minorHAnsi"/>
          <w:b w:val="0"/>
          <w:color w:val="000000" w:themeColor="text1"/>
          <w:sz w:val="20"/>
          <w:szCs w:val="20"/>
        </w:rPr>
        <w:t xml:space="preserve"> made up </w:t>
      </w:r>
      <w:r w:rsidR="00FD14A1">
        <w:rPr>
          <w:rFonts w:cstheme="minorHAnsi"/>
          <w:b w:val="0"/>
          <w:color w:val="000000" w:themeColor="text1"/>
          <w:sz w:val="20"/>
          <w:szCs w:val="20"/>
        </w:rPr>
        <w:t>twelve</w:t>
      </w:r>
      <w:r w:rsidR="00CF4029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 per cent of </w:t>
      </w:r>
      <w:r w:rsidR="00F049D4" w:rsidRPr="008E59C1">
        <w:rPr>
          <w:rFonts w:cstheme="minorHAnsi"/>
          <w:b w:val="0"/>
          <w:color w:val="000000" w:themeColor="text1"/>
          <w:sz w:val="20"/>
          <w:szCs w:val="20"/>
        </w:rPr>
        <w:t>enrolments</w:t>
      </w:r>
      <w:r w:rsidR="00CF4029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 in </w:t>
      </w:r>
      <w:r w:rsidR="00F049D4" w:rsidRPr="008E59C1">
        <w:rPr>
          <w:rFonts w:cstheme="minorHAnsi"/>
          <w:b w:val="0"/>
          <w:color w:val="000000" w:themeColor="text1"/>
          <w:sz w:val="20"/>
          <w:szCs w:val="20"/>
        </w:rPr>
        <w:t>regional areas</w:t>
      </w:r>
      <w:r w:rsidR="00215588" w:rsidRPr="008E59C1">
        <w:rPr>
          <w:rFonts w:cstheme="minorHAnsi"/>
          <w:b w:val="0"/>
          <w:color w:val="000000" w:themeColor="text1"/>
          <w:sz w:val="20"/>
          <w:szCs w:val="20"/>
        </w:rPr>
        <w:t>,</w:t>
      </w:r>
      <w:r w:rsidR="00432B3B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 compared with</w:t>
      </w:r>
      <w:r w:rsidR="00A531D3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FD14A1">
        <w:rPr>
          <w:rFonts w:cstheme="minorHAnsi"/>
          <w:b w:val="0"/>
          <w:color w:val="000000" w:themeColor="text1"/>
          <w:sz w:val="20"/>
          <w:szCs w:val="20"/>
        </w:rPr>
        <w:t>six</w:t>
      </w:r>
      <w:r w:rsidR="00432B3B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 per cent in metropolitan areas. </w:t>
      </w:r>
      <w:r w:rsidR="00B84721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Higher education students </w:t>
      </w:r>
      <w:r w:rsidR="00CF4029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in regional areas </w:t>
      </w:r>
      <w:r w:rsidR="00A00FB2">
        <w:rPr>
          <w:rFonts w:cstheme="minorHAnsi"/>
          <w:b w:val="0"/>
          <w:color w:val="000000" w:themeColor="text1"/>
          <w:sz w:val="20"/>
          <w:szCs w:val="20"/>
        </w:rPr>
        <w:t>were more likely to be</w:t>
      </w:r>
      <w:r w:rsidR="00A6603E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 study</w:t>
      </w:r>
      <w:r w:rsidR="00281943" w:rsidRPr="008E59C1">
        <w:rPr>
          <w:rFonts w:cstheme="minorHAnsi"/>
          <w:b w:val="0"/>
          <w:color w:val="000000" w:themeColor="text1"/>
          <w:sz w:val="20"/>
          <w:szCs w:val="20"/>
        </w:rPr>
        <w:t>ing</w:t>
      </w:r>
      <w:r w:rsidR="00A6603E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 in STEM</w:t>
      </w:r>
      <w:bookmarkStart w:id="1" w:name="_Ref485283381"/>
      <w:r w:rsidR="007218E1" w:rsidRPr="008E59C1">
        <w:rPr>
          <w:rStyle w:val="FootnoteReference"/>
          <w:rFonts w:cstheme="minorHAnsi"/>
          <w:b w:val="0"/>
          <w:color w:val="000000" w:themeColor="text1"/>
          <w:sz w:val="20"/>
          <w:szCs w:val="20"/>
        </w:rPr>
        <w:footnoteReference w:id="2"/>
      </w:r>
      <w:bookmarkEnd w:id="1"/>
      <w:r w:rsidR="00A6603E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 fields (</w:t>
      </w:r>
      <w:r w:rsidR="00FD14A1">
        <w:rPr>
          <w:rFonts w:cstheme="minorHAnsi"/>
          <w:b w:val="0"/>
          <w:color w:val="000000" w:themeColor="text1"/>
          <w:sz w:val="20"/>
          <w:szCs w:val="20"/>
        </w:rPr>
        <w:t>40</w:t>
      </w:r>
      <w:r w:rsidR="00A6603E" w:rsidRPr="008E59C1">
        <w:rPr>
          <w:rFonts w:cstheme="minorHAnsi"/>
          <w:b w:val="0"/>
          <w:color w:val="000000" w:themeColor="text1"/>
          <w:sz w:val="20"/>
          <w:szCs w:val="20"/>
        </w:rPr>
        <w:t>% of all enrolments</w:t>
      </w:r>
      <w:r w:rsidR="00A00FB2">
        <w:rPr>
          <w:rFonts w:cstheme="minorHAnsi"/>
          <w:b w:val="0"/>
          <w:color w:val="000000" w:themeColor="text1"/>
          <w:sz w:val="20"/>
          <w:szCs w:val="20"/>
        </w:rPr>
        <w:t>) than</w:t>
      </w:r>
      <w:r w:rsidR="00A273DD" w:rsidRPr="008E59C1">
        <w:rPr>
          <w:rFonts w:cstheme="minorHAnsi"/>
          <w:b w:val="0"/>
          <w:color w:val="000000" w:themeColor="text1"/>
          <w:sz w:val="20"/>
          <w:szCs w:val="20"/>
        </w:rPr>
        <w:t xml:space="preserve"> those in metropolitan areas (2</w:t>
      </w:r>
      <w:r w:rsidR="008E59C1" w:rsidRPr="008E59C1">
        <w:rPr>
          <w:rFonts w:cstheme="minorHAnsi"/>
          <w:b w:val="0"/>
          <w:color w:val="000000" w:themeColor="text1"/>
          <w:sz w:val="20"/>
          <w:szCs w:val="20"/>
        </w:rPr>
        <w:t>8</w:t>
      </w:r>
      <w:r w:rsidR="00A273DD" w:rsidRPr="008E59C1">
        <w:rPr>
          <w:rFonts w:cstheme="minorHAnsi"/>
          <w:b w:val="0"/>
          <w:color w:val="000000" w:themeColor="text1"/>
          <w:sz w:val="20"/>
          <w:szCs w:val="20"/>
        </w:rPr>
        <w:t>% of all enrolments).</w:t>
      </w:r>
      <w:r w:rsidR="00EB4570" w:rsidRPr="008E59C1">
        <w:rPr>
          <w:color w:val="000000" w:themeColor="text1"/>
          <w:sz w:val="20"/>
          <w:szCs w:val="20"/>
        </w:rPr>
        <w:t xml:space="preserve"> </w:t>
      </w:r>
    </w:p>
    <w:p w:rsidR="004C6566" w:rsidRPr="005876B4" w:rsidRDefault="004C6566" w:rsidP="00D12C11">
      <w:pPr>
        <w:ind w:left="284"/>
        <w:jc w:val="both"/>
        <w:rPr>
          <w:sz w:val="2"/>
        </w:rPr>
      </w:pPr>
    </w:p>
    <w:p w:rsidR="00F76086" w:rsidRPr="00F76086" w:rsidRDefault="00F76086" w:rsidP="00D12C11">
      <w:pPr>
        <w:ind w:left="284"/>
        <w:jc w:val="both"/>
        <w:rPr>
          <w:sz w:val="2"/>
        </w:rPr>
      </w:pPr>
    </w:p>
    <w:p w:rsidR="000831A9" w:rsidRPr="00CE0CD7" w:rsidRDefault="007F4DA4" w:rsidP="00D12C11">
      <w:pPr>
        <w:ind w:left="284"/>
        <w:jc w:val="both"/>
        <w:rPr>
          <w:b/>
        </w:rPr>
      </w:pPr>
      <w:r>
        <w:rPr>
          <w:b/>
        </w:rPr>
        <w:t>H</w:t>
      </w:r>
      <w:r w:rsidR="00F83B99" w:rsidRPr="00CE0CD7">
        <w:rPr>
          <w:b/>
        </w:rPr>
        <w:t>ow international education contributes to regional communities</w:t>
      </w:r>
    </w:p>
    <w:p w:rsidR="00AF3D12" w:rsidRPr="00076C0D" w:rsidRDefault="00C044FA" w:rsidP="00D12C11">
      <w:pPr>
        <w:tabs>
          <w:tab w:val="left" w:pos="5954"/>
          <w:tab w:val="left" w:pos="6096"/>
        </w:tabs>
        <w:ind w:left="284"/>
        <w:jc w:val="both"/>
      </w:pPr>
      <w:r w:rsidRPr="00076C0D">
        <w:rPr>
          <w:noProof/>
          <w:sz w:val="19"/>
        </w:rPr>
        <w:t xml:space="preserve">It </w:t>
      </w:r>
      <w:r w:rsidR="00076C0D">
        <w:rPr>
          <w:noProof/>
          <w:sz w:val="19"/>
        </w:rPr>
        <w:t>was estimated</w:t>
      </w:r>
      <w:r w:rsidR="00F83B99" w:rsidRPr="00076C0D">
        <w:t xml:space="preserve"> that </w:t>
      </w:r>
      <w:r w:rsidR="004E4ED3" w:rsidRPr="00076C0D">
        <w:t xml:space="preserve">onshore </w:t>
      </w:r>
      <w:r w:rsidR="00F83B99" w:rsidRPr="00076C0D">
        <w:t xml:space="preserve">international students </w:t>
      </w:r>
      <w:r w:rsidR="00DC3E74" w:rsidRPr="00076C0D">
        <w:t xml:space="preserve">studying </w:t>
      </w:r>
      <w:r w:rsidR="00871A49" w:rsidRPr="00076C0D">
        <w:t>and living in the New South Wales region of New England</w:t>
      </w:r>
      <w:r w:rsidR="006E2A3B" w:rsidRPr="00076C0D">
        <w:t xml:space="preserve"> and the North West</w:t>
      </w:r>
      <w:r w:rsidR="00871A49" w:rsidRPr="00076C0D">
        <w:t xml:space="preserve"> contributed $33 million to the local economy </w:t>
      </w:r>
      <w:r w:rsidR="00DC3E74" w:rsidRPr="00076C0D">
        <w:t>and supported 243 full time equivalent (FTE) jobs</w:t>
      </w:r>
      <w:r w:rsidR="00BE15C0" w:rsidRPr="00076C0D">
        <w:t xml:space="preserve"> </w:t>
      </w:r>
      <w:r w:rsidR="00BE15C0" w:rsidRPr="00076C0D">
        <w:rPr>
          <w:noProof/>
          <w:sz w:val="19"/>
        </w:rPr>
        <w:t>in 2014-15</w:t>
      </w:r>
      <w:r w:rsidR="0074068D">
        <w:rPr>
          <w:noProof/>
          <w:sz w:val="19"/>
        </w:rPr>
        <w:t xml:space="preserve"> and those </w:t>
      </w:r>
      <w:r w:rsidR="00076C0D">
        <w:t xml:space="preserve">studying and living in </w:t>
      </w:r>
      <w:r w:rsidR="001F5C41" w:rsidRPr="00076C0D">
        <w:t xml:space="preserve">Cairns </w:t>
      </w:r>
      <w:r w:rsidR="007F4DA4" w:rsidRPr="00076C0D">
        <w:t>(</w:t>
      </w:r>
      <w:r w:rsidR="001F5C41" w:rsidRPr="00076C0D">
        <w:t>Queensland</w:t>
      </w:r>
      <w:r w:rsidR="007F4DA4" w:rsidRPr="00076C0D">
        <w:t>)</w:t>
      </w:r>
      <w:r w:rsidR="001F5C41" w:rsidRPr="00076C0D">
        <w:t xml:space="preserve"> </w:t>
      </w:r>
      <w:r w:rsidR="007F4DA4" w:rsidRPr="00076C0D">
        <w:t>contributed</w:t>
      </w:r>
      <w:r w:rsidR="001F5C41" w:rsidRPr="00076C0D">
        <w:t xml:space="preserve"> $36 million</w:t>
      </w:r>
      <w:r w:rsidR="007F4DA4" w:rsidRPr="00076C0D">
        <w:t xml:space="preserve"> to the region, which</w:t>
      </w:r>
      <w:r w:rsidR="001F5C41" w:rsidRPr="00076C0D">
        <w:t xml:space="preserve"> support</w:t>
      </w:r>
      <w:r w:rsidR="007F4DA4" w:rsidRPr="00076C0D">
        <w:t>ed</w:t>
      </w:r>
      <w:r w:rsidR="001F5C41" w:rsidRPr="00076C0D">
        <w:t xml:space="preserve"> 273 FTE jobs. </w:t>
      </w:r>
      <w:r w:rsidR="00DA7CD4" w:rsidRPr="00076C0D">
        <w:t>In addition</w:t>
      </w:r>
      <w:r w:rsidR="00871A49" w:rsidRPr="00076C0D">
        <w:t xml:space="preserve">, </w:t>
      </w:r>
      <w:r w:rsidR="00DA7CD4" w:rsidRPr="00076C0D">
        <w:t xml:space="preserve">regional economies also benefit </w:t>
      </w:r>
      <w:r w:rsidR="00281943" w:rsidRPr="00076C0D">
        <w:t>indirect</w:t>
      </w:r>
      <w:r w:rsidR="007F4DA4" w:rsidRPr="00076C0D">
        <w:t>ly</w:t>
      </w:r>
      <w:r w:rsidR="00281943" w:rsidRPr="00076C0D">
        <w:t xml:space="preserve"> </w:t>
      </w:r>
      <w:r w:rsidR="007F4DA4" w:rsidRPr="00076C0D">
        <w:t>from</w:t>
      </w:r>
      <w:r w:rsidR="00DC3E74" w:rsidRPr="00076C0D">
        <w:t xml:space="preserve"> </w:t>
      </w:r>
      <w:r w:rsidR="00871A49" w:rsidRPr="00076C0D">
        <w:t>international students in metropolitan areas</w:t>
      </w:r>
      <w:r w:rsidR="007F4DA4" w:rsidRPr="00076C0D">
        <w:t xml:space="preserve"> via supply chains. For example, </w:t>
      </w:r>
      <w:r w:rsidR="00594D98" w:rsidRPr="00076C0D">
        <w:t>spending</w:t>
      </w:r>
      <w:r w:rsidR="007F4DA4" w:rsidRPr="00076C0D">
        <w:t xml:space="preserve"> by international students in Melbourne </w:t>
      </w:r>
      <w:proofErr w:type="gramStart"/>
      <w:r w:rsidR="007F4DA4" w:rsidRPr="00076C0D">
        <w:t>was estimated</w:t>
      </w:r>
      <w:proofErr w:type="gramEnd"/>
      <w:r w:rsidR="007F4DA4" w:rsidRPr="00076C0D">
        <w:t xml:space="preserve"> to contribute $888 million to regional Victoria</w:t>
      </w:r>
      <w:r w:rsidR="007F4DA4" w:rsidRPr="00076C0D">
        <w:rPr>
          <w:rStyle w:val="FootnoteReference"/>
        </w:rPr>
        <w:footnoteReference w:id="3"/>
      </w:r>
      <w:r w:rsidR="007F4DA4" w:rsidRPr="00076C0D">
        <w:t xml:space="preserve"> and supported 5,478 FTE jobs there.</w:t>
      </w:r>
    </w:p>
    <w:sectPr w:rsidR="00AF3D12" w:rsidRPr="00076C0D" w:rsidSect="00B3753A">
      <w:type w:val="continuous"/>
      <w:pgSz w:w="11906" w:h="16838" w:code="9"/>
      <w:pgMar w:top="238" w:right="510" w:bottom="567" w:left="403" w:header="567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C2" w:rsidRDefault="007039C2">
      <w:r>
        <w:separator/>
      </w:r>
    </w:p>
  </w:endnote>
  <w:endnote w:type="continuationSeparator" w:id="0">
    <w:p w:rsidR="007039C2" w:rsidRDefault="0070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05" w:rsidRDefault="00566432" w:rsidP="00D12C11">
    <w:pPr>
      <w:spacing w:line="160" w:lineRule="exact"/>
      <w:ind w:left="284"/>
      <w:rPr>
        <w:color w:val="000000"/>
        <w:sz w:val="14"/>
        <w:szCs w:val="12"/>
      </w:rPr>
    </w:pPr>
    <w:r w:rsidRPr="000E40B6">
      <w:rPr>
        <w:sz w:val="14"/>
        <w:szCs w:val="12"/>
      </w:rPr>
      <w:t>For further information about thi</w:t>
    </w:r>
    <w:r w:rsidRPr="00B84721">
      <w:rPr>
        <w:color w:val="000000"/>
        <w:sz w:val="14"/>
        <w:szCs w:val="12"/>
      </w:rPr>
      <w:t xml:space="preserve">s Research Snapshot or the Research Snapshot Series contact: International </w:t>
    </w:r>
    <w:r w:rsidR="00E710EA" w:rsidRPr="00B84721">
      <w:rPr>
        <w:color w:val="000000"/>
        <w:sz w:val="14"/>
        <w:szCs w:val="12"/>
      </w:rPr>
      <w:t xml:space="preserve">Research and Analysis Unit </w:t>
    </w:r>
    <w:r w:rsidRPr="00B84721">
      <w:rPr>
        <w:color w:val="000000"/>
        <w:sz w:val="14"/>
        <w:szCs w:val="12"/>
      </w:rPr>
      <w:t>by email</w:t>
    </w:r>
    <w:r w:rsidR="00CA7D91" w:rsidRPr="00B84721">
      <w:rPr>
        <w:color w:val="000000"/>
        <w:sz w:val="14"/>
        <w:szCs w:val="12"/>
      </w:rPr>
      <w:t xml:space="preserve"> </w:t>
    </w:r>
    <w:hyperlink r:id="rId1" w:history="1">
      <w:r w:rsidR="0079717B" w:rsidRPr="00471798">
        <w:rPr>
          <w:rStyle w:val="Hyperlink"/>
          <w:sz w:val="14"/>
          <w:szCs w:val="12"/>
        </w:rPr>
        <w:t>IEResearch@education.gov.au</w:t>
      </w:r>
    </w:hyperlink>
    <w:r w:rsidR="00CA7D91" w:rsidRPr="00B84721">
      <w:rPr>
        <w:color w:val="000000"/>
        <w:sz w:val="14"/>
        <w:szCs w:val="12"/>
      </w:rPr>
      <w:t xml:space="preserve"> </w:t>
    </w:r>
  </w:p>
  <w:p w:rsidR="00566432" w:rsidRDefault="00566432" w:rsidP="00D12C11">
    <w:pPr>
      <w:spacing w:line="160" w:lineRule="exact"/>
      <w:ind w:left="284"/>
      <w:rPr>
        <w:color w:val="000000"/>
        <w:sz w:val="6"/>
        <w:szCs w:val="12"/>
      </w:rPr>
    </w:pPr>
    <w:r w:rsidRPr="00B84721">
      <w:rPr>
        <w:color w:val="000000"/>
        <w:sz w:val="14"/>
        <w:szCs w:val="12"/>
      </w:rPr>
      <w:t xml:space="preserve">The Research Snapshot Series </w:t>
    </w:r>
    <w:r w:rsidR="00E710EA" w:rsidRPr="00B84721">
      <w:rPr>
        <w:color w:val="000000"/>
        <w:sz w:val="14"/>
        <w:szCs w:val="12"/>
      </w:rPr>
      <w:t>can be accessed</w:t>
    </w:r>
    <w:r w:rsidRPr="00B84721">
      <w:rPr>
        <w:color w:val="000000"/>
        <w:sz w:val="14"/>
        <w:szCs w:val="12"/>
      </w:rPr>
      <w:t xml:space="preserve"> at </w:t>
    </w:r>
    <w:hyperlink r:id="rId2" w:history="1">
      <w:r w:rsidR="0079717B" w:rsidRPr="00046B66">
        <w:rPr>
          <w:rStyle w:val="Hyperlink"/>
          <w:sz w:val="14"/>
        </w:rPr>
        <w:t>https://internationaleducation.gov.au/research/research-snapshots/pages/default.aspx</w:t>
      </w:r>
    </w:hyperlink>
  </w:p>
  <w:p w:rsidR="0079717B" w:rsidRPr="0079717B" w:rsidRDefault="0079717B" w:rsidP="00A2191C">
    <w:pPr>
      <w:spacing w:line="160" w:lineRule="exact"/>
      <w:rPr>
        <w:sz w:val="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C2" w:rsidRPr="00592245" w:rsidRDefault="007039C2" w:rsidP="00592245">
      <w:pPr>
        <w:pStyle w:val="Footer"/>
      </w:pPr>
    </w:p>
  </w:footnote>
  <w:footnote w:type="continuationSeparator" w:id="0">
    <w:p w:rsidR="007039C2" w:rsidRDefault="007039C2">
      <w:r>
        <w:continuationSeparator/>
      </w:r>
    </w:p>
  </w:footnote>
  <w:footnote w:id="1">
    <w:p w:rsidR="00463A29" w:rsidRPr="00AE7FC3" w:rsidRDefault="00463A29" w:rsidP="00D12C11">
      <w:pPr>
        <w:pStyle w:val="FootnoteText"/>
        <w:tabs>
          <w:tab w:val="left" w:pos="5954"/>
        </w:tabs>
        <w:ind w:left="284" w:right="-64"/>
        <w:rPr>
          <w:i/>
          <w:sz w:val="14"/>
          <w:szCs w:val="14"/>
        </w:rPr>
      </w:pPr>
      <w:r w:rsidRPr="00AE7FC3">
        <w:rPr>
          <w:rStyle w:val="FootnoteReference"/>
          <w:sz w:val="14"/>
          <w:szCs w:val="14"/>
        </w:rPr>
        <w:footnoteRef/>
      </w:r>
      <w:r w:rsidRPr="00AE7FC3">
        <w:rPr>
          <w:sz w:val="14"/>
          <w:szCs w:val="14"/>
        </w:rPr>
        <w:t xml:space="preserve"> </w:t>
      </w:r>
      <w:r w:rsidR="000D2C34">
        <w:rPr>
          <w:i/>
          <w:sz w:val="14"/>
          <w:szCs w:val="14"/>
        </w:rPr>
        <w:t>Regional for the purpose of this research snapshot includes all non-Major Cities areas as defined in t</w:t>
      </w:r>
      <w:r w:rsidR="009A55FE" w:rsidRPr="00AE7FC3">
        <w:rPr>
          <w:i/>
          <w:sz w:val="14"/>
          <w:szCs w:val="14"/>
        </w:rPr>
        <w:t xml:space="preserve">he Australian Bureau of Statistics Australian Statistical Geography </w:t>
      </w:r>
      <w:r w:rsidR="0049680F" w:rsidRPr="00AE7FC3">
        <w:rPr>
          <w:i/>
          <w:sz w:val="14"/>
          <w:szCs w:val="14"/>
        </w:rPr>
        <w:t>Standard (ASGS)</w:t>
      </w:r>
      <w:r w:rsidR="000D2C34">
        <w:rPr>
          <w:i/>
          <w:sz w:val="14"/>
          <w:szCs w:val="14"/>
        </w:rPr>
        <w:t xml:space="preserve"> Remoteness structure </w:t>
      </w:r>
      <w:hyperlink r:id="rId1" w:history="1">
        <w:r w:rsidR="000D2C34" w:rsidRPr="002471B9">
          <w:rPr>
            <w:rStyle w:val="Hyperlink"/>
            <w:i/>
            <w:sz w:val="14"/>
            <w:szCs w:val="14"/>
          </w:rPr>
          <w:t>http://www.abs.gov.au/websitedbs/D3310114.nsf/home/remoteness+structure</w:t>
        </w:r>
      </w:hyperlink>
      <w:r w:rsidR="000D2C34">
        <w:rPr>
          <w:i/>
          <w:sz w:val="14"/>
          <w:szCs w:val="14"/>
        </w:rPr>
        <w:t>.</w:t>
      </w:r>
      <w:r w:rsidR="0043466F">
        <w:rPr>
          <w:i/>
          <w:sz w:val="14"/>
          <w:szCs w:val="14"/>
        </w:rPr>
        <w:t xml:space="preserve"> </w:t>
      </w:r>
      <w:r w:rsidR="00D2638D">
        <w:rPr>
          <w:i/>
          <w:sz w:val="14"/>
          <w:szCs w:val="14"/>
        </w:rPr>
        <w:t xml:space="preserve">International student </w:t>
      </w:r>
      <w:r w:rsidR="0043466F">
        <w:rPr>
          <w:i/>
          <w:sz w:val="14"/>
          <w:szCs w:val="14"/>
        </w:rPr>
        <w:t>enrolments</w:t>
      </w:r>
      <w:r w:rsidR="00D2638D">
        <w:rPr>
          <w:i/>
          <w:sz w:val="14"/>
          <w:szCs w:val="14"/>
        </w:rPr>
        <w:t xml:space="preserve"> </w:t>
      </w:r>
      <w:r w:rsidR="0043466F">
        <w:rPr>
          <w:i/>
          <w:sz w:val="14"/>
          <w:szCs w:val="14"/>
        </w:rPr>
        <w:t xml:space="preserve">not be coded to the ASGS </w:t>
      </w:r>
      <w:r w:rsidR="00D2638D">
        <w:rPr>
          <w:i/>
          <w:sz w:val="14"/>
          <w:szCs w:val="14"/>
        </w:rPr>
        <w:t>(1.5%) are</w:t>
      </w:r>
      <w:r w:rsidR="0043466F">
        <w:rPr>
          <w:i/>
          <w:sz w:val="14"/>
          <w:szCs w:val="14"/>
        </w:rPr>
        <w:t xml:space="preserve"> excluded in this research snapshot.</w:t>
      </w:r>
    </w:p>
  </w:footnote>
  <w:footnote w:id="2">
    <w:p w:rsidR="007218E1" w:rsidRPr="00AE7FC3" w:rsidRDefault="007218E1" w:rsidP="00D12C11">
      <w:pPr>
        <w:pStyle w:val="FootnoteText"/>
        <w:ind w:left="284"/>
        <w:rPr>
          <w:sz w:val="14"/>
          <w:szCs w:val="14"/>
        </w:rPr>
      </w:pPr>
      <w:r w:rsidRPr="00AE7FC3">
        <w:rPr>
          <w:rStyle w:val="FootnoteReference"/>
          <w:i/>
          <w:sz w:val="14"/>
          <w:szCs w:val="14"/>
        </w:rPr>
        <w:footnoteRef/>
      </w:r>
      <w:r w:rsidRPr="00AE7FC3">
        <w:rPr>
          <w:i/>
          <w:sz w:val="14"/>
          <w:szCs w:val="14"/>
        </w:rPr>
        <w:t xml:space="preserve"> Science, Technology, Engineering and Mathematics; incorporating the broad fields Natural Physical Sciences, Agriculture and Environmental Studies, Information Technology and Engineering.</w:t>
      </w:r>
    </w:p>
  </w:footnote>
  <w:footnote w:id="3">
    <w:p w:rsidR="007F4DA4" w:rsidRPr="00AE7FC3" w:rsidRDefault="007F4DA4" w:rsidP="00D12C11">
      <w:pPr>
        <w:pStyle w:val="FootnoteText"/>
        <w:tabs>
          <w:tab w:val="left" w:pos="142"/>
        </w:tabs>
        <w:ind w:left="284"/>
        <w:rPr>
          <w:sz w:val="14"/>
          <w:szCs w:val="14"/>
        </w:rPr>
      </w:pPr>
      <w:r w:rsidRPr="00AE7FC3">
        <w:rPr>
          <w:rStyle w:val="FootnoteReference"/>
          <w:sz w:val="14"/>
          <w:szCs w:val="14"/>
        </w:rPr>
        <w:footnoteRef/>
      </w:r>
      <w:r w:rsidRPr="00AE7FC3">
        <w:rPr>
          <w:sz w:val="14"/>
          <w:szCs w:val="14"/>
        </w:rPr>
        <w:t xml:space="preserve"> </w:t>
      </w:r>
      <w:r w:rsidRPr="00AE7FC3">
        <w:rPr>
          <w:i/>
          <w:sz w:val="14"/>
          <w:szCs w:val="14"/>
        </w:rPr>
        <w:t xml:space="preserve">Deloitte Access Economics (2016). The Value of International Education to Australia available at </w:t>
      </w:r>
      <w:hyperlink r:id="rId2" w:history="1">
        <w:r w:rsidRPr="00AE7FC3">
          <w:rPr>
            <w:rStyle w:val="Hyperlink"/>
            <w:i/>
            <w:sz w:val="14"/>
            <w:szCs w:val="14"/>
          </w:rPr>
          <w:t>https://internationaleducation.gov.au/research/research-papers/Documents/ValueInternationalEd.pdf.</w:t>
        </w:r>
      </w:hyperlink>
    </w:p>
    <w:p w:rsidR="007F4DA4" w:rsidRPr="00AE7FC3" w:rsidRDefault="007F4DA4" w:rsidP="007F4DA4">
      <w:pPr>
        <w:pStyle w:val="FootnoteText"/>
        <w:tabs>
          <w:tab w:val="left" w:pos="142"/>
        </w:tabs>
        <w:rPr>
          <w:i/>
          <w:sz w:val="14"/>
          <w:szCs w:val="14"/>
        </w:rPr>
      </w:pPr>
      <w:r w:rsidRPr="00AE7FC3">
        <w:rPr>
          <w:i/>
          <w:sz w:val="14"/>
          <w:szCs w:val="1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34DCB"/>
    <w:multiLevelType w:val="hybridMultilevel"/>
    <w:tmpl w:val="198C6E4A"/>
    <w:lvl w:ilvl="0" w:tplc="151049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B7"/>
    <w:rsid w:val="000008DC"/>
    <w:rsid w:val="0000134E"/>
    <w:rsid w:val="00002622"/>
    <w:rsid w:val="00006CF0"/>
    <w:rsid w:val="00006D7A"/>
    <w:rsid w:val="0001036E"/>
    <w:rsid w:val="00010D51"/>
    <w:rsid w:val="00011A60"/>
    <w:rsid w:val="00014A12"/>
    <w:rsid w:val="00015C60"/>
    <w:rsid w:val="00016FA6"/>
    <w:rsid w:val="00026D21"/>
    <w:rsid w:val="00031338"/>
    <w:rsid w:val="000324C0"/>
    <w:rsid w:val="00033057"/>
    <w:rsid w:val="00033829"/>
    <w:rsid w:val="00034F54"/>
    <w:rsid w:val="00035FAB"/>
    <w:rsid w:val="00035FE5"/>
    <w:rsid w:val="00036EFF"/>
    <w:rsid w:val="0003779B"/>
    <w:rsid w:val="0004050F"/>
    <w:rsid w:val="00040D90"/>
    <w:rsid w:val="00041B86"/>
    <w:rsid w:val="00042EED"/>
    <w:rsid w:val="00046B66"/>
    <w:rsid w:val="00050720"/>
    <w:rsid w:val="00052C4B"/>
    <w:rsid w:val="00052CD9"/>
    <w:rsid w:val="00056D7B"/>
    <w:rsid w:val="000579A6"/>
    <w:rsid w:val="00062689"/>
    <w:rsid w:val="0006363D"/>
    <w:rsid w:val="000636C0"/>
    <w:rsid w:val="00064849"/>
    <w:rsid w:val="00065418"/>
    <w:rsid w:val="00065AB2"/>
    <w:rsid w:val="000715AE"/>
    <w:rsid w:val="00073A90"/>
    <w:rsid w:val="00076C0D"/>
    <w:rsid w:val="00077A02"/>
    <w:rsid w:val="000831A9"/>
    <w:rsid w:val="00083817"/>
    <w:rsid w:val="00084833"/>
    <w:rsid w:val="000860A7"/>
    <w:rsid w:val="00090DB0"/>
    <w:rsid w:val="00092D7C"/>
    <w:rsid w:val="000941CE"/>
    <w:rsid w:val="0009572B"/>
    <w:rsid w:val="00095934"/>
    <w:rsid w:val="00095D2C"/>
    <w:rsid w:val="000A06FE"/>
    <w:rsid w:val="000A2D0F"/>
    <w:rsid w:val="000A4182"/>
    <w:rsid w:val="000A6441"/>
    <w:rsid w:val="000B2679"/>
    <w:rsid w:val="000B2BAF"/>
    <w:rsid w:val="000B3A2D"/>
    <w:rsid w:val="000C2E42"/>
    <w:rsid w:val="000C6141"/>
    <w:rsid w:val="000D12E2"/>
    <w:rsid w:val="000D1690"/>
    <w:rsid w:val="000D1A0F"/>
    <w:rsid w:val="000D2115"/>
    <w:rsid w:val="000D26AD"/>
    <w:rsid w:val="000D2C34"/>
    <w:rsid w:val="000D2E88"/>
    <w:rsid w:val="000D667E"/>
    <w:rsid w:val="000D7C33"/>
    <w:rsid w:val="000D7D65"/>
    <w:rsid w:val="000E2B20"/>
    <w:rsid w:val="000E40B6"/>
    <w:rsid w:val="000E427C"/>
    <w:rsid w:val="000E7111"/>
    <w:rsid w:val="000F1E61"/>
    <w:rsid w:val="000F2452"/>
    <w:rsid w:val="000F2A82"/>
    <w:rsid w:val="000F4620"/>
    <w:rsid w:val="000F61E8"/>
    <w:rsid w:val="000F6496"/>
    <w:rsid w:val="000F76D0"/>
    <w:rsid w:val="000F7AE6"/>
    <w:rsid w:val="00101EED"/>
    <w:rsid w:val="00103020"/>
    <w:rsid w:val="001030C3"/>
    <w:rsid w:val="0011072D"/>
    <w:rsid w:val="00110952"/>
    <w:rsid w:val="001166F1"/>
    <w:rsid w:val="00116985"/>
    <w:rsid w:val="001169B5"/>
    <w:rsid w:val="00120C87"/>
    <w:rsid w:val="00121682"/>
    <w:rsid w:val="001218CA"/>
    <w:rsid w:val="00122D12"/>
    <w:rsid w:val="00124EFA"/>
    <w:rsid w:val="00125109"/>
    <w:rsid w:val="00126B1E"/>
    <w:rsid w:val="00127E38"/>
    <w:rsid w:val="00131528"/>
    <w:rsid w:val="00131D4C"/>
    <w:rsid w:val="001344D7"/>
    <w:rsid w:val="0013693D"/>
    <w:rsid w:val="00136AE8"/>
    <w:rsid w:val="001413F8"/>
    <w:rsid w:val="00141E0F"/>
    <w:rsid w:val="00142132"/>
    <w:rsid w:val="00142837"/>
    <w:rsid w:val="00142D11"/>
    <w:rsid w:val="0014444A"/>
    <w:rsid w:val="00150F17"/>
    <w:rsid w:val="001529B4"/>
    <w:rsid w:val="00154012"/>
    <w:rsid w:val="00154F21"/>
    <w:rsid w:val="001621C9"/>
    <w:rsid w:val="001632C2"/>
    <w:rsid w:val="00170567"/>
    <w:rsid w:val="00171815"/>
    <w:rsid w:val="00172042"/>
    <w:rsid w:val="001735B2"/>
    <w:rsid w:val="00173849"/>
    <w:rsid w:val="0017472E"/>
    <w:rsid w:val="001751CC"/>
    <w:rsid w:val="00176503"/>
    <w:rsid w:val="001775B3"/>
    <w:rsid w:val="00177D7F"/>
    <w:rsid w:val="001817F7"/>
    <w:rsid w:val="001873C7"/>
    <w:rsid w:val="00191BA1"/>
    <w:rsid w:val="0019380E"/>
    <w:rsid w:val="001949EB"/>
    <w:rsid w:val="00194B44"/>
    <w:rsid w:val="00196230"/>
    <w:rsid w:val="001968A8"/>
    <w:rsid w:val="00196D8C"/>
    <w:rsid w:val="001A0EDD"/>
    <w:rsid w:val="001A19C4"/>
    <w:rsid w:val="001A5293"/>
    <w:rsid w:val="001A53A4"/>
    <w:rsid w:val="001B15C2"/>
    <w:rsid w:val="001B3114"/>
    <w:rsid w:val="001B3A75"/>
    <w:rsid w:val="001B431D"/>
    <w:rsid w:val="001B46ED"/>
    <w:rsid w:val="001B52BF"/>
    <w:rsid w:val="001C12CE"/>
    <w:rsid w:val="001C1EEA"/>
    <w:rsid w:val="001C5273"/>
    <w:rsid w:val="001C7434"/>
    <w:rsid w:val="001C7A00"/>
    <w:rsid w:val="001D0AC4"/>
    <w:rsid w:val="001D250B"/>
    <w:rsid w:val="001D2BBC"/>
    <w:rsid w:val="001D60E0"/>
    <w:rsid w:val="001E079F"/>
    <w:rsid w:val="001E1589"/>
    <w:rsid w:val="001E4529"/>
    <w:rsid w:val="001E59B3"/>
    <w:rsid w:val="001E5D87"/>
    <w:rsid w:val="001E7993"/>
    <w:rsid w:val="001E7B0B"/>
    <w:rsid w:val="001F0AA6"/>
    <w:rsid w:val="001F4CEA"/>
    <w:rsid w:val="001F5C41"/>
    <w:rsid w:val="001F6C03"/>
    <w:rsid w:val="001F7203"/>
    <w:rsid w:val="002023F4"/>
    <w:rsid w:val="002029F8"/>
    <w:rsid w:val="00203992"/>
    <w:rsid w:val="00203BD2"/>
    <w:rsid w:val="002049E4"/>
    <w:rsid w:val="00204E0D"/>
    <w:rsid w:val="00205882"/>
    <w:rsid w:val="00207AA8"/>
    <w:rsid w:val="002153BD"/>
    <w:rsid w:val="00215588"/>
    <w:rsid w:val="00217475"/>
    <w:rsid w:val="00220553"/>
    <w:rsid w:val="00221FE0"/>
    <w:rsid w:val="002222FA"/>
    <w:rsid w:val="00222D25"/>
    <w:rsid w:val="00225063"/>
    <w:rsid w:val="00227202"/>
    <w:rsid w:val="002272BE"/>
    <w:rsid w:val="00227E73"/>
    <w:rsid w:val="00232CB1"/>
    <w:rsid w:val="002364A3"/>
    <w:rsid w:val="002366D5"/>
    <w:rsid w:val="002369F4"/>
    <w:rsid w:val="002373AC"/>
    <w:rsid w:val="00241E43"/>
    <w:rsid w:val="00243514"/>
    <w:rsid w:val="00246192"/>
    <w:rsid w:val="00250DEA"/>
    <w:rsid w:val="002514C3"/>
    <w:rsid w:val="00252223"/>
    <w:rsid w:val="00252322"/>
    <w:rsid w:val="00253C56"/>
    <w:rsid w:val="00253FCE"/>
    <w:rsid w:val="002553B5"/>
    <w:rsid w:val="0026026F"/>
    <w:rsid w:val="0026157C"/>
    <w:rsid w:val="00262411"/>
    <w:rsid w:val="00262C5E"/>
    <w:rsid w:val="00264952"/>
    <w:rsid w:val="002663C2"/>
    <w:rsid w:val="00266961"/>
    <w:rsid w:val="002674E7"/>
    <w:rsid w:val="00271249"/>
    <w:rsid w:val="00271C79"/>
    <w:rsid w:val="0027261F"/>
    <w:rsid w:val="00273A02"/>
    <w:rsid w:val="002744E2"/>
    <w:rsid w:val="00276799"/>
    <w:rsid w:val="00276E3A"/>
    <w:rsid w:val="0027749E"/>
    <w:rsid w:val="00277B81"/>
    <w:rsid w:val="00280D4C"/>
    <w:rsid w:val="00281943"/>
    <w:rsid w:val="002840F7"/>
    <w:rsid w:val="00286124"/>
    <w:rsid w:val="0029065F"/>
    <w:rsid w:val="002911E6"/>
    <w:rsid w:val="002914A7"/>
    <w:rsid w:val="0029290C"/>
    <w:rsid w:val="002943B1"/>
    <w:rsid w:val="002A2F76"/>
    <w:rsid w:val="002A57F3"/>
    <w:rsid w:val="002B4489"/>
    <w:rsid w:val="002B526A"/>
    <w:rsid w:val="002B5A00"/>
    <w:rsid w:val="002B634D"/>
    <w:rsid w:val="002C2764"/>
    <w:rsid w:val="002C58ED"/>
    <w:rsid w:val="002D0229"/>
    <w:rsid w:val="002D10DF"/>
    <w:rsid w:val="002D13BE"/>
    <w:rsid w:val="002D156F"/>
    <w:rsid w:val="002D4ADC"/>
    <w:rsid w:val="002D7B5D"/>
    <w:rsid w:val="002E1255"/>
    <w:rsid w:val="002E169F"/>
    <w:rsid w:val="002E1E82"/>
    <w:rsid w:val="002E25C3"/>
    <w:rsid w:val="002E2855"/>
    <w:rsid w:val="002E433A"/>
    <w:rsid w:val="002F016D"/>
    <w:rsid w:val="002F1D50"/>
    <w:rsid w:val="002F262A"/>
    <w:rsid w:val="002F2B7B"/>
    <w:rsid w:val="002F43B3"/>
    <w:rsid w:val="002F6067"/>
    <w:rsid w:val="002F6C5A"/>
    <w:rsid w:val="002F6C6E"/>
    <w:rsid w:val="00300C87"/>
    <w:rsid w:val="0030176F"/>
    <w:rsid w:val="00302BA4"/>
    <w:rsid w:val="00305026"/>
    <w:rsid w:val="00307E64"/>
    <w:rsid w:val="00310AA3"/>
    <w:rsid w:val="00311A93"/>
    <w:rsid w:val="00314DB0"/>
    <w:rsid w:val="0032036C"/>
    <w:rsid w:val="003207D7"/>
    <w:rsid w:val="00322C12"/>
    <w:rsid w:val="00323D29"/>
    <w:rsid w:val="00323FEC"/>
    <w:rsid w:val="00324BD6"/>
    <w:rsid w:val="00325183"/>
    <w:rsid w:val="0032703B"/>
    <w:rsid w:val="00327E66"/>
    <w:rsid w:val="00330106"/>
    <w:rsid w:val="00330895"/>
    <w:rsid w:val="0033440D"/>
    <w:rsid w:val="00334E02"/>
    <w:rsid w:val="00335C17"/>
    <w:rsid w:val="00337EF4"/>
    <w:rsid w:val="0034024C"/>
    <w:rsid w:val="003408D4"/>
    <w:rsid w:val="00340EF8"/>
    <w:rsid w:val="0034209B"/>
    <w:rsid w:val="003423BD"/>
    <w:rsid w:val="00342B2E"/>
    <w:rsid w:val="003445A4"/>
    <w:rsid w:val="00346EFD"/>
    <w:rsid w:val="00347B13"/>
    <w:rsid w:val="003510B6"/>
    <w:rsid w:val="0035197D"/>
    <w:rsid w:val="003523DC"/>
    <w:rsid w:val="003546F7"/>
    <w:rsid w:val="003557A9"/>
    <w:rsid w:val="00357776"/>
    <w:rsid w:val="00360AF0"/>
    <w:rsid w:val="00362500"/>
    <w:rsid w:val="00364904"/>
    <w:rsid w:val="00364B82"/>
    <w:rsid w:val="003677E6"/>
    <w:rsid w:val="003707F5"/>
    <w:rsid w:val="003769CD"/>
    <w:rsid w:val="00383763"/>
    <w:rsid w:val="00391124"/>
    <w:rsid w:val="003952B0"/>
    <w:rsid w:val="003954C8"/>
    <w:rsid w:val="003968CD"/>
    <w:rsid w:val="003A1B55"/>
    <w:rsid w:val="003A2EEE"/>
    <w:rsid w:val="003A52C1"/>
    <w:rsid w:val="003B40BF"/>
    <w:rsid w:val="003B547D"/>
    <w:rsid w:val="003B7FB4"/>
    <w:rsid w:val="003C0D9D"/>
    <w:rsid w:val="003C391C"/>
    <w:rsid w:val="003C560B"/>
    <w:rsid w:val="003C5B70"/>
    <w:rsid w:val="003C6DF8"/>
    <w:rsid w:val="003D04C1"/>
    <w:rsid w:val="003D0B63"/>
    <w:rsid w:val="003D0DD6"/>
    <w:rsid w:val="003D2681"/>
    <w:rsid w:val="003D36DE"/>
    <w:rsid w:val="003D3728"/>
    <w:rsid w:val="003D57AC"/>
    <w:rsid w:val="003D6094"/>
    <w:rsid w:val="003D7A81"/>
    <w:rsid w:val="003D7D24"/>
    <w:rsid w:val="003E1AF4"/>
    <w:rsid w:val="003E1CF7"/>
    <w:rsid w:val="003E579B"/>
    <w:rsid w:val="003E5F26"/>
    <w:rsid w:val="003E7465"/>
    <w:rsid w:val="003F1096"/>
    <w:rsid w:val="003F1229"/>
    <w:rsid w:val="003F134A"/>
    <w:rsid w:val="003F2AAE"/>
    <w:rsid w:val="003F31C1"/>
    <w:rsid w:val="003F3BFA"/>
    <w:rsid w:val="003F52C7"/>
    <w:rsid w:val="003F5D74"/>
    <w:rsid w:val="003F7790"/>
    <w:rsid w:val="003F7D2B"/>
    <w:rsid w:val="004008A5"/>
    <w:rsid w:val="004054A9"/>
    <w:rsid w:val="0040564B"/>
    <w:rsid w:val="00406A43"/>
    <w:rsid w:val="00406CA9"/>
    <w:rsid w:val="00412290"/>
    <w:rsid w:val="00414BCF"/>
    <w:rsid w:val="00417C5D"/>
    <w:rsid w:val="00421039"/>
    <w:rsid w:val="00422F8E"/>
    <w:rsid w:val="00424F28"/>
    <w:rsid w:val="004271AA"/>
    <w:rsid w:val="00430C60"/>
    <w:rsid w:val="0043184A"/>
    <w:rsid w:val="00432A8B"/>
    <w:rsid w:val="00432B3B"/>
    <w:rsid w:val="00432EB5"/>
    <w:rsid w:val="0043466F"/>
    <w:rsid w:val="00436C85"/>
    <w:rsid w:val="00440FB8"/>
    <w:rsid w:val="00441759"/>
    <w:rsid w:val="00441FC8"/>
    <w:rsid w:val="004421C5"/>
    <w:rsid w:val="00444A50"/>
    <w:rsid w:val="00444F7E"/>
    <w:rsid w:val="00446DFD"/>
    <w:rsid w:val="004477F0"/>
    <w:rsid w:val="00452CCF"/>
    <w:rsid w:val="0045411D"/>
    <w:rsid w:val="0045634D"/>
    <w:rsid w:val="0045661C"/>
    <w:rsid w:val="00460941"/>
    <w:rsid w:val="00461381"/>
    <w:rsid w:val="00461948"/>
    <w:rsid w:val="00463A29"/>
    <w:rsid w:val="00463DFB"/>
    <w:rsid w:val="004641BE"/>
    <w:rsid w:val="00464D0A"/>
    <w:rsid w:val="004652B6"/>
    <w:rsid w:val="00465F2D"/>
    <w:rsid w:val="00466EA3"/>
    <w:rsid w:val="004674D4"/>
    <w:rsid w:val="00470B17"/>
    <w:rsid w:val="0047138B"/>
    <w:rsid w:val="004713D3"/>
    <w:rsid w:val="004723EC"/>
    <w:rsid w:val="00472B0E"/>
    <w:rsid w:val="004757EE"/>
    <w:rsid w:val="00477620"/>
    <w:rsid w:val="00477742"/>
    <w:rsid w:val="00477C62"/>
    <w:rsid w:val="004807C0"/>
    <w:rsid w:val="0048272F"/>
    <w:rsid w:val="00482A3D"/>
    <w:rsid w:val="0048450D"/>
    <w:rsid w:val="00485F01"/>
    <w:rsid w:val="00486AFF"/>
    <w:rsid w:val="00487637"/>
    <w:rsid w:val="004905A4"/>
    <w:rsid w:val="00490B54"/>
    <w:rsid w:val="00493333"/>
    <w:rsid w:val="0049338C"/>
    <w:rsid w:val="0049445B"/>
    <w:rsid w:val="004949E2"/>
    <w:rsid w:val="00494B27"/>
    <w:rsid w:val="00494BF7"/>
    <w:rsid w:val="0049680F"/>
    <w:rsid w:val="00496F73"/>
    <w:rsid w:val="00497634"/>
    <w:rsid w:val="004977D4"/>
    <w:rsid w:val="00497A56"/>
    <w:rsid w:val="004A064E"/>
    <w:rsid w:val="004A135C"/>
    <w:rsid w:val="004A2E18"/>
    <w:rsid w:val="004A3598"/>
    <w:rsid w:val="004B1B86"/>
    <w:rsid w:val="004B1B94"/>
    <w:rsid w:val="004B1EEB"/>
    <w:rsid w:val="004B4D62"/>
    <w:rsid w:val="004C04FE"/>
    <w:rsid w:val="004C1FF6"/>
    <w:rsid w:val="004C5E5D"/>
    <w:rsid w:val="004C61B6"/>
    <w:rsid w:val="004C6566"/>
    <w:rsid w:val="004C7E9A"/>
    <w:rsid w:val="004D3512"/>
    <w:rsid w:val="004D3713"/>
    <w:rsid w:val="004D6179"/>
    <w:rsid w:val="004E017A"/>
    <w:rsid w:val="004E04B5"/>
    <w:rsid w:val="004E10AB"/>
    <w:rsid w:val="004E36DC"/>
    <w:rsid w:val="004E4ED3"/>
    <w:rsid w:val="004E5CEE"/>
    <w:rsid w:val="004E70D9"/>
    <w:rsid w:val="004F126E"/>
    <w:rsid w:val="004F1ACC"/>
    <w:rsid w:val="004F2303"/>
    <w:rsid w:val="004F2A68"/>
    <w:rsid w:val="004F3EE3"/>
    <w:rsid w:val="004F4458"/>
    <w:rsid w:val="00500B75"/>
    <w:rsid w:val="0050227C"/>
    <w:rsid w:val="00503EC7"/>
    <w:rsid w:val="00505B83"/>
    <w:rsid w:val="00506C1A"/>
    <w:rsid w:val="005119E9"/>
    <w:rsid w:val="00511DA3"/>
    <w:rsid w:val="00513D78"/>
    <w:rsid w:val="005143C1"/>
    <w:rsid w:val="00515A35"/>
    <w:rsid w:val="005162A2"/>
    <w:rsid w:val="00520616"/>
    <w:rsid w:val="00521F57"/>
    <w:rsid w:val="00522136"/>
    <w:rsid w:val="00522731"/>
    <w:rsid w:val="005240C9"/>
    <w:rsid w:val="0052579E"/>
    <w:rsid w:val="00525E6F"/>
    <w:rsid w:val="005262E9"/>
    <w:rsid w:val="00531914"/>
    <w:rsid w:val="00531B15"/>
    <w:rsid w:val="00531FA3"/>
    <w:rsid w:val="00533BB6"/>
    <w:rsid w:val="00542F29"/>
    <w:rsid w:val="0054317E"/>
    <w:rsid w:val="00543FFB"/>
    <w:rsid w:val="00544260"/>
    <w:rsid w:val="00544D96"/>
    <w:rsid w:val="00546E6C"/>
    <w:rsid w:val="005471AB"/>
    <w:rsid w:val="00547544"/>
    <w:rsid w:val="005502B1"/>
    <w:rsid w:val="00551F3A"/>
    <w:rsid w:val="00552783"/>
    <w:rsid w:val="0055759D"/>
    <w:rsid w:val="0056331E"/>
    <w:rsid w:val="00566432"/>
    <w:rsid w:val="00570D3A"/>
    <w:rsid w:val="00571295"/>
    <w:rsid w:val="00571811"/>
    <w:rsid w:val="005751E5"/>
    <w:rsid w:val="00576B0E"/>
    <w:rsid w:val="005833DB"/>
    <w:rsid w:val="00583450"/>
    <w:rsid w:val="00586617"/>
    <w:rsid w:val="005876B4"/>
    <w:rsid w:val="00590101"/>
    <w:rsid w:val="00590839"/>
    <w:rsid w:val="00592245"/>
    <w:rsid w:val="00594D98"/>
    <w:rsid w:val="00594FA2"/>
    <w:rsid w:val="005951FB"/>
    <w:rsid w:val="005965AD"/>
    <w:rsid w:val="00596C11"/>
    <w:rsid w:val="005978DB"/>
    <w:rsid w:val="005A18FE"/>
    <w:rsid w:val="005A203D"/>
    <w:rsid w:val="005A2D8C"/>
    <w:rsid w:val="005A2E05"/>
    <w:rsid w:val="005A316C"/>
    <w:rsid w:val="005A3326"/>
    <w:rsid w:val="005A37AF"/>
    <w:rsid w:val="005A3B27"/>
    <w:rsid w:val="005A6A78"/>
    <w:rsid w:val="005A7F91"/>
    <w:rsid w:val="005B01BC"/>
    <w:rsid w:val="005B0959"/>
    <w:rsid w:val="005B0E1F"/>
    <w:rsid w:val="005B2FC5"/>
    <w:rsid w:val="005B688C"/>
    <w:rsid w:val="005C176C"/>
    <w:rsid w:val="005C5639"/>
    <w:rsid w:val="005C6BE7"/>
    <w:rsid w:val="005D236C"/>
    <w:rsid w:val="005D564E"/>
    <w:rsid w:val="005D5C85"/>
    <w:rsid w:val="005D6308"/>
    <w:rsid w:val="005D6B0D"/>
    <w:rsid w:val="005E048E"/>
    <w:rsid w:val="005E35AF"/>
    <w:rsid w:val="005E5517"/>
    <w:rsid w:val="005E5E3A"/>
    <w:rsid w:val="005E671A"/>
    <w:rsid w:val="005F44A1"/>
    <w:rsid w:val="005F4DEC"/>
    <w:rsid w:val="005F76A2"/>
    <w:rsid w:val="005F7BAD"/>
    <w:rsid w:val="00600450"/>
    <w:rsid w:val="006029F4"/>
    <w:rsid w:val="00602CFA"/>
    <w:rsid w:val="006044F8"/>
    <w:rsid w:val="00606A1D"/>
    <w:rsid w:val="00607556"/>
    <w:rsid w:val="00607840"/>
    <w:rsid w:val="00607E56"/>
    <w:rsid w:val="006107F3"/>
    <w:rsid w:val="00610964"/>
    <w:rsid w:val="00610A7B"/>
    <w:rsid w:val="006113FB"/>
    <w:rsid w:val="006116CC"/>
    <w:rsid w:val="00613238"/>
    <w:rsid w:val="0061393E"/>
    <w:rsid w:val="006170D3"/>
    <w:rsid w:val="0062580A"/>
    <w:rsid w:val="00625D3E"/>
    <w:rsid w:val="00626723"/>
    <w:rsid w:val="00630018"/>
    <w:rsid w:val="0063009F"/>
    <w:rsid w:val="00630657"/>
    <w:rsid w:val="00630788"/>
    <w:rsid w:val="006318FA"/>
    <w:rsid w:val="00634E4A"/>
    <w:rsid w:val="006357A6"/>
    <w:rsid w:val="006359C7"/>
    <w:rsid w:val="00636364"/>
    <w:rsid w:val="00637726"/>
    <w:rsid w:val="00641044"/>
    <w:rsid w:val="0064174B"/>
    <w:rsid w:val="0064315D"/>
    <w:rsid w:val="00643B4B"/>
    <w:rsid w:val="00652B52"/>
    <w:rsid w:val="00654BF1"/>
    <w:rsid w:val="00655284"/>
    <w:rsid w:val="00655CCE"/>
    <w:rsid w:val="00656CE7"/>
    <w:rsid w:val="00660952"/>
    <w:rsid w:val="00660BB4"/>
    <w:rsid w:val="00661631"/>
    <w:rsid w:val="00662F6F"/>
    <w:rsid w:val="006640F2"/>
    <w:rsid w:val="0066736A"/>
    <w:rsid w:val="00667455"/>
    <w:rsid w:val="006679FB"/>
    <w:rsid w:val="006721C5"/>
    <w:rsid w:val="00672C6D"/>
    <w:rsid w:val="0067546C"/>
    <w:rsid w:val="00675A8A"/>
    <w:rsid w:val="00676110"/>
    <w:rsid w:val="00676771"/>
    <w:rsid w:val="00676A88"/>
    <w:rsid w:val="006806AA"/>
    <w:rsid w:val="006812D9"/>
    <w:rsid w:val="00681CC4"/>
    <w:rsid w:val="00683833"/>
    <w:rsid w:val="00683EBD"/>
    <w:rsid w:val="00684719"/>
    <w:rsid w:val="0068604C"/>
    <w:rsid w:val="00687798"/>
    <w:rsid w:val="00687D58"/>
    <w:rsid w:val="006913C7"/>
    <w:rsid w:val="0069305A"/>
    <w:rsid w:val="006949AD"/>
    <w:rsid w:val="00695CC3"/>
    <w:rsid w:val="00696828"/>
    <w:rsid w:val="00697988"/>
    <w:rsid w:val="006A0001"/>
    <w:rsid w:val="006A24E9"/>
    <w:rsid w:val="006A27A2"/>
    <w:rsid w:val="006A2E59"/>
    <w:rsid w:val="006A4A5B"/>
    <w:rsid w:val="006A6E3D"/>
    <w:rsid w:val="006A7F40"/>
    <w:rsid w:val="006B01B1"/>
    <w:rsid w:val="006B0D3B"/>
    <w:rsid w:val="006B149A"/>
    <w:rsid w:val="006B36DD"/>
    <w:rsid w:val="006B38CD"/>
    <w:rsid w:val="006B3AAB"/>
    <w:rsid w:val="006B4B87"/>
    <w:rsid w:val="006C1365"/>
    <w:rsid w:val="006C364B"/>
    <w:rsid w:val="006C4306"/>
    <w:rsid w:val="006C4659"/>
    <w:rsid w:val="006D0B98"/>
    <w:rsid w:val="006D56FA"/>
    <w:rsid w:val="006D5C12"/>
    <w:rsid w:val="006D5DEF"/>
    <w:rsid w:val="006D7A55"/>
    <w:rsid w:val="006E16F3"/>
    <w:rsid w:val="006E2195"/>
    <w:rsid w:val="006E2A3B"/>
    <w:rsid w:val="006E4188"/>
    <w:rsid w:val="006E49AE"/>
    <w:rsid w:val="006E553C"/>
    <w:rsid w:val="006E7CE1"/>
    <w:rsid w:val="006F3229"/>
    <w:rsid w:val="006F4694"/>
    <w:rsid w:val="006F56FF"/>
    <w:rsid w:val="007039C2"/>
    <w:rsid w:val="0070470A"/>
    <w:rsid w:val="007065BA"/>
    <w:rsid w:val="00706D3D"/>
    <w:rsid w:val="007072A5"/>
    <w:rsid w:val="00707FB2"/>
    <w:rsid w:val="00710E5E"/>
    <w:rsid w:val="007123D4"/>
    <w:rsid w:val="0071482C"/>
    <w:rsid w:val="00714A6E"/>
    <w:rsid w:val="0071500A"/>
    <w:rsid w:val="007167FA"/>
    <w:rsid w:val="00720DC7"/>
    <w:rsid w:val="007218E1"/>
    <w:rsid w:val="00723413"/>
    <w:rsid w:val="00724F16"/>
    <w:rsid w:val="00726470"/>
    <w:rsid w:val="00727E5F"/>
    <w:rsid w:val="00730B16"/>
    <w:rsid w:val="00730C7C"/>
    <w:rsid w:val="00732AD8"/>
    <w:rsid w:val="00733232"/>
    <w:rsid w:val="00733788"/>
    <w:rsid w:val="00737AB0"/>
    <w:rsid w:val="0074068D"/>
    <w:rsid w:val="00740891"/>
    <w:rsid w:val="00742BFA"/>
    <w:rsid w:val="00742E05"/>
    <w:rsid w:val="00744DF2"/>
    <w:rsid w:val="00752669"/>
    <w:rsid w:val="00752E17"/>
    <w:rsid w:val="00755D9C"/>
    <w:rsid w:val="0075711C"/>
    <w:rsid w:val="007620B0"/>
    <w:rsid w:val="007624F4"/>
    <w:rsid w:val="00763F9B"/>
    <w:rsid w:val="00765DE4"/>
    <w:rsid w:val="00766EEB"/>
    <w:rsid w:val="00771738"/>
    <w:rsid w:val="00772D54"/>
    <w:rsid w:val="00772E99"/>
    <w:rsid w:val="00774231"/>
    <w:rsid w:val="00775F01"/>
    <w:rsid w:val="007768D3"/>
    <w:rsid w:val="00776C5B"/>
    <w:rsid w:val="00782267"/>
    <w:rsid w:val="007855A2"/>
    <w:rsid w:val="00785996"/>
    <w:rsid w:val="007859C6"/>
    <w:rsid w:val="00786479"/>
    <w:rsid w:val="00787F8B"/>
    <w:rsid w:val="00792963"/>
    <w:rsid w:val="00795EC1"/>
    <w:rsid w:val="0079717B"/>
    <w:rsid w:val="007A21A9"/>
    <w:rsid w:val="007A452D"/>
    <w:rsid w:val="007A6236"/>
    <w:rsid w:val="007A6E10"/>
    <w:rsid w:val="007A6F7D"/>
    <w:rsid w:val="007B115C"/>
    <w:rsid w:val="007B26BE"/>
    <w:rsid w:val="007B53B7"/>
    <w:rsid w:val="007B71E3"/>
    <w:rsid w:val="007C0099"/>
    <w:rsid w:val="007C2140"/>
    <w:rsid w:val="007C229C"/>
    <w:rsid w:val="007C4CC8"/>
    <w:rsid w:val="007C4FF7"/>
    <w:rsid w:val="007C6BB5"/>
    <w:rsid w:val="007C6D41"/>
    <w:rsid w:val="007C7029"/>
    <w:rsid w:val="007C7C7D"/>
    <w:rsid w:val="007C7E58"/>
    <w:rsid w:val="007D1FE5"/>
    <w:rsid w:val="007D2486"/>
    <w:rsid w:val="007D3D96"/>
    <w:rsid w:val="007D48F4"/>
    <w:rsid w:val="007D5019"/>
    <w:rsid w:val="007D6470"/>
    <w:rsid w:val="007D7E2A"/>
    <w:rsid w:val="007E09A7"/>
    <w:rsid w:val="007E0B88"/>
    <w:rsid w:val="007E3CB4"/>
    <w:rsid w:val="007E4EB0"/>
    <w:rsid w:val="007E616F"/>
    <w:rsid w:val="007E7003"/>
    <w:rsid w:val="007E79FB"/>
    <w:rsid w:val="007F0A9A"/>
    <w:rsid w:val="007F1A58"/>
    <w:rsid w:val="007F3EBC"/>
    <w:rsid w:val="007F3FAC"/>
    <w:rsid w:val="007F4DA4"/>
    <w:rsid w:val="007F5AB3"/>
    <w:rsid w:val="007F65D8"/>
    <w:rsid w:val="007F6DC4"/>
    <w:rsid w:val="008024CA"/>
    <w:rsid w:val="00803FFC"/>
    <w:rsid w:val="00804A7A"/>
    <w:rsid w:val="008051D2"/>
    <w:rsid w:val="00805DCE"/>
    <w:rsid w:val="00814CC0"/>
    <w:rsid w:val="00816769"/>
    <w:rsid w:val="00823112"/>
    <w:rsid w:val="00823513"/>
    <w:rsid w:val="00825343"/>
    <w:rsid w:val="00826CBF"/>
    <w:rsid w:val="00827C4D"/>
    <w:rsid w:val="00830D27"/>
    <w:rsid w:val="00834E6C"/>
    <w:rsid w:val="00834EA6"/>
    <w:rsid w:val="00834F05"/>
    <w:rsid w:val="008419E5"/>
    <w:rsid w:val="00842479"/>
    <w:rsid w:val="00843ADD"/>
    <w:rsid w:val="00844283"/>
    <w:rsid w:val="00844D67"/>
    <w:rsid w:val="00846DFF"/>
    <w:rsid w:val="008471FE"/>
    <w:rsid w:val="00851FC2"/>
    <w:rsid w:val="00853AC7"/>
    <w:rsid w:val="00854EF3"/>
    <w:rsid w:val="00857532"/>
    <w:rsid w:val="00860C5B"/>
    <w:rsid w:val="00867846"/>
    <w:rsid w:val="00867A91"/>
    <w:rsid w:val="00871471"/>
    <w:rsid w:val="00871A49"/>
    <w:rsid w:val="00871E8F"/>
    <w:rsid w:val="0087216F"/>
    <w:rsid w:val="00872C8D"/>
    <w:rsid w:val="008730D2"/>
    <w:rsid w:val="008737BC"/>
    <w:rsid w:val="008743AC"/>
    <w:rsid w:val="0087518F"/>
    <w:rsid w:val="00877D42"/>
    <w:rsid w:val="00877E13"/>
    <w:rsid w:val="008812F9"/>
    <w:rsid w:val="00881BCA"/>
    <w:rsid w:val="0088551B"/>
    <w:rsid w:val="00886F24"/>
    <w:rsid w:val="00892B7F"/>
    <w:rsid w:val="0089666F"/>
    <w:rsid w:val="00896CDE"/>
    <w:rsid w:val="008A25B0"/>
    <w:rsid w:val="008A2810"/>
    <w:rsid w:val="008A2EC2"/>
    <w:rsid w:val="008A3DB1"/>
    <w:rsid w:val="008A45CA"/>
    <w:rsid w:val="008B2561"/>
    <w:rsid w:val="008B2EC5"/>
    <w:rsid w:val="008B5696"/>
    <w:rsid w:val="008B5B4E"/>
    <w:rsid w:val="008B5F46"/>
    <w:rsid w:val="008C1DD2"/>
    <w:rsid w:val="008C3192"/>
    <w:rsid w:val="008C47D7"/>
    <w:rsid w:val="008C5294"/>
    <w:rsid w:val="008C6E50"/>
    <w:rsid w:val="008D0E5C"/>
    <w:rsid w:val="008D0FDB"/>
    <w:rsid w:val="008D1AB0"/>
    <w:rsid w:val="008D38F4"/>
    <w:rsid w:val="008D3AEF"/>
    <w:rsid w:val="008D4425"/>
    <w:rsid w:val="008D486D"/>
    <w:rsid w:val="008D63CF"/>
    <w:rsid w:val="008D7644"/>
    <w:rsid w:val="008E066B"/>
    <w:rsid w:val="008E0FD6"/>
    <w:rsid w:val="008E185A"/>
    <w:rsid w:val="008E1E83"/>
    <w:rsid w:val="008E2A35"/>
    <w:rsid w:val="008E3C74"/>
    <w:rsid w:val="008E3DE8"/>
    <w:rsid w:val="008E59C1"/>
    <w:rsid w:val="008E74BF"/>
    <w:rsid w:val="008E7A82"/>
    <w:rsid w:val="008F0DFF"/>
    <w:rsid w:val="008F194E"/>
    <w:rsid w:val="008F2957"/>
    <w:rsid w:val="008F2BD9"/>
    <w:rsid w:val="008F336A"/>
    <w:rsid w:val="008F59C2"/>
    <w:rsid w:val="008F641E"/>
    <w:rsid w:val="00906614"/>
    <w:rsid w:val="00906E7A"/>
    <w:rsid w:val="0090744B"/>
    <w:rsid w:val="009104A8"/>
    <w:rsid w:val="0091133A"/>
    <w:rsid w:val="00911B7D"/>
    <w:rsid w:val="009137D5"/>
    <w:rsid w:val="009153DA"/>
    <w:rsid w:val="0092053E"/>
    <w:rsid w:val="009225B8"/>
    <w:rsid w:val="00922BD8"/>
    <w:rsid w:val="00923994"/>
    <w:rsid w:val="0092421D"/>
    <w:rsid w:val="009255D8"/>
    <w:rsid w:val="00925858"/>
    <w:rsid w:val="009279A0"/>
    <w:rsid w:val="0093124A"/>
    <w:rsid w:val="00931D3F"/>
    <w:rsid w:val="009349A1"/>
    <w:rsid w:val="009414BA"/>
    <w:rsid w:val="00941E9E"/>
    <w:rsid w:val="00942372"/>
    <w:rsid w:val="00943309"/>
    <w:rsid w:val="00943A74"/>
    <w:rsid w:val="00944A8F"/>
    <w:rsid w:val="00944BA7"/>
    <w:rsid w:val="00945EC3"/>
    <w:rsid w:val="009465ED"/>
    <w:rsid w:val="0095122E"/>
    <w:rsid w:val="0095143C"/>
    <w:rsid w:val="00951F6C"/>
    <w:rsid w:val="00953B39"/>
    <w:rsid w:val="00955FA2"/>
    <w:rsid w:val="00957150"/>
    <w:rsid w:val="009628F3"/>
    <w:rsid w:val="0096313F"/>
    <w:rsid w:val="009636E2"/>
    <w:rsid w:val="009674CA"/>
    <w:rsid w:val="00970C82"/>
    <w:rsid w:val="00971CD3"/>
    <w:rsid w:val="00974EE4"/>
    <w:rsid w:val="00976383"/>
    <w:rsid w:val="00976A47"/>
    <w:rsid w:val="00976AA0"/>
    <w:rsid w:val="009771BA"/>
    <w:rsid w:val="009779F3"/>
    <w:rsid w:val="00977C69"/>
    <w:rsid w:val="0098064F"/>
    <w:rsid w:val="009806CB"/>
    <w:rsid w:val="00983B31"/>
    <w:rsid w:val="00983DEF"/>
    <w:rsid w:val="00983F7F"/>
    <w:rsid w:val="0098564F"/>
    <w:rsid w:val="00986F46"/>
    <w:rsid w:val="00987083"/>
    <w:rsid w:val="0099070C"/>
    <w:rsid w:val="009913D2"/>
    <w:rsid w:val="00992A6C"/>
    <w:rsid w:val="00993CF5"/>
    <w:rsid w:val="00995948"/>
    <w:rsid w:val="0099624E"/>
    <w:rsid w:val="009977C1"/>
    <w:rsid w:val="009A1E73"/>
    <w:rsid w:val="009A4020"/>
    <w:rsid w:val="009A49DA"/>
    <w:rsid w:val="009A55FE"/>
    <w:rsid w:val="009A565E"/>
    <w:rsid w:val="009A5DF8"/>
    <w:rsid w:val="009A60C6"/>
    <w:rsid w:val="009A731E"/>
    <w:rsid w:val="009B10EC"/>
    <w:rsid w:val="009B18B0"/>
    <w:rsid w:val="009B3FAA"/>
    <w:rsid w:val="009B4A8F"/>
    <w:rsid w:val="009B51C0"/>
    <w:rsid w:val="009C1F28"/>
    <w:rsid w:val="009C6BF5"/>
    <w:rsid w:val="009C7861"/>
    <w:rsid w:val="009D0ED5"/>
    <w:rsid w:val="009D1FD8"/>
    <w:rsid w:val="009D2D23"/>
    <w:rsid w:val="009D63FC"/>
    <w:rsid w:val="009D6AEF"/>
    <w:rsid w:val="009E1D15"/>
    <w:rsid w:val="009E674C"/>
    <w:rsid w:val="009E7EA3"/>
    <w:rsid w:val="009F0BF1"/>
    <w:rsid w:val="009F0F45"/>
    <w:rsid w:val="009F29D6"/>
    <w:rsid w:val="009F65DD"/>
    <w:rsid w:val="00A006B8"/>
    <w:rsid w:val="00A00FB2"/>
    <w:rsid w:val="00A02BA4"/>
    <w:rsid w:val="00A02CD0"/>
    <w:rsid w:val="00A07CDB"/>
    <w:rsid w:val="00A13C7E"/>
    <w:rsid w:val="00A16133"/>
    <w:rsid w:val="00A2191C"/>
    <w:rsid w:val="00A241C4"/>
    <w:rsid w:val="00A264B9"/>
    <w:rsid w:val="00A267E2"/>
    <w:rsid w:val="00A273DD"/>
    <w:rsid w:val="00A330FE"/>
    <w:rsid w:val="00A3412B"/>
    <w:rsid w:val="00A34D5E"/>
    <w:rsid w:val="00A359DF"/>
    <w:rsid w:val="00A35BAC"/>
    <w:rsid w:val="00A36A94"/>
    <w:rsid w:val="00A37CB4"/>
    <w:rsid w:val="00A40E2D"/>
    <w:rsid w:val="00A43425"/>
    <w:rsid w:val="00A44B3C"/>
    <w:rsid w:val="00A45476"/>
    <w:rsid w:val="00A531D3"/>
    <w:rsid w:val="00A55DFF"/>
    <w:rsid w:val="00A563A2"/>
    <w:rsid w:val="00A56780"/>
    <w:rsid w:val="00A5727F"/>
    <w:rsid w:val="00A57340"/>
    <w:rsid w:val="00A576D4"/>
    <w:rsid w:val="00A6018D"/>
    <w:rsid w:val="00A6068D"/>
    <w:rsid w:val="00A61799"/>
    <w:rsid w:val="00A61869"/>
    <w:rsid w:val="00A62E87"/>
    <w:rsid w:val="00A65784"/>
    <w:rsid w:val="00A6603E"/>
    <w:rsid w:val="00A6731C"/>
    <w:rsid w:val="00A7112F"/>
    <w:rsid w:val="00A722D7"/>
    <w:rsid w:val="00A7620D"/>
    <w:rsid w:val="00A767AA"/>
    <w:rsid w:val="00A77B22"/>
    <w:rsid w:val="00A82CE3"/>
    <w:rsid w:val="00A85124"/>
    <w:rsid w:val="00A92298"/>
    <w:rsid w:val="00A93FC0"/>
    <w:rsid w:val="00A9641E"/>
    <w:rsid w:val="00AA0645"/>
    <w:rsid w:val="00AA2228"/>
    <w:rsid w:val="00AA34A0"/>
    <w:rsid w:val="00AA3FE2"/>
    <w:rsid w:val="00AA4825"/>
    <w:rsid w:val="00AA5FAE"/>
    <w:rsid w:val="00AA7515"/>
    <w:rsid w:val="00AA779C"/>
    <w:rsid w:val="00AB1629"/>
    <w:rsid w:val="00AB1F3B"/>
    <w:rsid w:val="00AB22FA"/>
    <w:rsid w:val="00AB2327"/>
    <w:rsid w:val="00AB3989"/>
    <w:rsid w:val="00AB39D3"/>
    <w:rsid w:val="00AB5668"/>
    <w:rsid w:val="00AB785F"/>
    <w:rsid w:val="00AB7D91"/>
    <w:rsid w:val="00AC0F26"/>
    <w:rsid w:val="00AC1B97"/>
    <w:rsid w:val="00AC35D0"/>
    <w:rsid w:val="00AC5969"/>
    <w:rsid w:val="00AC635B"/>
    <w:rsid w:val="00AC7313"/>
    <w:rsid w:val="00AD455C"/>
    <w:rsid w:val="00AE0AFC"/>
    <w:rsid w:val="00AE0E34"/>
    <w:rsid w:val="00AE30FF"/>
    <w:rsid w:val="00AE3BB9"/>
    <w:rsid w:val="00AE5F33"/>
    <w:rsid w:val="00AE6977"/>
    <w:rsid w:val="00AE7FC3"/>
    <w:rsid w:val="00AF2921"/>
    <w:rsid w:val="00AF2AC8"/>
    <w:rsid w:val="00AF3448"/>
    <w:rsid w:val="00AF3D12"/>
    <w:rsid w:val="00AF4207"/>
    <w:rsid w:val="00AF5093"/>
    <w:rsid w:val="00AF7717"/>
    <w:rsid w:val="00B010B7"/>
    <w:rsid w:val="00B01B19"/>
    <w:rsid w:val="00B01E25"/>
    <w:rsid w:val="00B0209B"/>
    <w:rsid w:val="00B04168"/>
    <w:rsid w:val="00B04A5C"/>
    <w:rsid w:val="00B05976"/>
    <w:rsid w:val="00B070B9"/>
    <w:rsid w:val="00B07895"/>
    <w:rsid w:val="00B07A31"/>
    <w:rsid w:val="00B12A8E"/>
    <w:rsid w:val="00B12B72"/>
    <w:rsid w:val="00B13FF0"/>
    <w:rsid w:val="00B1401D"/>
    <w:rsid w:val="00B14782"/>
    <w:rsid w:val="00B15628"/>
    <w:rsid w:val="00B177F5"/>
    <w:rsid w:val="00B2033C"/>
    <w:rsid w:val="00B20B7F"/>
    <w:rsid w:val="00B23185"/>
    <w:rsid w:val="00B23282"/>
    <w:rsid w:val="00B31119"/>
    <w:rsid w:val="00B34867"/>
    <w:rsid w:val="00B35700"/>
    <w:rsid w:val="00B3753A"/>
    <w:rsid w:val="00B4108B"/>
    <w:rsid w:val="00B4129C"/>
    <w:rsid w:val="00B4410E"/>
    <w:rsid w:val="00B44DCA"/>
    <w:rsid w:val="00B45305"/>
    <w:rsid w:val="00B457D9"/>
    <w:rsid w:val="00B45C9B"/>
    <w:rsid w:val="00B47399"/>
    <w:rsid w:val="00B52C9E"/>
    <w:rsid w:val="00B558B7"/>
    <w:rsid w:val="00B57724"/>
    <w:rsid w:val="00B60744"/>
    <w:rsid w:val="00B60985"/>
    <w:rsid w:val="00B61518"/>
    <w:rsid w:val="00B61BAA"/>
    <w:rsid w:val="00B63618"/>
    <w:rsid w:val="00B6510E"/>
    <w:rsid w:val="00B706A7"/>
    <w:rsid w:val="00B748B2"/>
    <w:rsid w:val="00B7729C"/>
    <w:rsid w:val="00B778FF"/>
    <w:rsid w:val="00B8164B"/>
    <w:rsid w:val="00B82442"/>
    <w:rsid w:val="00B83933"/>
    <w:rsid w:val="00B84721"/>
    <w:rsid w:val="00B85A9D"/>
    <w:rsid w:val="00B864DF"/>
    <w:rsid w:val="00B866A1"/>
    <w:rsid w:val="00B86E76"/>
    <w:rsid w:val="00B87DFD"/>
    <w:rsid w:val="00B90036"/>
    <w:rsid w:val="00B948FC"/>
    <w:rsid w:val="00B95E0D"/>
    <w:rsid w:val="00B970C0"/>
    <w:rsid w:val="00B97356"/>
    <w:rsid w:val="00BA1ABD"/>
    <w:rsid w:val="00BA2C89"/>
    <w:rsid w:val="00BA30DF"/>
    <w:rsid w:val="00BA36D4"/>
    <w:rsid w:val="00BA4DB0"/>
    <w:rsid w:val="00BA5B05"/>
    <w:rsid w:val="00BA7791"/>
    <w:rsid w:val="00BA7BAF"/>
    <w:rsid w:val="00BA7E86"/>
    <w:rsid w:val="00BB1269"/>
    <w:rsid w:val="00BB13A1"/>
    <w:rsid w:val="00BB1AFC"/>
    <w:rsid w:val="00BB2486"/>
    <w:rsid w:val="00BB26FE"/>
    <w:rsid w:val="00BB2F7B"/>
    <w:rsid w:val="00BB33AF"/>
    <w:rsid w:val="00BB3BDE"/>
    <w:rsid w:val="00BB74E9"/>
    <w:rsid w:val="00BC04DC"/>
    <w:rsid w:val="00BC2323"/>
    <w:rsid w:val="00BD0BB9"/>
    <w:rsid w:val="00BD0F4D"/>
    <w:rsid w:val="00BD110B"/>
    <w:rsid w:val="00BD127A"/>
    <w:rsid w:val="00BD5284"/>
    <w:rsid w:val="00BD6C08"/>
    <w:rsid w:val="00BE0EA3"/>
    <w:rsid w:val="00BE15C0"/>
    <w:rsid w:val="00BE18BE"/>
    <w:rsid w:val="00BE3E24"/>
    <w:rsid w:val="00BE4A9A"/>
    <w:rsid w:val="00BE7F65"/>
    <w:rsid w:val="00BF09EE"/>
    <w:rsid w:val="00BF3549"/>
    <w:rsid w:val="00BF4B87"/>
    <w:rsid w:val="00BF713C"/>
    <w:rsid w:val="00C019A9"/>
    <w:rsid w:val="00C01EB7"/>
    <w:rsid w:val="00C02048"/>
    <w:rsid w:val="00C02A75"/>
    <w:rsid w:val="00C03933"/>
    <w:rsid w:val="00C03C2C"/>
    <w:rsid w:val="00C044FA"/>
    <w:rsid w:val="00C061C4"/>
    <w:rsid w:val="00C0649C"/>
    <w:rsid w:val="00C07810"/>
    <w:rsid w:val="00C07B60"/>
    <w:rsid w:val="00C12191"/>
    <w:rsid w:val="00C146F8"/>
    <w:rsid w:val="00C14BBF"/>
    <w:rsid w:val="00C20D0D"/>
    <w:rsid w:val="00C22071"/>
    <w:rsid w:val="00C2525C"/>
    <w:rsid w:val="00C261A4"/>
    <w:rsid w:val="00C32EDA"/>
    <w:rsid w:val="00C33944"/>
    <w:rsid w:val="00C349D8"/>
    <w:rsid w:val="00C36A74"/>
    <w:rsid w:val="00C42852"/>
    <w:rsid w:val="00C441C2"/>
    <w:rsid w:val="00C4477E"/>
    <w:rsid w:val="00C449FE"/>
    <w:rsid w:val="00C457CA"/>
    <w:rsid w:val="00C45CEE"/>
    <w:rsid w:val="00C515EB"/>
    <w:rsid w:val="00C52584"/>
    <w:rsid w:val="00C526BF"/>
    <w:rsid w:val="00C53105"/>
    <w:rsid w:val="00C54721"/>
    <w:rsid w:val="00C6180A"/>
    <w:rsid w:val="00C62325"/>
    <w:rsid w:val="00C62C58"/>
    <w:rsid w:val="00C63899"/>
    <w:rsid w:val="00C63937"/>
    <w:rsid w:val="00C63BB0"/>
    <w:rsid w:val="00C6455C"/>
    <w:rsid w:val="00C647DA"/>
    <w:rsid w:val="00C66440"/>
    <w:rsid w:val="00C67A2B"/>
    <w:rsid w:val="00C71BC4"/>
    <w:rsid w:val="00C71BC7"/>
    <w:rsid w:val="00C73ACF"/>
    <w:rsid w:val="00C80CFE"/>
    <w:rsid w:val="00C80D8A"/>
    <w:rsid w:val="00C82913"/>
    <w:rsid w:val="00C83F16"/>
    <w:rsid w:val="00C865D0"/>
    <w:rsid w:val="00C879C7"/>
    <w:rsid w:val="00C9099E"/>
    <w:rsid w:val="00C915FD"/>
    <w:rsid w:val="00C956E1"/>
    <w:rsid w:val="00C960A1"/>
    <w:rsid w:val="00C966D0"/>
    <w:rsid w:val="00CA299E"/>
    <w:rsid w:val="00CA4A6C"/>
    <w:rsid w:val="00CA7A1C"/>
    <w:rsid w:val="00CA7D91"/>
    <w:rsid w:val="00CA7EB7"/>
    <w:rsid w:val="00CB0DCE"/>
    <w:rsid w:val="00CB1E27"/>
    <w:rsid w:val="00CB23B3"/>
    <w:rsid w:val="00CB4FBE"/>
    <w:rsid w:val="00CB657C"/>
    <w:rsid w:val="00CC0343"/>
    <w:rsid w:val="00CC2939"/>
    <w:rsid w:val="00CD04C2"/>
    <w:rsid w:val="00CD14FC"/>
    <w:rsid w:val="00CD16FC"/>
    <w:rsid w:val="00CD3F40"/>
    <w:rsid w:val="00CD459F"/>
    <w:rsid w:val="00CE0CD7"/>
    <w:rsid w:val="00CE6C0E"/>
    <w:rsid w:val="00CE768C"/>
    <w:rsid w:val="00CF0EDA"/>
    <w:rsid w:val="00CF3B4D"/>
    <w:rsid w:val="00CF4029"/>
    <w:rsid w:val="00CF463F"/>
    <w:rsid w:val="00CF4872"/>
    <w:rsid w:val="00CF5494"/>
    <w:rsid w:val="00CF7F82"/>
    <w:rsid w:val="00D01384"/>
    <w:rsid w:val="00D0378B"/>
    <w:rsid w:val="00D03A57"/>
    <w:rsid w:val="00D03F87"/>
    <w:rsid w:val="00D06101"/>
    <w:rsid w:val="00D109C7"/>
    <w:rsid w:val="00D12A6A"/>
    <w:rsid w:val="00D12C11"/>
    <w:rsid w:val="00D13196"/>
    <w:rsid w:val="00D140C2"/>
    <w:rsid w:val="00D14BB0"/>
    <w:rsid w:val="00D17E18"/>
    <w:rsid w:val="00D22BF0"/>
    <w:rsid w:val="00D2638D"/>
    <w:rsid w:val="00D2767E"/>
    <w:rsid w:val="00D30B77"/>
    <w:rsid w:val="00D33CFF"/>
    <w:rsid w:val="00D377A3"/>
    <w:rsid w:val="00D41E86"/>
    <w:rsid w:val="00D42025"/>
    <w:rsid w:val="00D44278"/>
    <w:rsid w:val="00D46D4C"/>
    <w:rsid w:val="00D47162"/>
    <w:rsid w:val="00D50B59"/>
    <w:rsid w:val="00D5216D"/>
    <w:rsid w:val="00D5300B"/>
    <w:rsid w:val="00D540FE"/>
    <w:rsid w:val="00D5622F"/>
    <w:rsid w:val="00D572DD"/>
    <w:rsid w:val="00D626E5"/>
    <w:rsid w:val="00D62D73"/>
    <w:rsid w:val="00D636CD"/>
    <w:rsid w:val="00D7068C"/>
    <w:rsid w:val="00D72B33"/>
    <w:rsid w:val="00D7475C"/>
    <w:rsid w:val="00D76778"/>
    <w:rsid w:val="00D771E7"/>
    <w:rsid w:val="00D80923"/>
    <w:rsid w:val="00D82913"/>
    <w:rsid w:val="00D83C16"/>
    <w:rsid w:val="00D9424A"/>
    <w:rsid w:val="00D95086"/>
    <w:rsid w:val="00D95289"/>
    <w:rsid w:val="00D9667E"/>
    <w:rsid w:val="00D9786A"/>
    <w:rsid w:val="00D97A20"/>
    <w:rsid w:val="00DA049A"/>
    <w:rsid w:val="00DA0796"/>
    <w:rsid w:val="00DA08B4"/>
    <w:rsid w:val="00DA105A"/>
    <w:rsid w:val="00DA15D1"/>
    <w:rsid w:val="00DA2043"/>
    <w:rsid w:val="00DA3600"/>
    <w:rsid w:val="00DA5F09"/>
    <w:rsid w:val="00DA6350"/>
    <w:rsid w:val="00DA6B7A"/>
    <w:rsid w:val="00DA7CD4"/>
    <w:rsid w:val="00DB05FA"/>
    <w:rsid w:val="00DB1767"/>
    <w:rsid w:val="00DB2939"/>
    <w:rsid w:val="00DB3C4A"/>
    <w:rsid w:val="00DB3DB2"/>
    <w:rsid w:val="00DB4F18"/>
    <w:rsid w:val="00DB5988"/>
    <w:rsid w:val="00DC3E74"/>
    <w:rsid w:val="00DC4777"/>
    <w:rsid w:val="00DC48D8"/>
    <w:rsid w:val="00DC61F9"/>
    <w:rsid w:val="00DD010C"/>
    <w:rsid w:val="00DD2ECF"/>
    <w:rsid w:val="00DD3B2F"/>
    <w:rsid w:val="00DD5BFA"/>
    <w:rsid w:val="00DE0900"/>
    <w:rsid w:val="00DE0972"/>
    <w:rsid w:val="00DE1983"/>
    <w:rsid w:val="00DE2EFD"/>
    <w:rsid w:val="00DE4177"/>
    <w:rsid w:val="00DE4358"/>
    <w:rsid w:val="00DE507D"/>
    <w:rsid w:val="00DE6F86"/>
    <w:rsid w:val="00DF4131"/>
    <w:rsid w:val="00DF64CE"/>
    <w:rsid w:val="00DF6BEC"/>
    <w:rsid w:val="00E01902"/>
    <w:rsid w:val="00E02A36"/>
    <w:rsid w:val="00E037E9"/>
    <w:rsid w:val="00E03B91"/>
    <w:rsid w:val="00E04569"/>
    <w:rsid w:val="00E0569B"/>
    <w:rsid w:val="00E06090"/>
    <w:rsid w:val="00E07BFC"/>
    <w:rsid w:val="00E10A26"/>
    <w:rsid w:val="00E1146F"/>
    <w:rsid w:val="00E119C6"/>
    <w:rsid w:val="00E119E9"/>
    <w:rsid w:val="00E12D0B"/>
    <w:rsid w:val="00E13063"/>
    <w:rsid w:val="00E139D8"/>
    <w:rsid w:val="00E13FB0"/>
    <w:rsid w:val="00E156EA"/>
    <w:rsid w:val="00E172BD"/>
    <w:rsid w:val="00E2022A"/>
    <w:rsid w:val="00E245F0"/>
    <w:rsid w:val="00E25C19"/>
    <w:rsid w:val="00E3770A"/>
    <w:rsid w:val="00E41611"/>
    <w:rsid w:val="00E420C5"/>
    <w:rsid w:val="00E42763"/>
    <w:rsid w:val="00E42D18"/>
    <w:rsid w:val="00E442CA"/>
    <w:rsid w:val="00E44816"/>
    <w:rsid w:val="00E46559"/>
    <w:rsid w:val="00E5007B"/>
    <w:rsid w:val="00E51511"/>
    <w:rsid w:val="00E5158E"/>
    <w:rsid w:val="00E51B02"/>
    <w:rsid w:val="00E52DDC"/>
    <w:rsid w:val="00E5354D"/>
    <w:rsid w:val="00E537EB"/>
    <w:rsid w:val="00E5384C"/>
    <w:rsid w:val="00E53DD2"/>
    <w:rsid w:val="00E54E28"/>
    <w:rsid w:val="00E54FD5"/>
    <w:rsid w:val="00E5613D"/>
    <w:rsid w:val="00E6074F"/>
    <w:rsid w:val="00E625E0"/>
    <w:rsid w:val="00E6496A"/>
    <w:rsid w:val="00E65DE5"/>
    <w:rsid w:val="00E700E2"/>
    <w:rsid w:val="00E710EA"/>
    <w:rsid w:val="00E71636"/>
    <w:rsid w:val="00E73005"/>
    <w:rsid w:val="00E73423"/>
    <w:rsid w:val="00E73448"/>
    <w:rsid w:val="00E73FC0"/>
    <w:rsid w:val="00E7457E"/>
    <w:rsid w:val="00E7512C"/>
    <w:rsid w:val="00E762FC"/>
    <w:rsid w:val="00E8018A"/>
    <w:rsid w:val="00E8292B"/>
    <w:rsid w:val="00E86995"/>
    <w:rsid w:val="00E91835"/>
    <w:rsid w:val="00E92377"/>
    <w:rsid w:val="00E92C58"/>
    <w:rsid w:val="00E95E1C"/>
    <w:rsid w:val="00E96E2B"/>
    <w:rsid w:val="00E979D1"/>
    <w:rsid w:val="00EA0E43"/>
    <w:rsid w:val="00EA301C"/>
    <w:rsid w:val="00EA5592"/>
    <w:rsid w:val="00EA7ADF"/>
    <w:rsid w:val="00EB0E88"/>
    <w:rsid w:val="00EB4570"/>
    <w:rsid w:val="00EB5B3D"/>
    <w:rsid w:val="00EC127B"/>
    <w:rsid w:val="00EC5DD3"/>
    <w:rsid w:val="00EC6B22"/>
    <w:rsid w:val="00EC7439"/>
    <w:rsid w:val="00EC76F4"/>
    <w:rsid w:val="00EC7A10"/>
    <w:rsid w:val="00EC7A9E"/>
    <w:rsid w:val="00ED0304"/>
    <w:rsid w:val="00ED26B1"/>
    <w:rsid w:val="00ED617F"/>
    <w:rsid w:val="00EE0E2B"/>
    <w:rsid w:val="00EE3371"/>
    <w:rsid w:val="00EE3D50"/>
    <w:rsid w:val="00EE5919"/>
    <w:rsid w:val="00EE5B09"/>
    <w:rsid w:val="00EE5DC5"/>
    <w:rsid w:val="00EE62BA"/>
    <w:rsid w:val="00EF3B05"/>
    <w:rsid w:val="00EF3E83"/>
    <w:rsid w:val="00EF45D0"/>
    <w:rsid w:val="00EF6C83"/>
    <w:rsid w:val="00EF7FAF"/>
    <w:rsid w:val="00F01E64"/>
    <w:rsid w:val="00F024D0"/>
    <w:rsid w:val="00F041F3"/>
    <w:rsid w:val="00F049D4"/>
    <w:rsid w:val="00F06547"/>
    <w:rsid w:val="00F117AF"/>
    <w:rsid w:val="00F13F55"/>
    <w:rsid w:val="00F15FC5"/>
    <w:rsid w:val="00F1645A"/>
    <w:rsid w:val="00F173D1"/>
    <w:rsid w:val="00F174B2"/>
    <w:rsid w:val="00F2059D"/>
    <w:rsid w:val="00F21166"/>
    <w:rsid w:val="00F21DD6"/>
    <w:rsid w:val="00F23375"/>
    <w:rsid w:val="00F27B0C"/>
    <w:rsid w:val="00F304D8"/>
    <w:rsid w:val="00F30823"/>
    <w:rsid w:val="00F3092B"/>
    <w:rsid w:val="00F312F4"/>
    <w:rsid w:val="00F33EDD"/>
    <w:rsid w:val="00F47901"/>
    <w:rsid w:val="00F501EB"/>
    <w:rsid w:val="00F5042D"/>
    <w:rsid w:val="00F51BFA"/>
    <w:rsid w:val="00F52DC0"/>
    <w:rsid w:val="00F54BED"/>
    <w:rsid w:val="00F54FAF"/>
    <w:rsid w:val="00F564C8"/>
    <w:rsid w:val="00F568CA"/>
    <w:rsid w:val="00F57F4D"/>
    <w:rsid w:val="00F60743"/>
    <w:rsid w:val="00F60E24"/>
    <w:rsid w:val="00F64BDA"/>
    <w:rsid w:val="00F66E88"/>
    <w:rsid w:val="00F6769A"/>
    <w:rsid w:val="00F679DF"/>
    <w:rsid w:val="00F71112"/>
    <w:rsid w:val="00F7117F"/>
    <w:rsid w:val="00F72599"/>
    <w:rsid w:val="00F73A1D"/>
    <w:rsid w:val="00F7453E"/>
    <w:rsid w:val="00F74C54"/>
    <w:rsid w:val="00F7500A"/>
    <w:rsid w:val="00F75D37"/>
    <w:rsid w:val="00F76086"/>
    <w:rsid w:val="00F76EDB"/>
    <w:rsid w:val="00F772BE"/>
    <w:rsid w:val="00F77581"/>
    <w:rsid w:val="00F80018"/>
    <w:rsid w:val="00F82CD4"/>
    <w:rsid w:val="00F83B99"/>
    <w:rsid w:val="00F847F8"/>
    <w:rsid w:val="00F8674D"/>
    <w:rsid w:val="00F90623"/>
    <w:rsid w:val="00F91AEE"/>
    <w:rsid w:val="00F94572"/>
    <w:rsid w:val="00F95D9A"/>
    <w:rsid w:val="00F970EB"/>
    <w:rsid w:val="00FA2657"/>
    <w:rsid w:val="00FA34AF"/>
    <w:rsid w:val="00FA6322"/>
    <w:rsid w:val="00FA6CB4"/>
    <w:rsid w:val="00FA73C3"/>
    <w:rsid w:val="00FB0BE4"/>
    <w:rsid w:val="00FB387C"/>
    <w:rsid w:val="00FB44FF"/>
    <w:rsid w:val="00FB45AA"/>
    <w:rsid w:val="00FB4F6D"/>
    <w:rsid w:val="00FB7B23"/>
    <w:rsid w:val="00FB7F7F"/>
    <w:rsid w:val="00FC6ABD"/>
    <w:rsid w:val="00FC73F5"/>
    <w:rsid w:val="00FD099D"/>
    <w:rsid w:val="00FD1082"/>
    <w:rsid w:val="00FD14A1"/>
    <w:rsid w:val="00FD16BC"/>
    <w:rsid w:val="00FD5AC7"/>
    <w:rsid w:val="00FD643F"/>
    <w:rsid w:val="00FD6DC8"/>
    <w:rsid w:val="00FE3B58"/>
    <w:rsid w:val="00FE5DEB"/>
    <w:rsid w:val="00FE7398"/>
    <w:rsid w:val="00FE7FE3"/>
    <w:rsid w:val="00FF169E"/>
    <w:rsid w:val="00FF4026"/>
    <w:rsid w:val="00FF761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5E5E73F"/>
  <w15:docId w15:val="{4CAE5AE1-45BC-4B82-ABEC-C124A79A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color w:val="000000" w:themeColor="text1"/>
        <w:szCs w:val="19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B1"/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</w:rPr>
  </w:style>
  <w:style w:type="character" w:styleId="Hyperlink">
    <w:name w:val="Hyperlink"/>
    <w:basedOn w:val="DefaultParagraphFont"/>
    <w:rsid w:val="00CF5494"/>
    <w:rPr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rsid w:val="00CF54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549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87D5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9674CA"/>
  </w:style>
  <w:style w:type="character" w:styleId="FootnoteReference">
    <w:name w:val="footnote reference"/>
    <w:basedOn w:val="DefaultParagraphFont"/>
    <w:semiHidden/>
    <w:rsid w:val="009674CA"/>
    <w:rPr>
      <w:vertAlign w:val="superscript"/>
    </w:rPr>
  </w:style>
  <w:style w:type="table" w:styleId="TableGrid">
    <w:name w:val="Table Grid"/>
    <w:basedOn w:val="TableNormal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E5F33"/>
    <w:rPr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EndnoteText">
    <w:name w:val="endnote text"/>
    <w:basedOn w:val="Normal"/>
    <w:link w:val="EndnoteTextChar"/>
    <w:rsid w:val="000D1690"/>
  </w:style>
  <w:style w:type="character" w:customStyle="1" w:styleId="EndnoteTextChar">
    <w:name w:val="Endnote Text Char"/>
    <w:basedOn w:val="DefaultParagraphFont"/>
    <w:link w:val="EndnoteText"/>
    <w:rsid w:val="000D1690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0D1690"/>
    <w:rPr>
      <w:vertAlign w:val="superscript"/>
    </w:rPr>
  </w:style>
  <w:style w:type="paragraph" w:customStyle="1" w:styleId="Default">
    <w:name w:val="Default"/>
    <w:rsid w:val="00470B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06101"/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ternationaleducation.gov.au/research/research-snapshots/pages/default.aspx" TargetMode="External"/><Relationship Id="rId1" Type="http://schemas.openxmlformats.org/officeDocument/2006/relationships/hyperlink" Target="mailto:IEResearch@education.gov.a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ternationaleducation.gov.au/research/research-papers/Documents/ValueInternationalEd.pdf" TargetMode="External"/><Relationship Id="rId1" Type="http://schemas.openxmlformats.org/officeDocument/2006/relationships/hyperlink" Target="http://www.abs.gov.au/websitedbs/D3310114.nsf/home/remoteness+struc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83EB3D-B574-425C-9DAB-1F332CC7F603}"/>
</file>

<file path=customXml/itemProps2.xml><?xml version="1.0" encoding="utf-8"?>
<ds:datastoreItem xmlns:ds="http://schemas.openxmlformats.org/officeDocument/2006/customXml" ds:itemID="{5099BC98-4224-42F2-A4D7-02C7541F799A}"/>
</file>

<file path=customXml/itemProps3.xml><?xml version="1.0" encoding="utf-8"?>
<ds:datastoreItem xmlns:ds="http://schemas.openxmlformats.org/officeDocument/2006/customXml" ds:itemID="{9BBD6476-C154-4296-8992-08CE62B60BEA}"/>
</file>

<file path=customXml/itemProps4.xml><?xml version="1.0" encoding="utf-8"?>
<ds:datastoreItem xmlns:ds="http://schemas.openxmlformats.org/officeDocument/2006/customXml" ds:itemID="{6FD45EDC-E202-4BEB-8110-135918D5E589}"/>
</file>

<file path=docProps/app.xml><?xml version="1.0" encoding="utf-8"?>
<Properties xmlns="http://schemas.openxmlformats.org/officeDocument/2006/extended-properties" xmlns:vt="http://schemas.openxmlformats.org/officeDocument/2006/docPropsVTypes">
  <Template>A992BA55.dotm</Template>
  <TotalTime>558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Student Snapshot</vt:lpstr>
    </vt:vector>
  </TitlesOfParts>
  <Company>DEEWR</Company>
  <LinksUpToDate>false</LinksUpToDate>
  <CharactersWithSpaces>2717</CharactersWithSpaces>
  <SharedDoc>false</SharedDoc>
  <HLinks>
    <vt:vector size="12" baseType="variant"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http://aei.gov.au/AEI/PublicationsAndResearch/Snapshots/Default.htm</vt:lpwstr>
      </vt:variant>
      <vt:variant>
        <vt:lpwstr/>
      </vt:variant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mailto:aei_research@deewr.gov.au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Student Snapshot</dc:title>
  <dc:creator>CI2200</dc:creator>
  <cp:lastModifiedBy>LE,Hai</cp:lastModifiedBy>
  <cp:revision>27</cp:revision>
  <cp:lastPrinted>2018-05-04T04:44:00Z</cp:lastPrinted>
  <dcterms:created xsi:type="dcterms:W3CDTF">2017-08-11T05:28:00Z</dcterms:created>
  <dcterms:modified xsi:type="dcterms:W3CDTF">2018-11-13T22:57:00Z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_NewReviewCycle">
    <vt:lpwstr/>
  </property>
  <property fmtid="{D5CDD505-2E9C-101B-9397-08002B2CF9AE}" pid="7" name="_AdHocReviewCycleID">
    <vt:i4>-1822468316</vt:i4>
  </property>
  <property fmtid="{D5CDD505-2E9C-101B-9397-08002B2CF9AE}" pid="8" name="_EmailSubject">
    <vt:lpwstr>Location of International Students in 2016.docx [SEC=UNCLASSIFIED]</vt:lpwstr>
  </property>
  <property fmtid="{D5CDD505-2E9C-101B-9397-08002B2CF9AE}" pid="9" name="_AuthorEmail">
    <vt:lpwstr>Sereana.Vaqewa@education.gov.au</vt:lpwstr>
  </property>
  <property fmtid="{D5CDD505-2E9C-101B-9397-08002B2CF9AE}" pid="10" name="_AuthorEmailDisplayName">
    <vt:lpwstr>VAQEWA,Sereana</vt:lpwstr>
  </property>
  <property fmtid="{D5CDD505-2E9C-101B-9397-08002B2CF9AE}" pid="11" name="_PreviousAdHocReviewCycleID">
    <vt:i4>1909676398</vt:i4>
  </property>
  <property fmtid="{D5CDD505-2E9C-101B-9397-08002B2CF9AE}" pid="12" name="_ReviewingToolsShownOnce">
    <vt:lpwstr/>
  </property>
  <property fmtid="{D5CDD505-2E9C-101B-9397-08002B2CF9AE}" pid="13" name="ContentTypeId">
    <vt:lpwstr>0x010100D600AA97F9017A4288665729A97B1723</vt:lpwstr>
  </property>
  <property fmtid="{D5CDD505-2E9C-101B-9397-08002B2CF9AE}" pid="14" name="Order">
    <vt:r8>27500</vt:r8>
  </property>
  <property fmtid="{D5CDD505-2E9C-101B-9397-08002B2CF9AE}" pid="15" name="xd_ProgID">
    <vt:lpwstr/>
  </property>
  <property fmtid="{D5CDD505-2E9C-101B-9397-08002B2CF9AE}" pid="16" name="_SharedFileIndex">
    <vt:lpwstr/>
  </property>
  <property fmtid="{D5CDD505-2E9C-101B-9397-08002B2CF9AE}" pid="17" name="_SourceUrl">
    <vt:lpwstr/>
  </property>
  <property fmtid="{D5CDD505-2E9C-101B-9397-08002B2CF9AE}" pid="18" name="TemplateUrl">
    <vt:lpwstr/>
  </property>
</Properties>
</file>