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6" w:rsidRPr="00D84304" w:rsidRDefault="00D84304" w:rsidP="00D25ECF">
      <w:pPr>
        <w:ind w:left="-284" w:right="-23"/>
        <w:rPr>
          <w:rFonts w:ascii="Arial" w:hAnsi="Arial" w:cs="Arial"/>
        </w:rPr>
      </w:pPr>
      <w:r w:rsidRPr="00254EC3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1462303C" wp14:editId="15E13A3A">
            <wp:simplePos x="0" y="0"/>
            <wp:positionH relativeFrom="column">
              <wp:posOffset>-161290</wp:posOffset>
            </wp:positionH>
            <wp:positionV relativeFrom="paragraph">
              <wp:posOffset>-748030</wp:posOffset>
            </wp:positionV>
            <wp:extent cx="699135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541" y="21188"/>
                <wp:lineTo x="21541" y="0"/>
                <wp:lineTo x="0" y="0"/>
              </wp:wrapPolygon>
            </wp:wrapTight>
            <wp:docPr id="1" name="Picture 1" descr="I:\IE\IES\IntResearchAnalysis\Section Publications\Research Snapshots\DET_Research Snapsho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\IES\IntResearchAnalysis\Section Publications\Research Snapshots\DET_Research Snapshot 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</w:t>
      </w:r>
      <w:r w:rsidR="00955556">
        <w:rPr>
          <w:rFonts w:ascii="Arial" w:hAnsi="Arial" w:cs="Arial"/>
        </w:rPr>
        <w:t>June</w:t>
      </w:r>
      <w:r w:rsidRPr="00D84304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</w:p>
    <w:p w:rsidR="00D84304" w:rsidRPr="00E47123" w:rsidRDefault="00D84304" w:rsidP="008A3C39">
      <w:pPr>
        <w:pStyle w:val="heading1"/>
        <w:spacing w:after="120"/>
        <w:ind w:left="-993"/>
      </w:pPr>
      <w:r w:rsidRPr="00E47123">
        <w:t>International students studying non-award courses in 2015</w:t>
      </w:r>
    </w:p>
    <w:p w:rsidR="0068670D" w:rsidRDefault="0068670D" w:rsidP="008A3C39">
      <w:pPr>
        <w:tabs>
          <w:tab w:val="left" w:pos="426"/>
        </w:tabs>
        <w:spacing w:after="0" w:line="240" w:lineRule="auto"/>
        <w:ind w:left="-284"/>
        <w:jc w:val="both"/>
        <w:rPr>
          <w:sz w:val="20"/>
        </w:rPr>
      </w:pPr>
    </w:p>
    <w:p w:rsidR="00D84304" w:rsidRDefault="00127508" w:rsidP="008A3C39">
      <w:pPr>
        <w:tabs>
          <w:tab w:val="left" w:pos="426"/>
        </w:tabs>
        <w:spacing w:after="0" w:line="240" w:lineRule="auto"/>
        <w:ind w:left="-284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7BC8BA" wp14:editId="03D032A8">
            <wp:simplePos x="0" y="0"/>
            <wp:positionH relativeFrom="column">
              <wp:posOffset>3268980</wp:posOffset>
            </wp:positionH>
            <wp:positionV relativeFrom="paragraph">
              <wp:posOffset>49530</wp:posOffset>
            </wp:positionV>
            <wp:extent cx="3582670" cy="2661920"/>
            <wp:effectExtent l="0" t="0" r="0" b="5080"/>
            <wp:wrapTight wrapText="bothSides">
              <wp:wrapPolygon edited="0">
                <wp:start x="0" y="0"/>
                <wp:lineTo x="0" y="21487"/>
                <wp:lineTo x="21477" y="21487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66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304">
        <w:rPr>
          <w:sz w:val="20"/>
        </w:rPr>
        <w:t xml:space="preserve">This snapshot provides an overview of international student </w:t>
      </w:r>
      <w:r w:rsidR="00D84304" w:rsidRPr="00BA7FB6">
        <w:rPr>
          <w:sz w:val="20"/>
        </w:rPr>
        <w:t xml:space="preserve">enrolments in courses that do not result in an award (or qualification) </w:t>
      </w:r>
      <w:r>
        <w:rPr>
          <w:sz w:val="20"/>
        </w:rPr>
        <w:t>that</w:t>
      </w:r>
      <w:r w:rsidR="00D84304" w:rsidRPr="00BA7FB6">
        <w:rPr>
          <w:sz w:val="20"/>
        </w:rPr>
        <w:t xml:space="preserve"> is recognised under the Australian Qualifications Framework. </w:t>
      </w:r>
      <w:r>
        <w:rPr>
          <w:sz w:val="20"/>
        </w:rPr>
        <w:t xml:space="preserve">Australian </w:t>
      </w:r>
      <w:r w:rsidR="00D84304" w:rsidRPr="00BA7FB6">
        <w:rPr>
          <w:sz w:val="20"/>
        </w:rPr>
        <w:t xml:space="preserve">non-award courses include two broad types: </w:t>
      </w:r>
      <w:r w:rsidR="00D84304" w:rsidRPr="00127508">
        <w:rPr>
          <w:b/>
          <w:sz w:val="20"/>
        </w:rPr>
        <w:t>foundation</w:t>
      </w:r>
      <w:r w:rsidR="00D84304" w:rsidRPr="00BA7FB6">
        <w:rPr>
          <w:sz w:val="20"/>
        </w:rPr>
        <w:t xml:space="preserve"> and other enabling courses; and </w:t>
      </w:r>
      <w:r w:rsidRPr="00127508">
        <w:rPr>
          <w:b/>
          <w:sz w:val="20"/>
        </w:rPr>
        <w:t>mobility</w:t>
      </w:r>
      <w:r>
        <w:rPr>
          <w:sz w:val="20"/>
        </w:rPr>
        <w:t xml:space="preserve"> courses, including </w:t>
      </w:r>
      <w:r w:rsidR="00D84304" w:rsidRPr="00BA7FB6">
        <w:rPr>
          <w:sz w:val="20"/>
        </w:rPr>
        <w:t>study abroad</w:t>
      </w:r>
      <w:r>
        <w:rPr>
          <w:sz w:val="20"/>
        </w:rPr>
        <w:t xml:space="preserve"> and</w:t>
      </w:r>
      <w:r w:rsidR="00D84304" w:rsidRPr="00BA7FB6">
        <w:rPr>
          <w:sz w:val="20"/>
        </w:rPr>
        <w:t xml:space="preserve"> study exchange </w:t>
      </w:r>
      <w:r>
        <w:rPr>
          <w:sz w:val="20"/>
        </w:rPr>
        <w:t>programs</w:t>
      </w:r>
      <w:r w:rsidR="00D84304">
        <w:rPr>
          <w:sz w:val="20"/>
        </w:rPr>
        <w:t>.</w:t>
      </w:r>
    </w:p>
    <w:p w:rsidR="00D25ECF" w:rsidRDefault="00D25ECF" w:rsidP="00D25ECF">
      <w:pPr>
        <w:spacing w:after="0" w:line="240" w:lineRule="auto"/>
        <w:jc w:val="both"/>
        <w:rPr>
          <w:sz w:val="20"/>
        </w:rPr>
      </w:pPr>
    </w:p>
    <w:p w:rsidR="00D84304" w:rsidRDefault="00D84304" w:rsidP="00972171">
      <w:pPr>
        <w:spacing w:after="0" w:line="240" w:lineRule="auto"/>
        <w:ind w:left="-284"/>
        <w:jc w:val="both"/>
        <w:rPr>
          <w:sz w:val="20"/>
        </w:rPr>
      </w:pPr>
      <w:r>
        <w:rPr>
          <w:sz w:val="20"/>
        </w:rPr>
        <w:t>There were 645,185</w:t>
      </w:r>
      <w:r>
        <w:rPr>
          <w:rStyle w:val="FootnoteReference"/>
          <w:sz w:val="20"/>
        </w:rPr>
        <w:footnoteReference w:id="1"/>
      </w:r>
      <w:r>
        <w:rPr>
          <w:sz w:val="20"/>
        </w:rPr>
        <w:t xml:space="preserve"> international student enrolments in Australia in 2015. Almost six per cent or 37,496 enrolments were in the non-award sector, which included 17,044 enrolments in foundation courses and 20,452 enrolments in mobility</w:t>
      </w:r>
      <w:r>
        <w:rPr>
          <w:rStyle w:val="FootnoteReference"/>
          <w:sz w:val="20"/>
        </w:rPr>
        <w:footnoteReference w:id="2"/>
      </w:r>
      <w:r w:rsidR="00D25ECF">
        <w:rPr>
          <w:sz w:val="20"/>
        </w:rPr>
        <w:t xml:space="preserve"> courses.</w:t>
      </w:r>
    </w:p>
    <w:p w:rsidR="00D25ECF" w:rsidRDefault="00D25ECF" w:rsidP="00D25ECF">
      <w:pPr>
        <w:spacing w:after="0" w:line="240" w:lineRule="auto"/>
        <w:jc w:val="both"/>
        <w:rPr>
          <w:sz w:val="20"/>
        </w:rPr>
      </w:pPr>
    </w:p>
    <w:p w:rsidR="00D25ECF" w:rsidRDefault="00D25ECF" w:rsidP="00972171">
      <w:pPr>
        <w:spacing w:after="0" w:line="240" w:lineRule="auto"/>
        <w:ind w:left="-284"/>
        <w:jc w:val="both"/>
        <w:rPr>
          <w:sz w:val="20"/>
        </w:rPr>
      </w:pPr>
      <w:r w:rsidRPr="00D25ECF">
        <w:rPr>
          <w:b/>
          <w:sz w:val="20"/>
        </w:rPr>
        <w:t xml:space="preserve">Trends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4A0131">
        <w:rPr>
          <w:sz w:val="20"/>
        </w:rPr>
        <w:t xml:space="preserve">Figure 1 </w:t>
      </w:r>
      <w:r>
        <w:rPr>
          <w:sz w:val="20"/>
        </w:rPr>
        <w:t>illustrates</w:t>
      </w:r>
      <w:r w:rsidRPr="004A0131">
        <w:rPr>
          <w:sz w:val="20"/>
        </w:rPr>
        <w:t xml:space="preserve"> the </w:t>
      </w:r>
      <w:r>
        <w:rPr>
          <w:sz w:val="20"/>
        </w:rPr>
        <w:t>pattern of enrolments in non-award courses since 2006.</w:t>
      </w:r>
      <w:r w:rsidRPr="004A0131">
        <w:rPr>
          <w:sz w:val="20"/>
        </w:rPr>
        <w:t xml:space="preserve"> Enrolments in </w:t>
      </w:r>
      <w:r w:rsidR="0068670D" w:rsidRPr="004A0131">
        <w:rPr>
          <w:sz w:val="20"/>
        </w:rPr>
        <w:t xml:space="preserve">foundation </w:t>
      </w:r>
      <w:r w:rsidR="0068670D">
        <w:rPr>
          <w:sz w:val="20"/>
        </w:rPr>
        <w:t>courses</w:t>
      </w:r>
      <w:r>
        <w:rPr>
          <w:sz w:val="20"/>
        </w:rPr>
        <w:t xml:space="preserve"> increased steadily between 2006 and 2010 at an average of 11.8% per year. However, they declined by 18% per year in 2012 from 2010, and enrolments have risen consistently by 18% per year from 2012 to peak at 17,044 in 2015. Conversely, enrolments </w:t>
      </w:r>
      <w:r w:rsidRPr="004A0131">
        <w:rPr>
          <w:sz w:val="20"/>
        </w:rPr>
        <w:t xml:space="preserve">in </w:t>
      </w:r>
      <w:r>
        <w:rPr>
          <w:sz w:val="20"/>
        </w:rPr>
        <w:t xml:space="preserve">non-award </w:t>
      </w:r>
      <w:r w:rsidRPr="004A0131">
        <w:rPr>
          <w:sz w:val="20"/>
        </w:rPr>
        <w:t xml:space="preserve">mobility courses </w:t>
      </w:r>
      <w:r>
        <w:rPr>
          <w:sz w:val="20"/>
        </w:rPr>
        <w:t xml:space="preserve">have </w:t>
      </w:r>
      <w:r w:rsidRPr="004A0131">
        <w:rPr>
          <w:sz w:val="20"/>
        </w:rPr>
        <w:t xml:space="preserve">remained relatively steady </w:t>
      </w:r>
      <w:r>
        <w:rPr>
          <w:sz w:val="20"/>
        </w:rPr>
        <w:t>since 2006. They increased by 24.3% in 2014 from the previous year and have remained stable in 2015</w:t>
      </w:r>
      <w:r w:rsidRPr="004A0131">
        <w:rPr>
          <w:sz w:val="20"/>
        </w:rPr>
        <w:t>.</w:t>
      </w:r>
      <w:r>
        <w:rPr>
          <w:sz w:val="20"/>
        </w:rPr>
        <w:t xml:space="preserve"> </w:t>
      </w:r>
    </w:p>
    <w:p w:rsidR="00972171" w:rsidRDefault="00972171" w:rsidP="00972171">
      <w:pPr>
        <w:spacing w:after="0" w:line="240" w:lineRule="auto"/>
        <w:ind w:left="-284"/>
        <w:jc w:val="both"/>
        <w:rPr>
          <w:sz w:val="20"/>
        </w:rPr>
      </w:pPr>
    </w:p>
    <w:p w:rsidR="00972171" w:rsidRDefault="00127508" w:rsidP="00972171">
      <w:pPr>
        <w:spacing w:after="0" w:line="240" w:lineRule="auto"/>
        <w:ind w:left="-284"/>
        <w:jc w:val="both"/>
        <w:rPr>
          <w:b/>
          <w:sz w:val="20"/>
        </w:rPr>
      </w:pPr>
      <w:r>
        <w:rPr>
          <w:b/>
          <w:sz w:val="20"/>
        </w:rPr>
        <w:t>Top nationalities</w:t>
      </w:r>
    </w:p>
    <w:p w:rsidR="00972171" w:rsidRDefault="00972171" w:rsidP="00972171">
      <w:pPr>
        <w:spacing w:after="0" w:line="240" w:lineRule="auto"/>
        <w:ind w:left="-284"/>
        <w:jc w:val="both"/>
        <w:rPr>
          <w:sz w:val="20"/>
        </w:rPr>
      </w:pPr>
      <w:r w:rsidRPr="00972171">
        <w:rPr>
          <w:sz w:val="20"/>
        </w:rPr>
        <w:t xml:space="preserve">In the </w:t>
      </w:r>
      <w:r>
        <w:rPr>
          <w:sz w:val="20"/>
        </w:rPr>
        <w:t xml:space="preserve">non-award sector, </w:t>
      </w:r>
      <w:r w:rsidR="00127508">
        <w:rPr>
          <w:sz w:val="20"/>
        </w:rPr>
        <w:t>46</w:t>
      </w:r>
      <w:r>
        <w:rPr>
          <w:sz w:val="20"/>
        </w:rPr>
        <w:t>% of international students were enrolled in foundation courses. The majority of these enrolments were students from Asia. By nationality, China accounted for 58% of enrolments. The top 5 nationalities, together contributed nearly three quarters of enrolments (</w:t>
      </w:r>
      <w:r w:rsidR="00127508">
        <w:rPr>
          <w:sz w:val="20"/>
        </w:rPr>
        <w:t>75</w:t>
      </w:r>
      <w:r>
        <w:rPr>
          <w:sz w:val="20"/>
        </w:rPr>
        <w:t>%) in non-award foundation courses (Table 1).</w:t>
      </w:r>
    </w:p>
    <w:p w:rsidR="00972171" w:rsidRDefault="00972171" w:rsidP="00972171">
      <w:pPr>
        <w:spacing w:after="0" w:line="240" w:lineRule="auto"/>
        <w:ind w:left="-284"/>
        <w:jc w:val="both"/>
        <w:rPr>
          <w:sz w:val="20"/>
        </w:rPr>
      </w:pPr>
    </w:p>
    <w:p w:rsidR="00127508" w:rsidRDefault="00127508" w:rsidP="0068670D">
      <w:pPr>
        <w:spacing w:after="0" w:line="240" w:lineRule="auto"/>
        <w:ind w:left="-284"/>
        <w:jc w:val="both"/>
        <w:rPr>
          <w:sz w:val="20"/>
        </w:rPr>
      </w:pPr>
      <w:r>
        <w:rPr>
          <w:sz w:val="20"/>
        </w:rPr>
        <w:t xml:space="preserve">Of the 54% of non-award enrolments in mobility courses, </w:t>
      </w:r>
      <w:r w:rsidR="00972171">
        <w:rPr>
          <w:sz w:val="20"/>
        </w:rPr>
        <w:t xml:space="preserve">86% were either from the Americas or Europe. Table 2 outlines the enrolment contribution of the major source countries, and together the top 5 nationalities accounted for </w:t>
      </w:r>
      <w:r w:rsidR="0068670D">
        <w:rPr>
          <w:sz w:val="20"/>
        </w:rPr>
        <w:t xml:space="preserve">over </w:t>
      </w:r>
      <w:r w:rsidR="00972171">
        <w:rPr>
          <w:sz w:val="20"/>
        </w:rPr>
        <w:t xml:space="preserve">60% of enrolments in non-award mobility courses, comprising of </w:t>
      </w:r>
      <w:r w:rsidR="0068670D">
        <w:rPr>
          <w:sz w:val="20"/>
        </w:rPr>
        <w:t>59</w:t>
      </w:r>
      <w:r w:rsidR="00972171">
        <w:rPr>
          <w:sz w:val="20"/>
        </w:rPr>
        <w:t>%</w:t>
      </w:r>
      <w:r w:rsidR="0068670D">
        <w:rPr>
          <w:sz w:val="20"/>
        </w:rPr>
        <w:t xml:space="preserve"> in</w:t>
      </w:r>
      <w:r w:rsidR="00972171">
        <w:rPr>
          <w:sz w:val="20"/>
        </w:rPr>
        <w:t xml:space="preserve"> study abroad</w:t>
      </w:r>
      <w:r w:rsidR="0068670D">
        <w:rPr>
          <w:sz w:val="20"/>
        </w:rPr>
        <w:t xml:space="preserve"> programs and</w:t>
      </w:r>
      <w:r w:rsidR="00972171">
        <w:rPr>
          <w:sz w:val="20"/>
        </w:rPr>
        <w:t xml:space="preserve"> 41% </w:t>
      </w:r>
      <w:r w:rsidR="0068670D">
        <w:rPr>
          <w:sz w:val="20"/>
        </w:rPr>
        <w:t xml:space="preserve">in </w:t>
      </w:r>
      <w:r w:rsidR="00972171">
        <w:rPr>
          <w:sz w:val="20"/>
        </w:rPr>
        <w:t xml:space="preserve">exchange programs or </w:t>
      </w:r>
      <w:r w:rsidR="0068670D">
        <w:rPr>
          <w:sz w:val="20"/>
        </w:rPr>
        <w:t xml:space="preserve">other </w:t>
      </w:r>
      <w:r w:rsidR="00972171">
        <w:rPr>
          <w:sz w:val="20"/>
        </w:rPr>
        <w:t>short-term mobility activities.</w:t>
      </w:r>
      <w:r w:rsidR="00DE5322" w:rsidRPr="00DE5322">
        <w:rPr>
          <w:sz w:val="20"/>
        </w:rPr>
        <w:t xml:space="preserve"> </w:t>
      </w:r>
    </w:p>
    <w:p w:rsidR="00364840" w:rsidRDefault="00364840" w:rsidP="0068670D">
      <w:pPr>
        <w:spacing w:after="0" w:line="240" w:lineRule="auto"/>
        <w:ind w:left="-284"/>
        <w:jc w:val="both"/>
        <w:rPr>
          <w:sz w:val="20"/>
        </w:rPr>
      </w:pPr>
      <w:bookmarkStart w:id="0" w:name="_GoBack"/>
      <w:bookmarkEnd w:id="0"/>
      <w:r w:rsidRPr="00364840">
        <w:drawing>
          <wp:anchor distT="0" distB="0" distL="114300" distR="114300" simplePos="0" relativeHeight="251663360" behindDoc="0" locked="0" layoutInCell="1" allowOverlap="1" wp14:anchorId="27A546B3" wp14:editId="0A9603A4">
            <wp:simplePos x="0" y="0"/>
            <wp:positionH relativeFrom="column">
              <wp:posOffset>-160020</wp:posOffset>
            </wp:positionH>
            <wp:positionV relativeFrom="paragraph">
              <wp:posOffset>180340</wp:posOffset>
            </wp:positionV>
            <wp:extent cx="6948170" cy="195580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840" w:rsidSect="008A3C39">
      <w:footerReference w:type="default" r:id="rId11"/>
      <w:pgSz w:w="11906" w:h="16838"/>
      <w:pgMar w:top="1440" w:right="424" w:bottom="1440" w:left="709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04" w:rsidRDefault="00D84304" w:rsidP="00D84304">
      <w:pPr>
        <w:spacing w:after="0" w:line="240" w:lineRule="auto"/>
      </w:pPr>
      <w:r>
        <w:separator/>
      </w:r>
    </w:p>
  </w:endnote>
  <w:endnote w:type="continuationSeparator" w:id="0">
    <w:p w:rsidR="00D84304" w:rsidRDefault="00D84304" w:rsidP="00D8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4" w:rsidRDefault="00D84304" w:rsidP="006F5B90">
    <w:pPr>
      <w:pStyle w:val="Footer"/>
      <w:ind w:left="-284"/>
    </w:pPr>
    <w:r w:rsidRPr="00D84304">
      <w:rPr>
        <w:sz w:val="16"/>
      </w:rPr>
      <w:t xml:space="preserve">For further information about this Research Snapshot or the Research Snapshot series contact: International Research and Analysis Unit by email at </w:t>
    </w:r>
    <w:hyperlink r:id="rId1" w:history="1">
      <w:r w:rsidRPr="00D84304">
        <w:rPr>
          <w:rStyle w:val="Hyperlink"/>
          <w:sz w:val="16"/>
        </w:rPr>
        <w:t>IEResearch@education.gov.au</w:t>
      </w:r>
    </w:hyperlink>
    <w:r w:rsidRPr="00D84304">
      <w:rPr>
        <w:sz w:val="16"/>
      </w:rPr>
      <w:t xml:space="preserve">. The Research Snapshot can be accessed from </w:t>
    </w:r>
    <w:hyperlink r:id="rId2" w:history="1">
      <w:r w:rsidRPr="00886122">
        <w:rPr>
          <w:rStyle w:val="Hyperlink"/>
          <w:sz w:val="14"/>
        </w:rPr>
        <w:t>https://internationaleducation.gov.au/research/international-student-data/pages/default.aspx</w:t>
      </w:r>
    </w:hyperlink>
    <w:r w:rsidRPr="00886122">
      <w:rPr>
        <w:sz w:val="14"/>
      </w:rPr>
      <w:t>.</w:t>
    </w:r>
  </w:p>
  <w:p w:rsidR="00D84304" w:rsidRDefault="00D84304" w:rsidP="00D84304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04" w:rsidRPr="00852BE9" w:rsidRDefault="00D84304" w:rsidP="00852BE9">
      <w:pPr>
        <w:pStyle w:val="Footer"/>
      </w:pPr>
    </w:p>
  </w:footnote>
  <w:footnote w:type="continuationSeparator" w:id="0">
    <w:p w:rsidR="00D84304" w:rsidRDefault="00D84304" w:rsidP="00D84304">
      <w:pPr>
        <w:spacing w:after="0" w:line="240" w:lineRule="auto"/>
      </w:pPr>
      <w:r>
        <w:continuationSeparator/>
      </w:r>
    </w:p>
  </w:footnote>
  <w:footnote w:id="1">
    <w:p w:rsidR="00D84304" w:rsidRPr="00AC0461" w:rsidRDefault="00D84304" w:rsidP="006F5B90">
      <w:pPr>
        <w:pStyle w:val="FootnoteText"/>
        <w:ind w:left="-284"/>
        <w:rPr>
          <w:sz w:val="14"/>
          <w:szCs w:val="16"/>
        </w:rPr>
      </w:pPr>
      <w:r w:rsidRPr="00AC0461">
        <w:rPr>
          <w:rStyle w:val="FootnoteReference"/>
        </w:rPr>
        <w:footnoteRef/>
      </w:r>
      <w:r w:rsidRPr="00AC0461">
        <w:t xml:space="preserve"> </w:t>
      </w:r>
      <w:r w:rsidRPr="00AC0461">
        <w:rPr>
          <w:sz w:val="14"/>
          <w:szCs w:val="16"/>
        </w:rPr>
        <w:t xml:space="preserve">International student data is available at the Department of Education and Training's website at </w:t>
      </w:r>
      <w:hyperlink r:id="rId1" w:history="1">
        <w:r w:rsidRPr="00AC0461">
          <w:rPr>
            <w:rStyle w:val="Hyperlink"/>
            <w:sz w:val="14"/>
            <w:szCs w:val="16"/>
          </w:rPr>
          <w:t>https://internationaleducation.gov.au/research/international-student-data/pages/default.aspx</w:t>
        </w:r>
      </w:hyperlink>
      <w:r w:rsidRPr="00AC0461">
        <w:rPr>
          <w:sz w:val="14"/>
          <w:szCs w:val="16"/>
        </w:rPr>
        <w:t>. The YTD December 2015 data was used in this research snapshot.</w:t>
      </w:r>
    </w:p>
  </w:footnote>
  <w:footnote w:id="2">
    <w:p w:rsidR="00D84304" w:rsidRPr="00AC0461" w:rsidRDefault="00D84304" w:rsidP="006F5B90">
      <w:pPr>
        <w:pStyle w:val="FootnoteText"/>
        <w:ind w:left="-284"/>
        <w:rPr>
          <w:sz w:val="18"/>
        </w:rPr>
      </w:pPr>
      <w:r w:rsidRPr="00AC0461">
        <w:rPr>
          <w:rStyle w:val="FootnoteReference"/>
        </w:rPr>
        <w:footnoteRef/>
      </w:r>
      <w:r w:rsidRPr="00AC0461">
        <w:t xml:space="preserve"> </w:t>
      </w:r>
      <w:r w:rsidRPr="00AC0461">
        <w:rPr>
          <w:sz w:val="14"/>
        </w:rPr>
        <w:t>All courses</w:t>
      </w:r>
      <w:r w:rsidR="00D25ECF" w:rsidRPr="00AC0461">
        <w:rPr>
          <w:sz w:val="14"/>
        </w:rPr>
        <w:t xml:space="preserve"> in the non-award sector were categorised into either foundation and other enabling courses or mobility courses. The enrolments flagged as foundation course enrolments in the data were supplemented by other un-flagged enrolments in the non-award sector that were also apparently foundation courses, based on the name of the course.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04"/>
    <w:rsid w:val="00127508"/>
    <w:rsid w:val="00364840"/>
    <w:rsid w:val="0068670D"/>
    <w:rsid w:val="006F5B90"/>
    <w:rsid w:val="00852BE9"/>
    <w:rsid w:val="008A3C39"/>
    <w:rsid w:val="00955556"/>
    <w:rsid w:val="00972171"/>
    <w:rsid w:val="00AC0461"/>
    <w:rsid w:val="00D25ECF"/>
    <w:rsid w:val="00D84304"/>
    <w:rsid w:val="00DE5322"/>
    <w:rsid w:val="00E614B6"/>
    <w:rsid w:val="00E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__heading 1"/>
    <w:basedOn w:val="Normal"/>
    <w:rsid w:val="00D84304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04"/>
  </w:style>
  <w:style w:type="paragraph" w:styleId="Footer">
    <w:name w:val="footer"/>
    <w:basedOn w:val="Normal"/>
    <w:link w:val="FooterChar"/>
    <w:uiPriority w:val="99"/>
    <w:unhideWhenUsed/>
    <w:rsid w:val="00D8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04"/>
  </w:style>
  <w:style w:type="character" w:styleId="Hyperlink">
    <w:name w:val="Hyperlink"/>
    <w:basedOn w:val="DefaultParagraphFont"/>
    <w:uiPriority w:val="99"/>
    <w:unhideWhenUsed/>
    <w:rsid w:val="00D843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__heading 1"/>
    <w:basedOn w:val="Normal"/>
    <w:rsid w:val="00D84304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04"/>
  </w:style>
  <w:style w:type="paragraph" w:styleId="Footer">
    <w:name w:val="footer"/>
    <w:basedOn w:val="Normal"/>
    <w:link w:val="FooterChar"/>
    <w:uiPriority w:val="99"/>
    <w:unhideWhenUsed/>
    <w:rsid w:val="00D8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04"/>
  </w:style>
  <w:style w:type="character" w:styleId="Hyperlink">
    <w:name w:val="Hyperlink"/>
    <w:basedOn w:val="DefaultParagraphFont"/>
    <w:uiPriority w:val="99"/>
    <w:unhideWhenUsed/>
    <w:rsid w:val="00D843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international-student-data/Pages/defaultOLD.aspx" TargetMode="External"/><Relationship Id="rId1" Type="http://schemas.openxmlformats.org/officeDocument/2006/relationships/hyperlink" Target="mailto:IEResearch@education.gov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education.gov.au/research/international-student-data/Pages/default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9845E-D1A4-4675-AA92-359A0A069847}"/>
</file>

<file path=customXml/itemProps2.xml><?xml version="1.0" encoding="utf-8"?>
<ds:datastoreItem xmlns:ds="http://schemas.openxmlformats.org/officeDocument/2006/customXml" ds:itemID="{702DD087-57BF-489D-99BD-5908FFF5DF19}"/>
</file>

<file path=customXml/itemProps3.xml><?xml version="1.0" encoding="utf-8"?>
<ds:datastoreItem xmlns:ds="http://schemas.openxmlformats.org/officeDocument/2006/customXml" ds:itemID="{9550DC53-1970-4494-971B-4024C9607FA7}"/>
</file>

<file path=customXml/itemProps4.xml><?xml version="1.0" encoding="utf-8"?>
<ds:datastoreItem xmlns:ds="http://schemas.openxmlformats.org/officeDocument/2006/customXml" ds:itemID="{A293CB65-90B0-4200-B613-C14E559E3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Sereana Vaqewa</dc:creator>
  <cp:lastModifiedBy>Sereana Vaqewa</cp:lastModifiedBy>
  <cp:revision>7</cp:revision>
  <cp:lastPrinted>2016-05-12T21:39:00Z</cp:lastPrinted>
  <dcterms:created xsi:type="dcterms:W3CDTF">2016-05-11T01:48:00Z</dcterms:created>
  <dcterms:modified xsi:type="dcterms:W3CDTF">2016-07-21T06:17:00Z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0x010100D600AA97F9017A4288665729A97B1723</vt:lpwstr>
  </property>
  <property fmtid="{D5CDD505-2E9C-101B-9397-08002B2CF9AE}" pid="3" name="Order">
    <vt:r8>22900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