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44" w:rsidRPr="00E4657E" w:rsidRDefault="0046717E" w:rsidP="0082174C">
      <w:pPr>
        <w:pStyle w:val="heading10"/>
        <w:tabs>
          <w:tab w:val="left" w:pos="6237"/>
        </w:tabs>
        <w:spacing w:before="120"/>
        <w:rPr>
          <w:rFonts w:asciiTheme="minorHAnsi" w:hAnsiTheme="minorHAnsi" w:cstheme="minorHAnsi"/>
          <w:color w:val="1F497D" w:themeColor="text2"/>
          <w:sz w:val="24"/>
          <w:szCs w:val="24"/>
        </w:rPr>
      </w:pPr>
      <w:r w:rsidRPr="00E4657E">
        <w:rPr>
          <w:rFonts w:asciiTheme="minorHAnsi" w:hAnsiTheme="minorHAnsi" w:cstheme="minorHAnsi"/>
          <w:noProof/>
          <w:color w:val="1F497D" w:themeColor="text2"/>
          <w:sz w:val="24"/>
          <w:szCs w:val="24"/>
        </w:rPr>
        <w:drawing>
          <wp:inline distT="0" distB="0" distL="0" distR="0" wp14:anchorId="3ABEEC53" wp14:editId="497CFD99">
            <wp:extent cx="6861068" cy="1174478"/>
            <wp:effectExtent l="0" t="0" r="0" b="6985"/>
            <wp:docPr id="4" name="Picture 4" descr="I:\IE\IES\IntResearchAnalysis\Section Publications\Research Snapshots\DET_Research Snapshot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E\IES\IntResearchAnalysis\Section Publications\Research Snapshots\DET_Research Snapshot Bann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0609" cy="1179535"/>
                    </a:xfrm>
                    <a:prstGeom prst="rect">
                      <a:avLst/>
                    </a:prstGeom>
                    <a:noFill/>
                    <a:ln>
                      <a:noFill/>
                    </a:ln>
                  </pic:spPr>
                </pic:pic>
              </a:graphicData>
            </a:graphic>
          </wp:inline>
        </w:drawing>
      </w:r>
    </w:p>
    <w:p w:rsidR="001C7F41" w:rsidRPr="00E4657E" w:rsidRDefault="00D962F0" w:rsidP="001C7F41">
      <w:pPr>
        <w:pStyle w:val="heading10"/>
        <w:ind w:firstLine="567"/>
        <w:jc w:val="right"/>
        <w:rPr>
          <w:rFonts w:asciiTheme="minorHAnsi" w:hAnsiTheme="minorHAnsi" w:cstheme="minorHAnsi"/>
          <w:color w:val="1F497D" w:themeColor="text2"/>
          <w:sz w:val="24"/>
          <w:szCs w:val="24"/>
        </w:rPr>
      </w:pPr>
      <w:r>
        <w:rPr>
          <w:rFonts w:asciiTheme="minorHAnsi" w:hAnsiTheme="minorHAnsi" w:cstheme="minorHAnsi"/>
          <w:color w:val="000000" w:themeColor="text1"/>
          <w:sz w:val="28"/>
          <w:szCs w:val="28"/>
        </w:rPr>
        <w:t>Octo</w:t>
      </w:r>
      <w:r w:rsidR="006D3524">
        <w:rPr>
          <w:rFonts w:asciiTheme="minorHAnsi" w:hAnsiTheme="minorHAnsi" w:cstheme="minorHAnsi"/>
          <w:color w:val="000000" w:themeColor="text1"/>
          <w:sz w:val="28"/>
          <w:szCs w:val="28"/>
        </w:rPr>
        <w:t>ber</w:t>
      </w:r>
      <w:r w:rsidR="002B6B23" w:rsidRPr="00B66B0C">
        <w:rPr>
          <w:rFonts w:asciiTheme="minorHAnsi" w:hAnsiTheme="minorHAnsi" w:cstheme="minorHAnsi"/>
          <w:color w:val="000000" w:themeColor="text1"/>
          <w:sz w:val="24"/>
          <w:szCs w:val="24"/>
        </w:rPr>
        <w:t xml:space="preserve"> </w:t>
      </w:r>
      <w:r w:rsidR="00DC669C" w:rsidRPr="00E4657E">
        <w:rPr>
          <w:rFonts w:asciiTheme="minorHAnsi" w:hAnsiTheme="minorHAnsi" w:cstheme="minorHAnsi"/>
          <w:color w:val="auto"/>
          <w:sz w:val="24"/>
          <w:szCs w:val="24"/>
        </w:rPr>
        <w:t>201</w:t>
      </w:r>
      <w:r w:rsidR="006D3524">
        <w:rPr>
          <w:rFonts w:asciiTheme="minorHAnsi" w:hAnsiTheme="minorHAnsi" w:cstheme="minorHAnsi"/>
          <w:color w:val="auto"/>
          <w:sz w:val="24"/>
          <w:szCs w:val="24"/>
        </w:rPr>
        <w:t>7</w:t>
      </w:r>
    </w:p>
    <w:p w:rsidR="00B50D38" w:rsidRPr="00E4657E" w:rsidRDefault="00AD7C35" w:rsidP="00B50D38">
      <w:pPr>
        <w:pStyle w:val="heading10"/>
        <w:spacing w:after="120"/>
        <w:rPr>
          <w:rFonts w:asciiTheme="minorHAnsi" w:hAnsiTheme="minorHAnsi" w:cstheme="minorHAnsi"/>
          <w:color w:val="1F497D" w:themeColor="text2"/>
        </w:rPr>
      </w:pPr>
      <w:r>
        <w:rPr>
          <w:noProof/>
        </w:rPr>
        <w:drawing>
          <wp:anchor distT="0" distB="0" distL="114300" distR="114300" simplePos="0" relativeHeight="251695104" behindDoc="0" locked="0" layoutInCell="1" allowOverlap="1" wp14:anchorId="36BFF47A" wp14:editId="7D12C901">
            <wp:simplePos x="0" y="0"/>
            <wp:positionH relativeFrom="column">
              <wp:posOffset>3630930</wp:posOffset>
            </wp:positionH>
            <wp:positionV relativeFrom="paragraph">
              <wp:posOffset>327025</wp:posOffset>
            </wp:positionV>
            <wp:extent cx="3178175" cy="221361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178175" cy="2213610"/>
                    </a:xfrm>
                    <a:prstGeom prst="rect">
                      <a:avLst/>
                    </a:prstGeom>
                  </pic:spPr>
                </pic:pic>
              </a:graphicData>
            </a:graphic>
            <wp14:sizeRelH relativeFrom="page">
              <wp14:pctWidth>0</wp14:pctWidth>
            </wp14:sizeRelH>
            <wp14:sizeRelV relativeFrom="page">
              <wp14:pctHeight>0</wp14:pctHeight>
            </wp14:sizeRelV>
          </wp:anchor>
        </w:drawing>
      </w:r>
      <w:r w:rsidR="00B50D38" w:rsidRPr="00E4657E">
        <w:rPr>
          <w:rFonts w:asciiTheme="minorHAnsi" w:hAnsiTheme="minorHAnsi" w:cstheme="minorHAnsi"/>
          <w:color w:val="1F497D" w:themeColor="text2"/>
        </w:rPr>
        <w:t>The global context of tertiary student mobility</w:t>
      </w:r>
    </w:p>
    <w:p w:rsidR="002F29DB" w:rsidRPr="00753557" w:rsidRDefault="00860216" w:rsidP="00B83EA1">
      <w:pPr>
        <w:pStyle w:val="Default"/>
        <w:tabs>
          <w:tab w:val="left" w:pos="5812"/>
          <w:tab w:val="left" w:pos="5954"/>
          <w:tab w:val="left" w:pos="6237"/>
        </w:tabs>
        <w:spacing w:after="120"/>
        <w:jc w:val="both"/>
        <w:rPr>
          <w:rFonts w:asciiTheme="minorHAnsi" w:hAnsiTheme="minorHAnsi" w:cstheme="minorHAnsi"/>
          <w:sz w:val="22"/>
          <w:szCs w:val="22"/>
        </w:rPr>
      </w:pPr>
      <w:r w:rsidRPr="00753557">
        <w:rPr>
          <w:rFonts w:asciiTheme="minorHAnsi" w:hAnsiTheme="minorHAnsi" w:cstheme="minorHAnsi"/>
          <w:sz w:val="19"/>
          <w:szCs w:val="19"/>
        </w:rPr>
        <w:t>OECD's</w:t>
      </w:r>
      <w:bookmarkStart w:id="0" w:name="_GoBack"/>
      <w:bookmarkEnd w:id="0"/>
      <w:r w:rsidRPr="00753557">
        <w:rPr>
          <w:rFonts w:asciiTheme="minorHAnsi" w:hAnsiTheme="minorHAnsi" w:cstheme="minorHAnsi"/>
          <w:sz w:val="19"/>
          <w:szCs w:val="19"/>
        </w:rPr>
        <w:t xml:space="preserve"> </w:t>
      </w:r>
      <w:r w:rsidRPr="00753557">
        <w:rPr>
          <w:rFonts w:asciiTheme="minorHAnsi" w:hAnsiTheme="minorHAnsi" w:cstheme="minorHAnsi"/>
          <w:i/>
          <w:sz w:val="19"/>
          <w:szCs w:val="19"/>
        </w:rPr>
        <w:t>Education at a Glance 201</w:t>
      </w:r>
      <w:r w:rsidR="004A3A2B">
        <w:rPr>
          <w:rFonts w:asciiTheme="minorHAnsi" w:hAnsiTheme="minorHAnsi" w:cstheme="minorHAnsi"/>
          <w:i/>
          <w:sz w:val="19"/>
          <w:szCs w:val="19"/>
        </w:rPr>
        <w:t>7</w:t>
      </w:r>
      <w:r w:rsidR="00347E13">
        <w:rPr>
          <w:rStyle w:val="FootnoteReference"/>
          <w:rFonts w:asciiTheme="minorHAnsi" w:hAnsiTheme="minorHAnsi" w:cstheme="minorHAnsi"/>
          <w:i/>
          <w:sz w:val="19"/>
          <w:szCs w:val="19"/>
        </w:rPr>
        <w:footnoteReference w:id="1"/>
      </w:r>
      <w:r w:rsidR="00FE2D67" w:rsidRPr="00753557">
        <w:rPr>
          <w:rFonts w:asciiTheme="minorHAnsi" w:hAnsiTheme="minorHAnsi" w:cstheme="minorHAnsi"/>
          <w:sz w:val="19"/>
          <w:szCs w:val="19"/>
        </w:rPr>
        <w:t xml:space="preserve"> </w:t>
      </w:r>
      <w:r w:rsidR="00C97395">
        <w:rPr>
          <w:rFonts w:asciiTheme="minorHAnsi" w:hAnsiTheme="minorHAnsi" w:cstheme="minorHAnsi"/>
          <w:sz w:val="19"/>
          <w:szCs w:val="19"/>
        </w:rPr>
        <w:t xml:space="preserve">provides a </w:t>
      </w:r>
      <w:r w:rsidR="00416934">
        <w:rPr>
          <w:rFonts w:asciiTheme="minorHAnsi" w:hAnsiTheme="minorHAnsi" w:cstheme="minorHAnsi"/>
          <w:sz w:val="19"/>
          <w:szCs w:val="19"/>
        </w:rPr>
        <w:t>picture</w:t>
      </w:r>
      <w:r w:rsidR="00C97395">
        <w:rPr>
          <w:rFonts w:asciiTheme="minorHAnsi" w:hAnsiTheme="minorHAnsi" w:cstheme="minorHAnsi"/>
          <w:sz w:val="19"/>
          <w:szCs w:val="19"/>
        </w:rPr>
        <w:t xml:space="preserve"> of countries </w:t>
      </w:r>
      <w:r w:rsidR="00416934">
        <w:rPr>
          <w:rFonts w:asciiTheme="minorHAnsi" w:hAnsiTheme="minorHAnsi" w:cstheme="minorHAnsi"/>
          <w:sz w:val="19"/>
          <w:szCs w:val="19"/>
        </w:rPr>
        <w:t xml:space="preserve">that </w:t>
      </w:r>
      <w:r w:rsidR="00C97395">
        <w:rPr>
          <w:rFonts w:asciiTheme="minorHAnsi" w:hAnsiTheme="minorHAnsi" w:cstheme="minorHAnsi"/>
          <w:sz w:val="19"/>
          <w:szCs w:val="19"/>
        </w:rPr>
        <w:t xml:space="preserve">international students </w:t>
      </w:r>
      <w:r w:rsidR="00416934">
        <w:rPr>
          <w:rFonts w:asciiTheme="minorHAnsi" w:hAnsiTheme="minorHAnsi" w:cstheme="minorHAnsi"/>
          <w:sz w:val="19"/>
          <w:szCs w:val="19"/>
        </w:rPr>
        <w:t xml:space="preserve">around the world </w:t>
      </w:r>
      <w:r w:rsidR="00C97395">
        <w:rPr>
          <w:rFonts w:asciiTheme="minorHAnsi" w:hAnsiTheme="minorHAnsi" w:cstheme="minorHAnsi"/>
          <w:sz w:val="19"/>
          <w:szCs w:val="19"/>
        </w:rPr>
        <w:t>choose to study</w:t>
      </w:r>
      <w:r w:rsidR="00416934">
        <w:rPr>
          <w:rFonts w:asciiTheme="minorHAnsi" w:hAnsiTheme="minorHAnsi" w:cstheme="minorHAnsi"/>
          <w:sz w:val="19"/>
          <w:szCs w:val="19"/>
        </w:rPr>
        <w:t xml:space="preserve"> at</w:t>
      </w:r>
      <w:r w:rsidR="00C97395">
        <w:rPr>
          <w:rFonts w:asciiTheme="minorHAnsi" w:hAnsiTheme="minorHAnsi" w:cstheme="minorHAnsi"/>
          <w:sz w:val="19"/>
          <w:szCs w:val="19"/>
        </w:rPr>
        <w:t xml:space="preserve">. The OECD report </w:t>
      </w:r>
      <w:r w:rsidR="00416934">
        <w:rPr>
          <w:rFonts w:asciiTheme="minorHAnsi" w:hAnsiTheme="minorHAnsi" w:cstheme="minorHAnsi"/>
          <w:sz w:val="19"/>
          <w:szCs w:val="19"/>
        </w:rPr>
        <w:t xml:space="preserve">only </w:t>
      </w:r>
      <w:r w:rsidR="00B02015" w:rsidRPr="00753557">
        <w:rPr>
          <w:rFonts w:asciiTheme="minorHAnsi" w:hAnsiTheme="minorHAnsi" w:cstheme="minorHAnsi"/>
          <w:sz w:val="19"/>
          <w:szCs w:val="19"/>
        </w:rPr>
        <w:t>counts tertiary students</w:t>
      </w:r>
      <w:r w:rsidR="00D7777F" w:rsidRPr="00753557">
        <w:rPr>
          <w:rFonts w:asciiTheme="minorHAnsi" w:hAnsiTheme="minorHAnsi" w:cstheme="minorHAnsi"/>
          <w:sz w:val="19"/>
          <w:szCs w:val="19"/>
        </w:rPr>
        <w:t xml:space="preserve"> enrolled</w:t>
      </w:r>
      <w:r w:rsidR="00B02015" w:rsidRPr="00753557">
        <w:rPr>
          <w:rFonts w:asciiTheme="minorHAnsi" w:hAnsiTheme="minorHAnsi" w:cstheme="minorHAnsi"/>
          <w:sz w:val="19"/>
          <w:szCs w:val="19"/>
        </w:rPr>
        <w:t xml:space="preserve"> </w:t>
      </w:r>
      <w:r w:rsidR="00FE2D67" w:rsidRPr="00753557">
        <w:rPr>
          <w:rFonts w:asciiTheme="minorHAnsi" w:hAnsiTheme="minorHAnsi" w:cstheme="minorHAnsi"/>
          <w:sz w:val="19"/>
          <w:szCs w:val="19"/>
        </w:rPr>
        <w:t xml:space="preserve">in </w:t>
      </w:r>
      <w:r w:rsidR="00B02015" w:rsidRPr="00753557">
        <w:rPr>
          <w:rFonts w:asciiTheme="minorHAnsi" w:hAnsiTheme="minorHAnsi" w:cstheme="minorHAnsi"/>
          <w:sz w:val="19"/>
          <w:szCs w:val="19"/>
        </w:rPr>
        <w:t xml:space="preserve">higher education </w:t>
      </w:r>
      <w:r w:rsidR="00416934">
        <w:rPr>
          <w:rFonts w:asciiTheme="minorHAnsi" w:hAnsiTheme="minorHAnsi" w:cstheme="minorHAnsi"/>
          <w:sz w:val="19"/>
          <w:szCs w:val="19"/>
        </w:rPr>
        <w:t xml:space="preserve">including </w:t>
      </w:r>
      <w:r w:rsidR="00B02015" w:rsidRPr="00753557">
        <w:rPr>
          <w:rFonts w:asciiTheme="minorHAnsi" w:hAnsiTheme="minorHAnsi" w:cstheme="minorHAnsi"/>
          <w:sz w:val="19"/>
          <w:szCs w:val="19"/>
        </w:rPr>
        <w:t>undergraduate and postgr</w:t>
      </w:r>
      <w:r w:rsidR="006F1B56">
        <w:rPr>
          <w:rFonts w:asciiTheme="minorHAnsi" w:hAnsiTheme="minorHAnsi" w:cstheme="minorHAnsi"/>
          <w:sz w:val="19"/>
          <w:szCs w:val="19"/>
        </w:rPr>
        <w:t>aduate programs</w:t>
      </w:r>
      <w:r w:rsidR="00416934">
        <w:rPr>
          <w:rFonts w:asciiTheme="minorHAnsi" w:hAnsiTheme="minorHAnsi" w:cstheme="minorHAnsi"/>
          <w:sz w:val="19"/>
          <w:szCs w:val="19"/>
        </w:rPr>
        <w:t>,</w:t>
      </w:r>
      <w:r w:rsidR="006F1B56">
        <w:rPr>
          <w:rFonts w:asciiTheme="minorHAnsi" w:hAnsiTheme="minorHAnsi" w:cstheme="minorHAnsi"/>
          <w:sz w:val="19"/>
          <w:szCs w:val="19"/>
        </w:rPr>
        <w:t xml:space="preserve"> up to PhD level and</w:t>
      </w:r>
      <w:r w:rsidR="00416934">
        <w:rPr>
          <w:rFonts w:asciiTheme="minorHAnsi" w:hAnsiTheme="minorHAnsi" w:cstheme="minorHAnsi"/>
          <w:sz w:val="19"/>
          <w:szCs w:val="19"/>
        </w:rPr>
        <w:t xml:space="preserve"> also including </w:t>
      </w:r>
      <w:r w:rsidR="006F1B56">
        <w:rPr>
          <w:rFonts w:asciiTheme="minorHAnsi" w:hAnsiTheme="minorHAnsi" w:cstheme="minorHAnsi"/>
          <w:sz w:val="19"/>
          <w:szCs w:val="19"/>
        </w:rPr>
        <w:t xml:space="preserve">vocational diploma programs, </w:t>
      </w:r>
      <w:r w:rsidR="002D77AF">
        <w:rPr>
          <w:rFonts w:asciiTheme="minorHAnsi" w:hAnsiTheme="minorHAnsi" w:cstheme="minorHAnsi"/>
          <w:sz w:val="19"/>
          <w:szCs w:val="19"/>
        </w:rPr>
        <w:t>provided</w:t>
      </w:r>
      <w:r w:rsidR="00B02015" w:rsidRPr="00753557">
        <w:rPr>
          <w:rFonts w:asciiTheme="minorHAnsi" w:hAnsiTheme="minorHAnsi" w:cstheme="minorHAnsi"/>
          <w:sz w:val="19"/>
          <w:szCs w:val="19"/>
        </w:rPr>
        <w:t xml:space="preserve"> those programs are</w:t>
      </w:r>
      <w:r w:rsidR="002D77AF">
        <w:rPr>
          <w:rFonts w:asciiTheme="minorHAnsi" w:hAnsiTheme="minorHAnsi" w:cstheme="minorHAnsi"/>
          <w:sz w:val="19"/>
          <w:szCs w:val="19"/>
        </w:rPr>
        <w:t xml:space="preserve"> </w:t>
      </w:r>
      <w:r w:rsidR="00B02015" w:rsidRPr="00753557">
        <w:rPr>
          <w:rFonts w:asciiTheme="minorHAnsi" w:hAnsiTheme="minorHAnsi" w:cstheme="minorHAnsi"/>
          <w:sz w:val="19"/>
          <w:szCs w:val="19"/>
        </w:rPr>
        <w:t>of at least two years duration.</w:t>
      </w:r>
      <w:r w:rsidR="009942B2" w:rsidRPr="00753557">
        <w:rPr>
          <w:rFonts w:asciiTheme="minorHAnsi" w:hAnsiTheme="minorHAnsi" w:cstheme="minorHAnsi"/>
          <w:sz w:val="19"/>
          <w:szCs w:val="19"/>
        </w:rPr>
        <w:t xml:space="preserve"> </w:t>
      </w:r>
      <w:r w:rsidR="005B764C" w:rsidRPr="00753557">
        <w:rPr>
          <w:rFonts w:asciiTheme="minorHAnsi" w:hAnsiTheme="minorHAnsi" w:cstheme="minorHAnsi"/>
          <w:sz w:val="19"/>
          <w:szCs w:val="19"/>
        </w:rPr>
        <w:t>Hence</w:t>
      </w:r>
      <w:r w:rsidR="0085431F" w:rsidRPr="00753557">
        <w:rPr>
          <w:rFonts w:asciiTheme="minorHAnsi" w:hAnsiTheme="minorHAnsi" w:cstheme="minorHAnsi"/>
          <w:sz w:val="19"/>
          <w:szCs w:val="19"/>
        </w:rPr>
        <w:t xml:space="preserve">, the OECD data is largely reflective of students studying </w:t>
      </w:r>
      <w:r w:rsidR="00416934">
        <w:rPr>
          <w:rFonts w:asciiTheme="minorHAnsi" w:hAnsiTheme="minorHAnsi" w:cstheme="minorHAnsi"/>
          <w:sz w:val="19"/>
          <w:szCs w:val="19"/>
        </w:rPr>
        <w:t>towards</w:t>
      </w:r>
      <w:r w:rsidR="0085431F" w:rsidRPr="00753557">
        <w:rPr>
          <w:rFonts w:asciiTheme="minorHAnsi" w:hAnsiTheme="minorHAnsi" w:cstheme="minorHAnsi"/>
          <w:sz w:val="19"/>
          <w:szCs w:val="19"/>
        </w:rPr>
        <w:t xml:space="preserve"> </w:t>
      </w:r>
      <w:r w:rsidR="0085431F" w:rsidRPr="00753557">
        <w:rPr>
          <w:rFonts w:asciiTheme="minorHAnsi" w:hAnsiTheme="minorHAnsi" w:cstheme="minorHAnsi"/>
          <w:b/>
          <w:sz w:val="19"/>
          <w:szCs w:val="19"/>
        </w:rPr>
        <w:t>full degrees</w:t>
      </w:r>
      <w:r w:rsidR="0085431F" w:rsidRPr="00753557">
        <w:rPr>
          <w:rFonts w:asciiTheme="minorHAnsi" w:hAnsiTheme="minorHAnsi" w:cstheme="minorHAnsi"/>
          <w:sz w:val="19"/>
          <w:szCs w:val="19"/>
        </w:rPr>
        <w:t xml:space="preserve"> in other countries and excludes </w:t>
      </w:r>
      <w:r w:rsidR="00416934">
        <w:rPr>
          <w:rFonts w:asciiTheme="minorHAnsi" w:hAnsiTheme="minorHAnsi" w:cstheme="minorHAnsi"/>
          <w:sz w:val="19"/>
          <w:szCs w:val="19"/>
        </w:rPr>
        <w:t>the</w:t>
      </w:r>
      <w:r w:rsidR="0085431F" w:rsidRPr="00753557">
        <w:rPr>
          <w:rFonts w:asciiTheme="minorHAnsi" w:hAnsiTheme="minorHAnsi" w:cstheme="minorHAnsi"/>
          <w:sz w:val="19"/>
          <w:szCs w:val="19"/>
        </w:rPr>
        <w:t xml:space="preserve"> substantial number of internationally-mobile students who may be studying for </w:t>
      </w:r>
      <w:r w:rsidR="0085431F" w:rsidRPr="00753557">
        <w:rPr>
          <w:rFonts w:asciiTheme="minorHAnsi" w:hAnsiTheme="minorHAnsi" w:cstheme="minorHAnsi"/>
          <w:b/>
          <w:sz w:val="19"/>
          <w:szCs w:val="19"/>
        </w:rPr>
        <w:t>course credit</w:t>
      </w:r>
      <w:r w:rsidR="0085431F" w:rsidRPr="00753557">
        <w:rPr>
          <w:rFonts w:asciiTheme="minorHAnsi" w:hAnsiTheme="minorHAnsi" w:cstheme="minorHAnsi"/>
          <w:sz w:val="19"/>
          <w:szCs w:val="19"/>
        </w:rPr>
        <w:t xml:space="preserve"> in other countries through study abroad and student exchange programs</w:t>
      </w:r>
      <w:r w:rsidR="0085431F" w:rsidRPr="00E4657E">
        <w:rPr>
          <w:rFonts w:asciiTheme="minorHAnsi" w:hAnsiTheme="minorHAnsi" w:cstheme="minorHAnsi"/>
          <w:sz w:val="20"/>
        </w:rPr>
        <w:t>.</w:t>
      </w:r>
      <w:r w:rsidR="00FE2D67" w:rsidRPr="00E4657E">
        <w:rPr>
          <w:rFonts w:asciiTheme="minorHAnsi" w:hAnsiTheme="minorHAnsi" w:cstheme="minorHAnsi"/>
          <w:sz w:val="22"/>
          <w:szCs w:val="22"/>
        </w:rPr>
        <w:t xml:space="preserve"> </w:t>
      </w:r>
    </w:p>
    <w:p w:rsidR="00B50D38" w:rsidRPr="00753557" w:rsidRDefault="00B50D38" w:rsidP="002F29DB">
      <w:pPr>
        <w:pStyle w:val="Default"/>
        <w:tabs>
          <w:tab w:val="left" w:pos="5812"/>
          <w:tab w:val="left" w:pos="5954"/>
          <w:tab w:val="left" w:pos="6237"/>
        </w:tabs>
        <w:spacing w:after="120"/>
        <w:jc w:val="both"/>
        <w:rPr>
          <w:rFonts w:asciiTheme="minorHAnsi" w:hAnsiTheme="minorHAnsi" w:cstheme="minorHAnsi"/>
          <w:b/>
          <w:color w:val="000000" w:themeColor="text1"/>
          <w:sz w:val="19"/>
          <w:szCs w:val="19"/>
        </w:rPr>
      </w:pPr>
      <w:r w:rsidRPr="00753557">
        <w:rPr>
          <w:rFonts w:asciiTheme="minorHAnsi" w:hAnsiTheme="minorHAnsi" w:cstheme="minorHAnsi"/>
          <w:b/>
          <w:color w:val="000000" w:themeColor="text1"/>
          <w:sz w:val="19"/>
          <w:szCs w:val="19"/>
        </w:rPr>
        <w:t>Major destination countries</w:t>
      </w:r>
    </w:p>
    <w:p w:rsidR="00D01331" w:rsidRPr="00E4657E" w:rsidRDefault="003453E7" w:rsidP="001A597E">
      <w:pPr>
        <w:tabs>
          <w:tab w:val="left" w:pos="6379"/>
        </w:tabs>
        <w:rPr>
          <w:rFonts w:asciiTheme="minorHAnsi" w:hAnsiTheme="minorHAnsi" w:cstheme="minorHAnsi"/>
          <w:color w:val="000000"/>
          <w:sz w:val="20"/>
          <w:lang w:eastAsia="en-AU"/>
        </w:rPr>
      </w:pPr>
      <w:r>
        <w:rPr>
          <w:noProof/>
          <w:lang w:eastAsia="en-AU"/>
        </w:rPr>
        <w:drawing>
          <wp:anchor distT="0" distB="0" distL="114300" distR="114300" simplePos="0" relativeHeight="251693056" behindDoc="0" locked="0" layoutInCell="1" allowOverlap="1" wp14:anchorId="68E6B34F" wp14:editId="7579CCD1">
            <wp:simplePos x="0" y="0"/>
            <wp:positionH relativeFrom="column">
              <wp:posOffset>3632835</wp:posOffset>
            </wp:positionH>
            <wp:positionV relativeFrom="paragraph">
              <wp:posOffset>489585</wp:posOffset>
            </wp:positionV>
            <wp:extent cx="3185160" cy="2209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185160" cy="2209800"/>
                    </a:xfrm>
                    <a:prstGeom prst="rect">
                      <a:avLst/>
                    </a:prstGeom>
                  </pic:spPr>
                </pic:pic>
              </a:graphicData>
            </a:graphic>
            <wp14:sizeRelH relativeFrom="page">
              <wp14:pctWidth>0</wp14:pctWidth>
            </wp14:sizeRelH>
            <wp14:sizeRelV relativeFrom="page">
              <wp14:pctHeight>0</wp14:pctHeight>
            </wp14:sizeRelV>
          </wp:anchor>
        </w:drawing>
      </w:r>
      <w:r w:rsidR="008D02E3">
        <w:rPr>
          <w:rFonts w:asciiTheme="minorHAnsi" w:hAnsiTheme="minorHAnsi" w:cstheme="minorHAnsi"/>
          <w:color w:val="000000"/>
          <w:sz w:val="19"/>
          <w:szCs w:val="19"/>
          <w:lang w:eastAsia="en-AU"/>
        </w:rPr>
        <w:t>Almost 4.6 million international students were studying outside their home country in 2015</w:t>
      </w:r>
      <w:r w:rsidR="008D02E3">
        <w:rPr>
          <w:rStyle w:val="FootnoteReference"/>
          <w:rFonts w:asciiTheme="minorHAnsi" w:hAnsiTheme="minorHAnsi" w:cstheme="minorHAnsi"/>
          <w:color w:val="000000"/>
          <w:sz w:val="19"/>
          <w:szCs w:val="19"/>
          <w:lang w:eastAsia="en-AU"/>
        </w:rPr>
        <w:footnoteReference w:id="2"/>
      </w:r>
      <w:r w:rsidR="008D02E3">
        <w:rPr>
          <w:rFonts w:asciiTheme="minorHAnsi" w:hAnsiTheme="minorHAnsi" w:cstheme="minorHAnsi"/>
          <w:color w:val="000000"/>
          <w:sz w:val="19"/>
          <w:szCs w:val="19"/>
          <w:lang w:eastAsia="en-AU"/>
        </w:rPr>
        <w:t>.  T</w:t>
      </w:r>
      <w:r w:rsidR="004F63D2" w:rsidRPr="00753557">
        <w:rPr>
          <w:rFonts w:asciiTheme="minorHAnsi" w:hAnsiTheme="minorHAnsi" w:cstheme="minorHAnsi"/>
          <w:color w:val="000000"/>
          <w:sz w:val="19"/>
          <w:szCs w:val="19"/>
          <w:lang w:eastAsia="en-AU"/>
        </w:rPr>
        <w:t>he</w:t>
      </w:r>
      <w:r w:rsidR="00B50D38" w:rsidRPr="00753557">
        <w:rPr>
          <w:rFonts w:asciiTheme="minorHAnsi" w:hAnsiTheme="minorHAnsi" w:cstheme="minorHAnsi"/>
          <w:color w:val="000000"/>
          <w:sz w:val="19"/>
          <w:szCs w:val="19"/>
          <w:lang w:eastAsia="en-AU"/>
        </w:rPr>
        <w:t xml:space="preserve"> </w:t>
      </w:r>
      <w:r w:rsidR="00F33ED7">
        <w:rPr>
          <w:rFonts w:asciiTheme="minorHAnsi" w:hAnsiTheme="minorHAnsi" w:cstheme="minorHAnsi"/>
          <w:color w:val="000000"/>
          <w:sz w:val="19"/>
          <w:szCs w:val="19"/>
          <w:lang w:eastAsia="en-AU"/>
        </w:rPr>
        <w:t>USA</w:t>
      </w:r>
      <w:r w:rsidR="00837695" w:rsidRPr="00753557">
        <w:rPr>
          <w:rFonts w:asciiTheme="minorHAnsi" w:hAnsiTheme="minorHAnsi" w:cstheme="minorHAnsi"/>
          <w:color w:val="000000"/>
          <w:sz w:val="19"/>
          <w:szCs w:val="19"/>
          <w:lang w:eastAsia="en-AU"/>
        </w:rPr>
        <w:t xml:space="preserve"> hosted the </w:t>
      </w:r>
      <w:r w:rsidR="004F63D2" w:rsidRPr="00753557">
        <w:rPr>
          <w:rFonts w:asciiTheme="minorHAnsi" w:hAnsiTheme="minorHAnsi" w:cstheme="minorHAnsi"/>
          <w:color w:val="000000"/>
          <w:sz w:val="19"/>
          <w:szCs w:val="19"/>
          <w:lang w:eastAsia="en-AU"/>
        </w:rPr>
        <w:t>largest number of international students</w:t>
      </w:r>
      <w:r w:rsidR="00837695" w:rsidRPr="00753557">
        <w:rPr>
          <w:rFonts w:asciiTheme="minorHAnsi" w:hAnsiTheme="minorHAnsi" w:cstheme="minorHAnsi"/>
          <w:color w:val="000000"/>
          <w:sz w:val="19"/>
          <w:szCs w:val="19"/>
          <w:lang w:eastAsia="en-AU"/>
        </w:rPr>
        <w:t xml:space="preserve"> </w:t>
      </w:r>
      <w:r w:rsidR="0062226F" w:rsidRPr="00753557">
        <w:rPr>
          <w:rFonts w:asciiTheme="minorHAnsi" w:hAnsiTheme="minorHAnsi" w:cstheme="minorHAnsi"/>
          <w:color w:val="000000"/>
          <w:sz w:val="19"/>
          <w:szCs w:val="19"/>
          <w:lang w:eastAsia="en-AU"/>
        </w:rPr>
        <w:t xml:space="preserve">with </w:t>
      </w:r>
      <w:r w:rsidR="00897F90">
        <w:rPr>
          <w:rFonts w:asciiTheme="minorHAnsi" w:hAnsiTheme="minorHAnsi" w:cstheme="minorHAnsi"/>
          <w:color w:val="000000"/>
          <w:sz w:val="19"/>
          <w:szCs w:val="19"/>
          <w:lang w:eastAsia="en-AU"/>
        </w:rPr>
        <w:t>20</w:t>
      </w:r>
      <w:r w:rsidR="002D77AF">
        <w:rPr>
          <w:rFonts w:asciiTheme="minorHAnsi" w:hAnsiTheme="minorHAnsi" w:cstheme="minorHAnsi"/>
          <w:color w:val="000000"/>
          <w:sz w:val="19"/>
          <w:szCs w:val="19"/>
          <w:lang w:eastAsia="en-AU"/>
        </w:rPr>
        <w:t xml:space="preserve"> per cent</w:t>
      </w:r>
      <w:r w:rsidR="00837695" w:rsidRPr="00753557">
        <w:rPr>
          <w:rFonts w:asciiTheme="minorHAnsi" w:hAnsiTheme="minorHAnsi" w:cstheme="minorHAnsi"/>
          <w:color w:val="000000"/>
          <w:sz w:val="19"/>
          <w:szCs w:val="19"/>
          <w:lang w:eastAsia="en-AU"/>
        </w:rPr>
        <w:t xml:space="preserve"> enrolled</w:t>
      </w:r>
      <w:r w:rsidR="004F63D2" w:rsidRPr="00753557">
        <w:rPr>
          <w:rFonts w:asciiTheme="minorHAnsi" w:hAnsiTheme="minorHAnsi" w:cstheme="minorHAnsi"/>
          <w:color w:val="000000"/>
          <w:sz w:val="19"/>
          <w:szCs w:val="19"/>
          <w:lang w:eastAsia="en-AU"/>
        </w:rPr>
        <w:t xml:space="preserve"> </w:t>
      </w:r>
      <w:r w:rsidR="00F22AFA" w:rsidRPr="00753557">
        <w:rPr>
          <w:rFonts w:asciiTheme="minorHAnsi" w:hAnsiTheme="minorHAnsi" w:cstheme="minorHAnsi"/>
          <w:color w:val="000000"/>
          <w:sz w:val="19"/>
          <w:szCs w:val="19"/>
          <w:lang w:eastAsia="en-AU"/>
        </w:rPr>
        <w:t xml:space="preserve">at the </w:t>
      </w:r>
      <w:r w:rsidR="009E4E19" w:rsidRPr="00753557">
        <w:rPr>
          <w:rFonts w:asciiTheme="minorHAnsi" w:hAnsiTheme="minorHAnsi" w:cstheme="minorHAnsi"/>
          <w:color w:val="000000"/>
          <w:sz w:val="19"/>
          <w:szCs w:val="19"/>
          <w:lang w:eastAsia="en-AU"/>
        </w:rPr>
        <w:t>tertiary</w:t>
      </w:r>
      <w:r w:rsidR="00F22AFA" w:rsidRPr="00753557">
        <w:rPr>
          <w:rFonts w:asciiTheme="minorHAnsi" w:hAnsiTheme="minorHAnsi" w:cstheme="minorHAnsi"/>
          <w:color w:val="000000"/>
          <w:sz w:val="19"/>
          <w:szCs w:val="19"/>
          <w:lang w:eastAsia="en-AU"/>
        </w:rPr>
        <w:t xml:space="preserve"> levels</w:t>
      </w:r>
      <w:r w:rsidR="00B50D38" w:rsidRPr="00753557">
        <w:rPr>
          <w:rFonts w:asciiTheme="minorHAnsi" w:hAnsiTheme="minorHAnsi" w:cstheme="minorHAnsi"/>
          <w:color w:val="000000"/>
          <w:sz w:val="19"/>
          <w:szCs w:val="19"/>
          <w:lang w:eastAsia="en-AU"/>
        </w:rPr>
        <w:t>, followed by the United Kingdom (</w:t>
      </w:r>
      <w:r w:rsidR="00E54946">
        <w:rPr>
          <w:rFonts w:asciiTheme="minorHAnsi" w:hAnsiTheme="minorHAnsi" w:cstheme="minorHAnsi"/>
          <w:color w:val="000000"/>
          <w:sz w:val="19"/>
          <w:szCs w:val="19"/>
          <w:lang w:eastAsia="en-AU"/>
        </w:rPr>
        <w:t>9</w:t>
      </w:r>
      <w:r w:rsidR="00B50D38" w:rsidRPr="00753557">
        <w:rPr>
          <w:rFonts w:asciiTheme="minorHAnsi" w:hAnsiTheme="minorHAnsi" w:cstheme="minorHAnsi"/>
          <w:color w:val="000000"/>
          <w:sz w:val="19"/>
          <w:szCs w:val="19"/>
          <w:lang w:eastAsia="en-AU"/>
        </w:rPr>
        <w:t>%),</w:t>
      </w:r>
      <w:r w:rsidR="0057673C" w:rsidRPr="00753557">
        <w:rPr>
          <w:rFonts w:asciiTheme="minorHAnsi" w:hAnsiTheme="minorHAnsi" w:cstheme="minorHAnsi"/>
          <w:color w:val="000000"/>
          <w:sz w:val="19"/>
          <w:szCs w:val="19"/>
          <w:lang w:eastAsia="en-AU"/>
        </w:rPr>
        <w:t xml:space="preserve"> Australia (</w:t>
      </w:r>
      <w:r w:rsidR="00E54946">
        <w:rPr>
          <w:rFonts w:asciiTheme="minorHAnsi" w:hAnsiTheme="minorHAnsi" w:cstheme="minorHAnsi"/>
          <w:color w:val="000000"/>
          <w:sz w:val="19"/>
          <w:szCs w:val="19"/>
          <w:lang w:eastAsia="en-AU"/>
        </w:rPr>
        <w:t>6</w:t>
      </w:r>
      <w:r w:rsidR="0057673C" w:rsidRPr="00753557">
        <w:rPr>
          <w:rFonts w:asciiTheme="minorHAnsi" w:hAnsiTheme="minorHAnsi" w:cstheme="minorHAnsi"/>
          <w:color w:val="000000"/>
          <w:sz w:val="19"/>
          <w:szCs w:val="19"/>
          <w:lang w:eastAsia="en-AU"/>
        </w:rPr>
        <w:t xml:space="preserve">%), </w:t>
      </w:r>
      <w:r w:rsidR="00F22AFA" w:rsidRPr="00753557">
        <w:rPr>
          <w:rFonts w:asciiTheme="minorHAnsi" w:hAnsiTheme="minorHAnsi" w:cstheme="minorHAnsi"/>
          <w:color w:val="000000"/>
          <w:sz w:val="19"/>
          <w:szCs w:val="19"/>
          <w:lang w:eastAsia="en-AU"/>
        </w:rPr>
        <w:t>France (</w:t>
      </w:r>
      <w:r w:rsidR="00E54946">
        <w:rPr>
          <w:rFonts w:asciiTheme="minorHAnsi" w:hAnsiTheme="minorHAnsi" w:cstheme="minorHAnsi"/>
          <w:color w:val="000000"/>
          <w:sz w:val="19"/>
          <w:szCs w:val="19"/>
          <w:lang w:eastAsia="en-AU"/>
        </w:rPr>
        <w:t>5</w:t>
      </w:r>
      <w:r w:rsidR="009E4E19" w:rsidRPr="00753557">
        <w:rPr>
          <w:rFonts w:asciiTheme="minorHAnsi" w:hAnsiTheme="minorHAnsi" w:cstheme="minorHAnsi"/>
          <w:color w:val="000000"/>
          <w:sz w:val="19"/>
          <w:szCs w:val="19"/>
          <w:lang w:eastAsia="en-AU"/>
        </w:rPr>
        <w:t>%) and Germany (</w:t>
      </w:r>
      <w:r w:rsidR="0087433A">
        <w:rPr>
          <w:rFonts w:asciiTheme="minorHAnsi" w:hAnsiTheme="minorHAnsi" w:cstheme="minorHAnsi"/>
          <w:color w:val="000000"/>
          <w:sz w:val="19"/>
          <w:szCs w:val="19"/>
          <w:lang w:eastAsia="en-AU"/>
        </w:rPr>
        <w:t>5</w:t>
      </w:r>
      <w:r w:rsidR="00F22AFA" w:rsidRPr="00753557">
        <w:rPr>
          <w:rFonts w:asciiTheme="minorHAnsi" w:hAnsiTheme="minorHAnsi" w:cstheme="minorHAnsi"/>
          <w:color w:val="000000"/>
          <w:sz w:val="19"/>
          <w:szCs w:val="19"/>
          <w:lang w:eastAsia="en-AU"/>
        </w:rPr>
        <w:t>%)</w:t>
      </w:r>
      <w:r w:rsidR="0062226F" w:rsidRPr="00753557">
        <w:rPr>
          <w:rFonts w:asciiTheme="minorHAnsi" w:hAnsiTheme="minorHAnsi" w:cstheme="minorHAnsi"/>
          <w:color w:val="000000"/>
          <w:sz w:val="19"/>
          <w:szCs w:val="19"/>
          <w:lang w:eastAsia="en-AU"/>
        </w:rPr>
        <w:t xml:space="preserve">. </w:t>
      </w:r>
      <w:r w:rsidR="00D01331" w:rsidRPr="00753557">
        <w:rPr>
          <w:rFonts w:asciiTheme="minorHAnsi" w:hAnsiTheme="minorHAnsi" w:cstheme="minorHAnsi"/>
          <w:color w:val="000000"/>
          <w:sz w:val="19"/>
          <w:szCs w:val="19"/>
          <w:lang w:eastAsia="en-AU"/>
        </w:rPr>
        <w:t xml:space="preserve"> </w:t>
      </w:r>
      <w:r w:rsidR="0062226F" w:rsidRPr="00753557">
        <w:rPr>
          <w:rFonts w:asciiTheme="minorHAnsi" w:hAnsiTheme="minorHAnsi" w:cstheme="minorHAnsi"/>
          <w:color w:val="000000"/>
          <w:sz w:val="19"/>
          <w:szCs w:val="19"/>
          <w:lang w:eastAsia="en-AU"/>
        </w:rPr>
        <w:t>Together</w:t>
      </w:r>
      <w:r w:rsidR="00B50D38" w:rsidRPr="00753557">
        <w:rPr>
          <w:rFonts w:asciiTheme="minorHAnsi" w:hAnsiTheme="minorHAnsi" w:cstheme="minorHAnsi"/>
          <w:color w:val="000000"/>
          <w:sz w:val="19"/>
          <w:szCs w:val="19"/>
          <w:lang w:eastAsia="en-AU"/>
        </w:rPr>
        <w:t xml:space="preserve"> these top </w:t>
      </w:r>
      <w:r w:rsidR="00F22AFA" w:rsidRPr="00753557">
        <w:rPr>
          <w:rFonts w:asciiTheme="minorHAnsi" w:hAnsiTheme="minorHAnsi" w:cstheme="minorHAnsi"/>
          <w:color w:val="000000"/>
          <w:sz w:val="19"/>
          <w:szCs w:val="19"/>
          <w:lang w:eastAsia="en-AU"/>
        </w:rPr>
        <w:t>five</w:t>
      </w:r>
      <w:r w:rsidR="00B50D38" w:rsidRPr="00753557">
        <w:rPr>
          <w:rFonts w:asciiTheme="minorHAnsi" w:hAnsiTheme="minorHAnsi" w:cstheme="minorHAnsi"/>
          <w:color w:val="000000"/>
          <w:sz w:val="19"/>
          <w:szCs w:val="19"/>
          <w:lang w:eastAsia="en-AU"/>
        </w:rPr>
        <w:t xml:space="preserve"> destination countries </w:t>
      </w:r>
      <w:r w:rsidR="00D01331" w:rsidRPr="00753557">
        <w:rPr>
          <w:rFonts w:asciiTheme="minorHAnsi" w:hAnsiTheme="minorHAnsi" w:cstheme="minorHAnsi"/>
          <w:color w:val="000000"/>
          <w:sz w:val="19"/>
          <w:szCs w:val="19"/>
          <w:lang w:eastAsia="en-AU"/>
        </w:rPr>
        <w:t>hosted</w:t>
      </w:r>
      <w:r w:rsidR="00E615B3">
        <w:rPr>
          <w:rFonts w:asciiTheme="minorHAnsi" w:hAnsiTheme="minorHAnsi" w:cstheme="minorHAnsi"/>
          <w:color w:val="000000"/>
          <w:sz w:val="19"/>
          <w:szCs w:val="19"/>
          <w:lang w:eastAsia="en-AU"/>
        </w:rPr>
        <w:t xml:space="preserve"> 44</w:t>
      </w:r>
      <w:r w:rsidR="00B95605">
        <w:rPr>
          <w:rFonts w:asciiTheme="minorHAnsi" w:hAnsiTheme="minorHAnsi" w:cstheme="minorHAnsi"/>
          <w:color w:val="000000"/>
          <w:sz w:val="19"/>
          <w:szCs w:val="19"/>
          <w:lang w:eastAsia="en-AU"/>
        </w:rPr>
        <w:t xml:space="preserve"> per cent </w:t>
      </w:r>
      <w:r w:rsidR="00B50D38" w:rsidRPr="00753557">
        <w:rPr>
          <w:rFonts w:asciiTheme="minorHAnsi" w:hAnsiTheme="minorHAnsi" w:cstheme="minorHAnsi"/>
          <w:color w:val="000000"/>
          <w:sz w:val="19"/>
          <w:szCs w:val="19"/>
          <w:lang w:eastAsia="en-AU"/>
        </w:rPr>
        <w:t xml:space="preserve">of all </w:t>
      </w:r>
      <w:r w:rsidR="00493153" w:rsidRPr="00753557">
        <w:rPr>
          <w:rFonts w:asciiTheme="minorHAnsi" w:hAnsiTheme="minorHAnsi" w:cstheme="minorHAnsi"/>
          <w:color w:val="000000"/>
          <w:sz w:val="19"/>
          <w:szCs w:val="19"/>
          <w:lang w:eastAsia="en-AU"/>
        </w:rPr>
        <w:t xml:space="preserve">international </w:t>
      </w:r>
      <w:r w:rsidR="00D01331" w:rsidRPr="00753557">
        <w:rPr>
          <w:rFonts w:asciiTheme="minorHAnsi" w:hAnsiTheme="minorHAnsi" w:cstheme="minorHAnsi"/>
          <w:color w:val="000000"/>
          <w:sz w:val="19"/>
          <w:szCs w:val="19"/>
          <w:lang w:eastAsia="en-AU"/>
        </w:rPr>
        <w:t xml:space="preserve">tertiary </w:t>
      </w:r>
      <w:r w:rsidR="00B953BE" w:rsidRPr="00753557">
        <w:rPr>
          <w:rFonts w:asciiTheme="minorHAnsi" w:hAnsiTheme="minorHAnsi" w:cstheme="minorHAnsi"/>
          <w:color w:val="000000"/>
          <w:sz w:val="19"/>
          <w:szCs w:val="19"/>
          <w:lang w:eastAsia="en-AU"/>
        </w:rPr>
        <w:t xml:space="preserve">students </w:t>
      </w:r>
      <w:r w:rsidR="00F22AFA" w:rsidRPr="00753557">
        <w:rPr>
          <w:rFonts w:asciiTheme="minorHAnsi" w:hAnsiTheme="minorHAnsi" w:cstheme="minorHAnsi"/>
          <w:color w:val="000000"/>
          <w:sz w:val="19"/>
          <w:szCs w:val="19"/>
          <w:lang w:eastAsia="en-AU"/>
        </w:rPr>
        <w:t xml:space="preserve">pursuing their </w:t>
      </w:r>
      <w:r w:rsidR="009E4E19" w:rsidRPr="00753557">
        <w:rPr>
          <w:rFonts w:asciiTheme="minorHAnsi" w:hAnsiTheme="minorHAnsi" w:cstheme="minorHAnsi"/>
          <w:color w:val="000000"/>
          <w:sz w:val="19"/>
          <w:szCs w:val="19"/>
          <w:lang w:eastAsia="en-AU"/>
        </w:rPr>
        <w:t>tertiary level</w:t>
      </w:r>
      <w:r w:rsidR="00F22AFA" w:rsidRPr="00753557">
        <w:rPr>
          <w:rFonts w:asciiTheme="minorHAnsi" w:hAnsiTheme="minorHAnsi" w:cstheme="minorHAnsi"/>
          <w:color w:val="000000"/>
          <w:sz w:val="19"/>
          <w:szCs w:val="19"/>
          <w:lang w:eastAsia="en-AU"/>
        </w:rPr>
        <w:t xml:space="preserve"> studies abroad </w:t>
      </w:r>
      <w:r w:rsidR="00B50D38" w:rsidRPr="00753557">
        <w:rPr>
          <w:rFonts w:asciiTheme="minorHAnsi" w:hAnsiTheme="minorHAnsi" w:cstheme="minorHAnsi"/>
          <w:color w:val="000000"/>
          <w:sz w:val="19"/>
          <w:szCs w:val="19"/>
          <w:lang w:eastAsia="en-AU"/>
        </w:rPr>
        <w:t>in 201</w:t>
      </w:r>
      <w:r w:rsidR="00E54946">
        <w:rPr>
          <w:rFonts w:asciiTheme="minorHAnsi" w:hAnsiTheme="minorHAnsi" w:cstheme="minorHAnsi"/>
          <w:color w:val="000000"/>
          <w:sz w:val="19"/>
          <w:szCs w:val="19"/>
          <w:lang w:eastAsia="en-AU"/>
        </w:rPr>
        <w:t>5</w:t>
      </w:r>
      <w:r w:rsidR="00B50D38" w:rsidRPr="00753557">
        <w:rPr>
          <w:rFonts w:asciiTheme="minorHAnsi" w:hAnsiTheme="minorHAnsi" w:cstheme="minorHAnsi"/>
          <w:color w:val="000000"/>
          <w:sz w:val="19"/>
          <w:szCs w:val="19"/>
          <w:lang w:eastAsia="en-AU"/>
        </w:rPr>
        <w:t xml:space="preserve"> (Figure </w:t>
      </w:r>
      <w:r w:rsidR="002D586C" w:rsidRPr="00753557">
        <w:rPr>
          <w:rFonts w:asciiTheme="minorHAnsi" w:hAnsiTheme="minorHAnsi" w:cstheme="minorHAnsi"/>
          <w:color w:val="000000"/>
          <w:sz w:val="19"/>
          <w:szCs w:val="19"/>
          <w:lang w:eastAsia="en-AU"/>
        </w:rPr>
        <w:t>1</w:t>
      </w:r>
      <w:r w:rsidR="00B50D38" w:rsidRPr="00753557">
        <w:rPr>
          <w:rFonts w:asciiTheme="minorHAnsi" w:hAnsiTheme="minorHAnsi" w:cstheme="minorHAnsi"/>
          <w:color w:val="000000"/>
          <w:sz w:val="19"/>
          <w:szCs w:val="19"/>
          <w:lang w:eastAsia="en-AU"/>
        </w:rPr>
        <w:t>)</w:t>
      </w:r>
      <w:r w:rsidR="00B50D38" w:rsidRPr="0057673C">
        <w:rPr>
          <w:rFonts w:asciiTheme="minorHAnsi" w:hAnsiTheme="minorHAnsi" w:cstheme="minorHAnsi"/>
          <w:color w:val="000000"/>
          <w:sz w:val="20"/>
          <w:lang w:eastAsia="en-AU"/>
        </w:rPr>
        <w:t>.</w:t>
      </w:r>
      <w:r w:rsidR="00B50D38" w:rsidRPr="00E4657E">
        <w:rPr>
          <w:rFonts w:asciiTheme="minorHAnsi" w:hAnsiTheme="minorHAnsi" w:cstheme="minorHAnsi"/>
          <w:color w:val="000000"/>
          <w:sz w:val="20"/>
          <w:lang w:eastAsia="en-AU"/>
        </w:rPr>
        <w:t xml:space="preserve"> </w:t>
      </w:r>
    </w:p>
    <w:p w:rsidR="001A09A1" w:rsidRPr="00E4657E" w:rsidRDefault="001A09A1" w:rsidP="001A597E">
      <w:pPr>
        <w:tabs>
          <w:tab w:val="left" w:pos="6379"/>
        </w:tabs>
        <w:rPr>
          <w:rFonts w:asciiTheme="minorHAnsi" w:hAnsiTheme="minorHAnsi" w:cstheme="minorHAnsi"/>
          <w:color w:val="000000"/>
          <w:sz w:val="20"/>
          <w:lang w:eastAsia="en-AU"/>
        </w:rPr>
      </w:pPr>
    </w:p>
    <w:p w:rsidR="008628D3" w:rsidRDefault="00B50D38" w:rsidP="008628D3">
      <w:pPr>
        <w:pStyle w:val="Default"/>
        <w:tabs>
          <w:tab w:val="left" w:pos="5812"/>
          <w:tab w:val="left" w:pos="5954"/>
        </w:tabs>
        <w:jc w:val="both"/>
        <w:rPr>
          <w:rFonts w:asciiTheme="minorHAnsi" w:hAnsiTheme="minorHAnsi" w:cstheme="minorHAnsi"/>
          <w:color w:val="auto"/>
          <w:sz w:val="20"/>
          <w:szCs w:val="20"/>
          <w:lang w:eastAsia="en-US"/>
        </w:rPr>
      </w:pPr>
      <w:r w:rsidRPr="00753557">
        <w:rPr>
          <w:rFonts w:asciiTheme="minorHAnsi" w:hAnsiTheme="minorHAnsi" w:cstheme="minorHAnsi"/>
          <w:sz w:val="19"/>
          <w:szCs w:val="19"/>
        </w:rPr>
        <w:t xml:space="preserve">The share of </w:t>
      </w:r>
      <w:r w:rsidR="00493153" w:rsidRPr="00753557">
        <w:rPr>
          <w:rFonts w:asciiTheme="minorHAnsi" w:hAnsiTheme="minorHAnsi" w:cstheme="minorHAnsi"/>
          <w:sz w:val="19"/>
          <w:szCs w:val="19"/>
        </w:rPr>
        <w:t xml:space="preserve">international </w:t>
      </w:r>
      <w:r w:rsidRPr="00753557">
        <w:rPr>
          <w:rFonts w:asciiTheme="minorHAnsi" w:hAnsiTheme="minorHAnsi" w:cstheme="minorHAnsi"/>
          <w:sz w:val="19"/>
          <w:szCs w:val="19"/>
        </w:rPr>
        <w:t xml:space="preserve">students who chose the </w:t>
      </w:r>
      <w:r w:rsidR="001B27C0">
        <w:rPr>
          <w:rFonts w:asciiTheme="minorHAnsi" w:hAnsiTheme="minorHAnsi" w:cstheme="minorHAnsi"/>
          <w:sz w:val="19"/>
          <w:szCs w:val="19"/>
        </w:rPr>
        <w:t>US</w:t>
      </w:r>
      <w:r w:rsidR="00416934">
        <w:rPr>
          <w:rFonts w:asciiTheme="minorHAnsi" w:hAnsiTheme="minorHAnsi" w:cstheme="minorHAnsi"/>
          <w:sz w:val="19"/>
          <w:szCs w:val="19"/>
        </w:rPr>
        <w:t xml:space="preserve"> and the </w:t>
      </w:r>
      <w:r w:rsidR="001B27C0">
        <w:rPr>
          <w:rFonts w:asciiTheme="minorHAnsi" w:hAnsiTheme="minorHAnsi" w:cstheme="minorHAnsi"/>
          <w:sz w:val="19"/>
          <w:szCs w:val="19"/>
        </w:rPr>
        <w:t xml:space="preserve">UK </w:t>
      </w:r>
      <w:r w:rsidRPr="00753557">
        <w:rPr>
          <w:rFonts w:asciiTheme="minorHAnsi" w:hAnsiTheme="minorHAnsi" w:cstheme="minorHAnsi"/>
          <w:sz w:val="19"/>
          <w:szCs w:val="19"/>
        </w:rPr>
        <w:t xml:space="preserve">as their </w:t>
      </w:r>
      <w:r w:rsidR="001B27C0">
        <w:rPr>
          <w:rFonts w:asciiTheme="minorHAnsi" w:hAnsiTheme="minorHAnsi" w:cstheme="minorHAnsi"/>
          <w:sz w:val="19"/>
          <w:szCs w:val="19"/>
        </w:rPr>
        <w:t xml:space="preserve">choice of </w:t>
      </w:r>
      <w:r w:rsidR="00416934">
        <w:rPr>
          <w:rFonts w:asciiTheme="minorHAnsi" w:hAnsiTheme="minorHAnsi" w:cstheme="minorHAnsi"/>
          <w:sz w:val="19"/>
          <w:szCs w:val="19"/>
        </w:rPr>
        <w:t xml:space="preserve">study </w:t>
      </w:r>
      <w:r w:rsidRPr="00753557">
        <w:rPr>
          <w:rFonts w:asciiTheme="minorHAnsi" w:hAnsiTheme="minorHAnsi" w:cstheme="minorHAnsi"/>
          <w:sz w:val="19"/>
          <w:szCs w:val="19"/>
        </w:rPr>
        <w:t>destination</w:t>
      </w:r>
      <w:r w:rsidR="00416934">
        <w:rPr>
          <w:rFonts w:asciiTheme="minorHAnsi" w:hAnsiTheme="minorHAnsi" w:cstheme="minorHAnsi"/>
          <w:sz w:val="19"/>
          <w:szCs w:val="19"/>
        </w:rPr>
        <w:t xml:space="preserve"> </w:t>
      </w:r>
      <w:r w:rsidR="00D01331" w:rsidRPr="00753557">
        <w:rPr>
          <w:rFonts w:asciiTheme="minorHAnsi" w:hAnsiTheme="minorHAnsi" w:cstheme="minorHAnsi"/>
          <w:sz w:val="19"/>
          <w:szCs w:val="19"/>
        </w:rPr>
        <w:t>h</w:t>
      </w:r>
      <w:r w:rsidR="00B953BE" w:rsidRPr="00753557">
        <w:rPr>
          <w:rFonts w:asciiTheme="minorHAnsi" w:hAnsiTheme="minorHAnsi" w:cstheme="minorHAnsi"/>
          <w:sz w:val="19"/>
          <w:szCs w:val="19"/>
        </w:rPr>
        <w:t>a</w:t>
      </w:r>
      <w:r w:rsidR="00416934">
        <w:rPr>
          <w:rFonts w:asciiTheme="minorHAnsi" w:hAnsiTheme="minorHAnsi" w:cstheme="minorHAnsi"/>
          <w:sz w:val="19"/>
          <w:szCs w:val="19"/>
        </w:rPr>
        <w:t>s</w:t>
      </w:r>
      <w:r w:rsidR="00B953BE" w:rsidRPr="00753557">
        <w:rPr>
          <w:rFonts w:asciiTheme="minorHAnsi" w:hAnsiTheme="minorHAnsi" w:cstheme="minorHAnsi"/>
          <w:sz w:val="19"/>
          <w:szCs w:val="19"/>
        </w:rPr>
        <w:t xml:space="preserve"> </w:t>
      </w:r>
      <w:r w:rsidR="00DD482B" w:rsidRPr="00753557">
        <w:rPr>
          <w:rFonts w:asciiTheme="minorHAnsi" w:hAnsiTheme="minorHAnsi" w:cstheme="minorHAnsi"/>
          <w:sz w:val="19"/>
          <w:szCs w:val="19"/>
        </w:rPr>
        <w:t xml:space="preserve">been </w:t>
      </w:r>
      <w:r w:rsidR="00B953BE" w:rsidRPr="00753557">
        <w:rPr>
          <w:rFonts w:asciiTheme="minorHAnsi" w:hAnsiTheme="minorHAnsi" w:cstheme="minorHAnsi"/>
          <w:sz w:val="19"/>
          <w:szCs w:val="19"/>
        </w:rPr>
        <w:t>declin</w:t>
      </w:r>
      <w:r w:rsidR="00DD482B" w:rsidRPr="00753557">
        <w:rPr>
          <w:rFonts w:asciiTheme="minorHAnsi" w:hAnsiTheme="minorHAnsi" w:cstheme="minorHAnsi"/>
          <w:sz w:val="19"/>
          <w:szCs w:val="19"/>
        </w:rPr>
        <w:t>ing</w:t>
      </w:r>
      <w:r w:rsidR="005F44D3">
        <w:rPr>
          <w:rFonts w:asciiTheme="minorHAnsi" w:hAnsiTheme="minorHAnsi" w:cstheme="minorHAnsi"/>
          <w:sz w:val="19"/>
          <w:szCs w:val="19"/>
        </w:rPr>
        <w:t xml:space="preserve"> since 2000 </w:t>
      </w:r>
      <w:r w:rsidR="001B27C0">
        <w:rPr>
          <w:rFonts w:asciiTheme="minorHAnsi" w:hAnsiTheme="minorHAnsi" w:cstheme="minorHAnsi"/>
          <w:sz w:val="19"/>
          <w:szCs w:val="19"/>
        </w:rPr>
        <w:t xml:space="preserve">due to </w:t>
      </w:r>
      <w:r w:rsidR="00416934">
        <w:rPr>
          <w:rFonts w:asciiTheme="minorHAnsi" w:hAnsiTheme="minorHAnsi" w:cstheme="minorHAnsi"/>
          <w:sz w:val="19"/>
          <w:szCs w:val="19"/>
        </w:rPr>
        <w:t xml:space="preserve">the </w:t>
      </w:r>
      <w:r w:rsidR="00D01331" w:rsidRPr="00753557">
        <w:rPr>
          <w:rFonts w:asciiTheme="minorHAnsi" w:hAnsiTheme="minorHAnsi" w:cstheme="minorHAnsi"/>
          <w:sz w:val="19"/>
          <w:szCs w:val="19"/>
        </w:rPr>
        <w:t>growing prominence of other study destinations, including Australia</w:t>
      </w:r>
      <w:r w:rsidR="005F44D3">
        <w:rPr>
          <w:rFonts w:asciiTheme="minorHAnsi" w:hAnsiTheme="minorHAnsi" w:cstheme="minorHAnsi"/>
          <w:sz w:val="19"/>
          <w:szCs w:val="19"/>
        </w:rPr>
        <w:t xml:space="preserve"> (Figure 2)</w:t>
      </w:r>
      <w:r w:rsidR="00D01331" w:rsidRPr="00753557">
        <w:rPr>
          <w:rFonts w:asciiTheme="minorHAnsi" w:hAnsiTheme="minorHAnsi" w:cstheme="minorHAnsi"/>
          <w:sz w:val="19"/>
          <w:szCs w:val="19"/>
        </w:rPr>
        <w:t xml:space="preserve">. </w:t>
      </w:r>
      <w:r w:rsidR="00F33ED7">
        <w:rPr>
          <w:rFonts w:asciiTheme="minorHAnsi" w:hAnsiTheme="minorHAnsi" w:cstheme="minorHAnsi"/>
          <w:sz w:val="19"/>
          <w:szCs w:val="19"/>
        </w:rPr>
        <w:t>However</w:t>
      </w:r>
      <w:r w:rsidR="00D01331" w:rsidRPr="00753557">
        <w:rPr>
          <w:rFonts w:asciiTheme="minorHAnsi" w:hAnsiTheme="minorHAnsi" w:cstheme="minorHAnsi"/>
          <w:sz w:val="19"/>
          <w:szCs w:val="19"/>
        </w:rPr>
        <w:t xml:space="preserve">, </w:t>
      </w:r>
      <w:r w:rsidR="00B9655E">
        <w:rPr>
          <w:rFonts w:asciiTheme="minorHAnsi" w:hAnsiTheme="minorHAnsi" w:cstheme="minorHAnsi"/>
          <w:sz w:val="19"/>
          <w:szCs w:val="19"/>
        </w:rPr>
        <w:t xml:space="preserve">the global share of international </w:t>
      </w:r>
      <w:r w:rsidR="00B9655E" w:rsidRPr="00753557">
        <w:rPr>
          <w:rFonts w:asciiTheme="minorHAnsi" w:hAnsiTheme="minorHAnsi" w:cstheme="minorHAnsi"/>
          <w:sz w:val="19"/>
          <w:szCs w:val="19"/>
        </w:rPr>
        <w:t xml:space="preserve">students studying in the US </w:t>
      </w:r>
      <w:r w:rsidR="00B9655E">
        <w:rPr>
          <w:rFonts w:asciiTheme="minorHAnsi" w:hAnsiTheme="minorHAnsi" w:cstheme="minorHAnsi"/>
          <w:sz w:val="19"/>
          <w:szCs w:val="19"/>
        </w:rPr>
        <w:t xml:space="preserve">remained </w:t>
      </w:r>
      <w:r w:rsidR="00416934">
        <w:rPr>
          <w:rFonts w:asciiTheme="minorHAnsi" w:hAnsiTheme="minorHAnsi" w:cstheme="minorHAnsi"/>
          <w:sz w:val="19"/>
          <w:szCs w:val="19"/>
        </w:rPr>
        <w:t>highest</w:t>
      </w:r>
      <w:r w:rsidR="00B9655E">
        <w:rPr>
          <w:rFonts w:asciiTheme="minorHAnsi" w:hAnsiTheme="minorHAnsi" w:cstheme="minorHAnsi"/>
          <w:sz w:val="19"/>
          <w:szCs w:val="19"/>
        </w:rPr>
        <w:t xml:space="preserve"> (19%) with </w:t>
      </w:r>
      <w:r w:rsidR="00E54946">
        <w:rPr>
          <w:rFonts w:asciiTheme="minorHAnsi" w:hAnsiTheme="minorHAnsi" w:cstheme="minorHAnsi"/>
          <w:sz w:val="19"/>
          <w:szCs w:val="19"/>
        </w:rPr>
        <w:t>907,</w:t>
      </w:r>
      <w:r w:rsidR="00416934">
        <w:rPr>
          <w:rFonts w:asciiTheme="minorHAnsi" w:hAnsiTheme="minorHAnsi" w:cstheme="minorHAnsi"/>
          <w:sz w:val="19"/>
          <w:szCs w:val="19"/>
        </w:rPr>
        <w:t>251</w:t>
      </w:r>
      <w:r w:rsidR="00B953BE" w:rsidRPr="00753557">
        <w:rPr>
          <w:rFonts w:asciiTheme="minorHAnsi" w:hAnsiTheme="minorHAnsi" w:cstheme="minorHAnsi"/>
          <w:sz w:val="19"/>
          <w:szCs w:val="19"/>
        </w:rPr>
        <w:t xml:space="preserve"> </w:t>
      </w:r>
      <w:r w:rsidR="00897F90">
        <w:rPr>
          <w:rFonts w:asciiTheme="minorHAnsi" w:hAnsiTheme="minorHAnsi" w:cstheme="minorHAnsi"/>
          <w:sz w:val="19"/>
          <w:szCs w:val="19"/>
        </w:rPr>
        <w:t xml:space="preserve">international </w:t>
      </w:r>
      <w:r w:rsidR="00B953BE" w:rsidRPr="00753557">
        <w:rPr>
          <w:rFonts w:asciiTheme="minorHAnsi" w:hAnsiTheme="minorHAnsi" w:cstheme="minorHAnsi"/>
          <w:sz w:val="19"/>
          <w:szCs w:val="19"/>
        </w:rPr>
        <w:t>students</w:t>
      </w:r>
      <w:r w:rsidR="00B9655E">
        <w:rPr>
          <w:rFonts w:asciiTheme="minorHAnsi" w:hAnsiTheme="minorHAnsi" w:cstheme="minorHAnsi"/>
          <w:sz w:val="19"/>
          <w:szCs w:val="19"/>
        </w:rPr>
        <w:t xml:space="preserve"> </w:t>
      </w:r>
      <w:r w:rsidR="001B27C0">
        <w:rPr>
          <w:rFonts w:asciiTheme="minorHAnsi" w:hAnsiTheme="minorHAnsi" w:cstheme="minorHAnsi"/>
          <w:sz w:val="19"/>
          <w:szCs w:val="19"/>
        </w:rPr>
        <w:t>f</w:t>
      </w:r>
      <w:r w:rsidR="00416934">
        <w:rPr>
          <w:rFonts w:asciiTheme="minorHAnsi" w:hAnsiTheme="minorHAnsi" w:cstheme="minorHAnsi"/>
          <w:sz w:val="19"/>
          <w:szCs w:val="19"/>
        </w:rPr>
        <w:t>ollowed by the UK (9%) with 430,833</w:t>
      </w:r>
      <w:r w:rsidR="001B27C0">
        <w:rPr>
          <w:rFonts w:asciiTheme="minorHAnsi" w:hAnsiTheme="minorHAnsi" w:cstheme="minorHAnsi"/>
          <w:sz w:val="19"/>
          <w:szCs w:val="19"/>
        </w:rPr>
        <w:t xml:space="preserve"> </w:t>
      </w:r>
      <w:r w:rsidR="00897F90">
        <w:rPr>
          <w:rFonts w:asciiTheme="minorHAnsi" w:hAnsiTheme="minorHAnsi" w:cstheme="minorHAnsi"/>
          <w:sz w:val="19"/>
          <w:szCs w:val="19"/>
        </w:rPr>
        <w:t xml:space="preserve">international </w:t>
      </w:r>
      <w:r w:rsidR="001B27C0">
        <w:rPr>
          <w:rFonts w:asciiTheme="minorHAnsi" w:hAnsiTheme="minorHAnsi" w:cstheme="minorHAnsi"/>
          <w:sz w:val="19"/>
          <w:szCs w:val="19"/>
        </w:rPr>
        <w:t xml:space="preserve">students </w:t>
      </w:r>
      <w:r w:rsidRPr="00753557">
        <w:rPr>
          <w:rFonts w:asciiTheme="minorHAnsi" w:hAnsiTheme="minorHAnsi" w:cstheme="minorHAnsi"/>
          <w:sz w:val="19"/>
          <w:szCs w:val="19"/>
        </w:rPr>
        <w:t>in 201</w:t>
      </w:r>
      <w:r w:rsidR="00E54946">
        <w:rPr>
          <w:rFonts w:asciiTheme="minorHAnsi" w:hAnsiTheme="minorHAnsi" w:cstheme="minorHAnsi"/>
          <w:sz w:val="19"/>
          <w:szCs w:val="19"/>
        </w:rPr>
        <w:t>5</w:t>
      </w:r>
      <w:r w:rsidRPr="00753557">
        <w:rPr>
          <w:rFonts w:asciiTheme="minorHAnsi" w:hAnsiTheme="minorHAnsi" w:cstheme="minorHAnsi"/>
          <w:sz w:val="19"/>
          <w:szCs w:val="19"/>
        </w:rPr>
        <w:t xml:space="preserve">. Australia’s </w:t>
      </w:r>
      <w:r w:rsidR="00416934">
        <w:rPr>
          <w:rFonts w:asciiTheme="minorHAnsi" w:hAnsiTheme="minorHAnsi" w:cstheme="minorHAnsi"/>
          <w:sz w:val="19"/>
          <w:szCs w:val="19"/>
        </w:rPr>
        <w:t xml:space="preserve">global </w:t>
      </w:r>
      <w:r w:rsidRPr="00753557">
        <w:rPr>
          <w:rFonts w:asciiTheme="minorHAnsi" w:hAnsiTheme="minorHAnsi" w:cstheme="minorHAnsi"/>
          <w:sz w:val="19"/>
          <w:szCs w:val="19"/>
        </w:rPr>
        <w:t xml:space="preserve">share </w:t>
      </w:r>
      <w:r w:rsidR="00416934">
        <w:rPr>
          <w:rFonts w:asciiTheme="minorHAnsi" w:hAnsiTheme="minorHAnsi" w:cstheme="minorHAnsi"/>
          <w:sz w:val="19"/>
          <w:szCs w:val="19"/>
        </w:rPr>
        <w:t>was</w:t>
      </w:r>
      <w:r w:rsidR="00B9655E">
        <w:rPr>
          <w:rFonts w:asciiTheme="minorHAnsi" w:hAnsiTheme="minorHAnsi" w:cstheme="minorHAnsi"/>
          <w:sz w:val="19"/>
          <w:szCs w:val="19"/>
        </w:rPr>
        <w:t xml:space="preserve"> th</w:t>
      </w:r>
      <w:r w:rsidR="00416934">
        <w:rPr>
          <w:rFonts w:asciiTheme="minorHAnsi" w:hAnsiTheme="minorHAnsi" w:cstheme="minorHAnsi"/>
          <w:sz w:val="19"/>
          <w:szCs w:val="19"/>
        </w:rPr>
        <w:t xml:space="preserve">ird </w:t>
      </w:r>
      <w:r w:rsidR="00B9655E">
        <w:rPr>
          <w:rFonts w:asciiTheme="minorHAnsi" w:hAnsiTheme="minorHAnsi" w:cstheme="minorHAnsi"/>
          <w:sz w:val="19"/>
          <w:szCs w:val="19"/>
        </w:rPr>
        <w:t xml:space="preserve">(6%) with </w:t>
      </w:r>
      <w:r w:rsidR="00E54946">
        <w:rPr>
          <w:rFonts w:asciiTheme="minorHAnsi" w:hAnsiTheme="minorHAnsi" w:cstheme="minorHAnsi"/>
          <w:sz w:val="19"/>
          <w:szCs w:val="19"/>
        </w:rPr>
        <w:t>294,</w:t>
      </w:r>
      <w:r w:rsidR="00416934">
        <w:rPr>
          <w:rFonts w:asciiTheme="minorHAnsi" w:hAnsiTheme="minorHAnsi" w:cstheme="minorHAnsi"/>
          <w:sz w:val="19"/>
          <w:szCs w:val="19"/>
        </w:rPr>
        <w:t xml:space="preserve">438 </w:t>
      </w:r>
      <w:r w:rsidR="00897F90">
        <w:rPr>
          <w:rFonts w:asciiTheme="minorHAnsi" w:hAnsiTheme="minorHAnsi" w:cstheme="minorHAnsi"/>
          <w:sz w:val="19"/>
          <w:szCs w:val="19"/>
        </w:rPr>
        <w:t xml:space="preserve">international </w:t>
      </w:r>
      <w:r w:rsidR="00B953BE" w:rsidRPr="00753557">
        <w:rPr>
          <w:rFonts w:asciiTheme="minorHAnsi" w:hAnsiTheme="minorHAnsi" w:cstheme="minorHAnsi"/>
          <w:sz w:val="19"/>
          <w:szCs w:val="19"/>
        </w:rPr>
        <w:t>students</w:t>
      </w:r>
      <w:r w:rsidR="00B9655E">
        <w:rPr>
          <w:rFonts w:asciiTheme="minorHAnsi" w:hAnsiTheme="minorHAnsi" w:cstheme="minorHAnsi"/>
          <w:sz w:val="19"/>
          <w:szCs w:val="19"/>
        </w:rPr>
        <w:t xml:space="preserve"> </w:t>
      </w:r>
      <w:r w:rsidR="00AE4429" w:rsidRPr="00753557">
        <w:rPr>
          <w:rFonts w:asciiTheme="minorHAnsi" w:hAnsiTheme="minorHAnsi" w:cstheme="minorHAnsi"/>
          <w:sz w:val="19"/>
          <w:szCs w:val="19"/>
        </w:rPr>
        <w:t>in 201</w:t>
      </w:r>
      <w:r w:rsidR="00E54946">
        <w:rPr>
          <w:rFonts w:asciiTheme="minorHAnsi" w:hAnsiTheme="minorHAnsi" w:cstheme="minorHAnsi"/>
          <w:sz w:val="19"/>
          <w:szCs w:val="19"/>
        </w:rPr>
        <w:t>5</w:t>
      </w:r>
      <w:r w:rsidR="0051607D">
        <w:rPr>
          <w:rFonts w:asciiTheme="minorHAnsi" w:hAnsiTheme="minorHAnsi" w:cstheme="minorHAnsi"/>
          <w:sz w:val="20"/>
        </w:rPr>
        <w:t>.</w:t>
      </w:r>
      <w:r w:rsidR="008628D3" w:rsidRPr="008628D3">
        <w:rPr>
          <w:rFonts w:asciiTheme="minorHAnsi" w:hAnsiTheme="minorHAnsi" w:cstheme="minorHAnsi"/>
          <w:color w:val="auto"/>
          <w:sz w:val="20"/>
          <w:szCs w:val="20"/>
          <w:lang w:eastAsia="en-US"/>
        </w:rPr>
        <w:t xml:space="preserve"> </w:t>
      </w:r>
    </w:p>
    <w:p w:rsidR="002A0C76" w:rsidRDefault="002A0C76" w:rsidP="001A597E">
      <w:pPr>
        <w:pStyle w:val="Default"/>
        <w:tabs>
          <w:tab w:val="left" w:pos="5812"/>
          <w:tab w:val="left" w:pos="5954"/>
        </w:tabs>
        <w:jc w:val="both"/>
        <w:rPr>
          <w:rFonts w:asciiTheme="minorHAnsi" w:hAnsiTheme="minorHAnsi" w:cstheme="minorHAnsi"/>
          <w:b/>
          <w:color w:val="000000" w:themeColor="text1"/>
          <w:sz w:val="19"/>
          <w:szCs w:val="19"/>
        </w:rPr>
      </w:pPr>
    </w:p>
    <w:p w:rsidR="005F44D3" w:rsidRPr="00753557" w:rsidRDefault="005A29AE" w:rsidP="005F44D3">
      <w:pPr>
        <w:pStyle w:val="Default"/>
        <w:tabs>
          <w:tab w:val="left" w:pos="5812"/>
          <w:tab w:val="left" w:pos="5954"/>
        </w:tabs>
        <w:jc w:val="both"/>
        <w:rPr>
          <w:rFonts w:asciiTheme="minorHAnsi" w:hAnsiTheme="minorHAnsi" w:cstheme="minorHAnsi"/>
          <w:color w:val="auto"/>
          <w:sz w:val="19"/>
          <w:szCs w:val="19"/>
          <w:lang w:eastAsia="en-US"/>
        </w:rPr>
      </w:pPr>
      <w:r>
        <w:rPr>
          <w:rFonts w:asciiTheme="minorHAnsi" w:hAnsiTheme="minorHAnsi" w:cstheme="minorHAnsi"/>
          <w:noProof/>
          <w:color w:val="000000" w:themeColor="text1"/>
          <w:sz w:val="19"/>
          <w:szCs w:val="19"/>
        </w:rPr>
        <w:drawing>
          <wp:anchor distT="0" distB="0" distL="114300" distR="114300" simplePos="0" relativeHeight="251696128" behindDoc="0" locked="0" layoutInCell="1" allowOverlap="1">
            <wp:simplePos x="0" y="0"/>
            <wp:positionH relativeFrom="column">
              <wp:posOffset>3668395</wp:posOffset>
            </wp:positionH>
            <wp:positionV relativeFrom="paragraph">
              <wp:posOffset>220345</wp:posOffset>
            </wp:positionV>
            <wp:extent cx="3140075" cy="2085975"/>
            <wp:effectExtent l="0" t="0" r="317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0075" cy="2085975"/>
                    </a:xfrm>
                    <a:prstGeom prst="rect">
                      <a:avLst/>
                    </a:prstGeom>
                    <a:noFill/>
                  </pic:spPr>
                </pic:pic>
              </a:graphicData>
            </a:graphic>
            <wp14:sizeRelH relativeFrom="page">
              <wp14:pctWidth>0</wp14:pctWidth>
            </wp14:sizeRelH>
            <wp14:sizeRelV relativeFrom="page">
              <wp14:pctHeight>0</wp14:pctHeight>
            </wp14:sizeRelV>
          </wp:anchor>
        </w:drawing>
      </w:r>
      <w:r w:rsidR="005F44D3">
        <w:rPr>
          <w:rFonts w:asciiTheme="minorHAnsi" w:hAnsiTheme="minorHAnsi" w:cstheme="minorHAnsi"/>
          <w:color w:val="000000" w:themeColor="text1"/>
          <w:sz w:val="19"/>
          <w:szCs w:val="19"/>
        </w:rPr>
        <w:t>Across all OECD countries</w:t>
      </w:r>
      <w:r w:rsidR="00416934">
        <w:rPr>
          <w:rFonts w:asciiTheme="minorHAnsi" w:hAnsiTheme="minorHAnsi" w:cstheme="minorHAnsi"/>
          <w:color w:val="000000" w:themeColor="text1"/>
          <w:sz w:val="19"/>
          <w:szCs w:val="19"/>
        </w:rPr>
        <w:t xml:space="preserve"> combined</w:t>
      </w:r>
      <w:r w:rsidR="005F44D3">
        <w:rPr>
          <w:rFonts w:asciiTheme="minorHAnsi" w:hAnsiTheme="minorHAnsi" w:cstheme="minorHAnsi"/>
          <w:color w:val="000000" w:themeColor="text1"/>
          <w:sz w:val="19"/>
          <w:szCs w:val="19"/>
        </w:rPr>
        <w:t xml:space="preserve">, almost </w:t>
      </w:r>
      <w:r w:rsidR="005F44D3" w:rsidRPr="00753557">
        <w:rPr>
          <w:rFonts w:asciiTheme="minorHAnsi" w:hAnsiTheme="minorHAnsi" w:cstheme="minorHAnsi"/>
          <w:color w:val="000000" w:themeColor="text1"/>
          <w:sz w:val="19"/>
          <w:szCs w:val="19"/>
        </w:rPr>
        <w:t>6</w:t>
      </w:r>
      <w:r w:rsidR="005F44D3">
        <w:rPr>
          <w:rFonts w:asciiTheme="minorHAnsi" w:hAnsiTheme="minorHAnsi" w:cstheme="minorHAnsi"/>
          <w:color w:val="000000" w:themeColor="text1"/>
          <w:sz w:val="19"/>
          <w:szCs w:val="19"/>
        </w:rPr>
        <w:t xml:space="preserve"> per cent </w:t>
      </w:r>
      <w:r w:rsidR="005F44D3" w:rsidRPr="00753557">
        <w:rPr>
          <w:rFonts w:asciiTheme="minorHAnsi" w:hAnsiTheme="minorHAnsi" w:cstheme="minorHAnsi"/>
          <w:color w:val="000000" w:themeColor="text1"/>
          <w:sz w:val="19"/>
          <w:szCs w:val="19"/>
        </w:rPr>
        <w:t>of</w:t>
      </w:r>
      <w:r w:rsidR="005F44D3">
        <w:rPr>
          <w:rFonts w:asciiTheme="minorHAnsi" w:hAnsiTheme="minorHAnsi" w:cstheme="minorHAnsi"/>
          <w:color w:val="000000" w:themeColor="text1"/>
          <w:sz w:val="19"/>
          <w:szCs w:val="19"/>
        </w:rPr>
        <w:t xml:space="preserve"> </w:t>
      </w:r>
      <w:r w:rsidR="00416934">
        <w:rPr>
          <w:rFonts w:asciiTheme="minorHAnsi" w:hAnsiTheme="minorHAnsi" w:cstheme="minorHAnsi"/>
          <w:color w:val="000000" w:themeColor="text1"/>
          <w:sz w:val="19"/>
          <w:szCs w:val="19"/>
        </w:rPr>
        <w:t>all</w:t>
      </w:r>
      <w:r w:rsidR="005F44D3" w:rsidRPr="00753557">
        <w:rPr>
          <w:rFonts w:asciiTheme="minorHAnsi" w:hAnsiTheme="minorHAnsi" w:cstheme="minorHAnsi"/>
          <w:color w:val="000000" w:themeColor="text1"/>
          <w:sz w:val="19"/>
          <w:szCs w:val="19"/>
        </w:rPr>
        <w:t xml:space="preserve"> tertiary </w:t>
      </w:r>
      <w:r w:rsidR="005F44D3">
        <w:rPr>
          <w:rFonts w:asciiTheme="minorHAnsi" w:hAnsiTheme="minorHAnsi" w:cstheme="minorHAnsi"/>
          <w:color w:val="000000" w:themeColor="text1"/>
          <w:sz w:val="19"/>
          <w:szCs w:val="19"/>
        </w:rPr>
        <w:t>students were</w:t>
      </w:r>
      <w:r w:rsidR="005F44D3" w:rsidRPr="00753557">
        <w:rPr>
          <w:rFonts w:asciiTheme="minorHAnsi" w:hAnsiTheme="minorHAnsi" w:cstheme="minorHAnsi"/>
          <w:color w:val="000000" w:themeColor="text1"/>
          <w:sz w:val="19"/>
          <w:szCs w:val="19"/>
        </w:rPr>
        <w:t xml:space="preserve"> international students</w:t>
      </w:r>
      <w:r>
        <w:rPr>
          <w:rFonts w:asciiTheme="minorHAnsi" w:hAnsiTheme="minorHAnsi" w:cstheme="minorHAnsi"/>
          <w:color w:val="000000" w:themeColor="text1"/>
          <w:sz w:val="19"/>
          <w:szCs w:val="19"/>
        </w:rPr>
        <w:t xml:space="preserve"> in 2015. </w:t>
      </w:r>
      <w:r w:rsidR="005F44D3">
        <w:rPr>
          <w:rFonts w:asciiTheme="minorHAnsi" w:hAnsiTheme="minorHAnsi" w:cstheme="minorHAnsi"/>
          <w:color w:val="000000" w:themeColor="text1"/>
          <w:sz w:val="19"/>
          <w:szCs w:val="19"/>
        </w:rPr>
        <w:t xml:space="preserve">The OECD reported Australia as having </w:t>
      </w:r>
      <w:r w:rsidR="005F44D3" w:rsidRPr="00753557">
        <w:rPr>
          <w:rFonts w:asciiTheme="minorHAnsi" w:hAnsiTheme="minorHAnsi" w:cstheme="minorHAnsi"/>
          <w:color w:val="000000" w:themeColor="text1"/>
          <w:sz w:val="19"/>
          <w:szCs w:val="19"/>
        </w:rPr>
        <w:t xml:space="preserve">the </w:t>
      </w:r>
      <w:r w:rsidR="005F44D3">
        <w:rPr>
          <w:rFonts w:asciiTheme="minorHAnsi" w:hAnsiTheme="minorHAnsi" w:cstheme="minorHAnsi"/>
          <w:color w:val="000000" w:themeColor="text1"/>
          <w:sz w:val="19"/>
          <w:szCs w:val="19"/>
        </w:rPr>
        <w:t>sixth</w:t>
      </w:r>
      <w:r w:rsidR="005F44D3" w:rsidRPr="00753557">
        <w:rPr>
          <w:rFonts w:asciiTheme="minorHAnsi" w:hAnsiTheme="minorHAnsi" w:cstheme="minorHAnsi"/>
          <w:color w:val="000000" w:themeColor="text1"/>
          <w:sz w:val="19"/>
          <w:szCs w:val="19"/>
        </w:rPr>
        <w:t xml:space="preserve"> highest proportion (</w:t>
      </w:r>
      <w:r w:rsidR="005F44D3">
        <w:rPr>
          <w:rFonts w:asciiTheme="minorHAnsi" w:hAnsiTheme="minorHAnsi" w:cstheme="minorHAnsi"/>
          <w:color w:val="000000" w:themeColor="text1"/>
          <w:sz w:val="19"/>
          <w:szCs w:val="19"/>
        </w:rPr>
        <w:t>16</w:t>
      </w:r>
      <w:r w:rsidR="005F44D3" w:rsidRPr="00753557">
        <w:rPr>
          <w:rFonts w:asciiTheme="minorHAnsi" w:hAnsiTheme="minorHAnsi" w:cstheme="minorHAnsi"/>
          <w:color w:val="000000" w:themeColor="text1"/>
          <w:sz w:val="19"/>
          <w:szCs w:val="19"/>
        </w:rPr>
        <w:t xml:space="preserve">%) </w:t>
      </w:r>
      <w:r w:rsidR="005F44D3">
        <w:rPr>
          <w:rFonts w:asciiTheme="minorHAnsi" w:hAnsiTheme="minorHAnsi" w:cstheme="minorHAnsi"/>
          <w:color w:val="000000" w:themeColor="text1"/>
          <w:sz w:val="19"/>
          <w:szCs w:val="19"/>
        </w:rPr>
        <w:t xml:space="preserve">of international students </w:t>
      </w:r>
      <w:r w:rsidR="00416934">
        <w:rPr>
          <w:rFonts w:asciiTheme="minorHAnsi" w:hAnsiTheme="minorHAnsi" w:cstheme="minorHAnsi"/>
          <w:color w:val="000000" w:themeColor="text1"/>
          <w:sz w:val="19"/>
          <w:szCs w:val="19"/>
        </w:rPr>
        <w:t xml:space="preserve">in its total student population, </w:t>
      </w:r>
      <w:r w:rsidR="005F44D3" w:rsidRPr="00753557">
        <w:rPr>
          <w:rFonts w:asciiTheme="minorHAnsi" w:hAnsiTheme="minorHAnsi" w:cstheme="minorHAnsi"/>
          <w:color w:val="000000" w:themeColor="text1"/>
          <w:sz w:val="19"/>
          <w:szCs w:val="19"/>
        </w:rPr>
        <w:t>behind Luxembourg (4</w:t>
      </w:r>
      <w:r w:rsidR="005F44D3">
        <w:rPr>
          <w:rFonts w:asciiTheme="minorHAnsi" w:hAnsiTheme="minorHAnsi" w:cstheme="minorHAnsi"/>
          <w:color w:val="000000" w:themeColor="text1"/>
          <w:sz w:val="19"/>
          <w:szCs w:val="19"/>
        </w:rPr>
        <w:t>6</w:t>
      </w:r>
      <w:r w:rsidR="005F44D3" w:rsidRPr="00753557">
        <w:rPr>
          <w:rFonts w:asciiTheme="minorHAnsi" w:hAnsiTheme="minorHAnsi" w:cstheme="minorHAnsi"/>
          <w:color w:val="000000" w:themeColor="text1"/>
          <w:sz w:val="19"/>
          <w:szCs w:val="19"/>
        </w:rPr>
        <w:t>%)</w:t>
      </w:r>
      <w:r w:rsidR="005F44D3">
        <w:rPr>
          <w:rFonts w:asciiTheme="minorHAnsi" w:hAnsiTheme="minorHAnsi" w:cstheme="minorHAnsi"/>
          <w:color w:val="000000" w:themeColor="text1"/>
          <w:sz w:val="19"/>
          <w:szCs w:val="19"/>
        </w:rPr>
        <w:t xml:space="preserve">, </w:t>
      </w:r>
      <w:r w:rsidR="005F44D3" w:rsidRPr="00753557">
        <w:rPr>
          <w:rFonts w:asciiTheme="minorHAnsi" w:hAnsiTheme="minorHAnsi" w:cstheme="minorHAnsi"/>
          <w:color w:val="000000" w:themeColor="text1"/>
          <w:sz w:val="19"/>
          <w:szCs w:val="19"/>
        </w:rPr>
        <w:t>New Zealand (</w:t>
      </w:r>
      <w:r w:rsidR="005F44D3">
        <w:rPr>
          <w:rFonts w:asciiTheme="minorHAnsi" w:hAnsiTheme="minorHAnsi" w:cstheme="minorHAnsi"/>
          <w:color w:val="000000" w:themeColor="text1"/>
          <w:sz w:val="19"/>
          <w:szCs w:val="19"/>
        </w:rPr>
        <w:t>21</w:t>
      </w:r>
      <w:r w:rsidR="005F44D3" w:rsidRPr="00753557">
        <w:rPr>
          <w:rFonts w:asciiTheme="minorHAnsi" w:hAnsiTheme="minorHAnsi" w:cstheme="minorHAnsi"/>
          <w:color w:val="000000" w:themeColor="text1"/>
          <w:sz w:val="19"/>
          <w:szCs w:val="19"/>
        </w:rPr>
        <w:t>%)</w:t>
      </w:r>
      <w:r w:rsidR="005F44D3">
        <w:rPr>
          <w:rFonts w:asciiTheme="minorHAnsi" w:hAnsiTheme="minorHAnsi" w:cstheme="minorHAnsi"/>
          <w:color w:val="000000" w:themeColor="text1"/>
          <w:sz w:val="19"/>
          <w:szCs w:val="19"/>
        </w:rPr>
        <w:t>, United Kingdom (19%), Switz</w:t>
      </w:r>
      <w:r w:rsidR="001B03DF">
        <w:rPr>
          <w:rFonts w:asciiTheme="minorHAnsi" w:hAnsiTheme="minorHAnsi" w:cstheme="minorHAnsi"/>
          <w:color w:val="000000" w:themeColor="text1"/>
          <w:sz w:val="19"/>
          <w:szCs w:val="19"/>
        </w:rPr>
        <w:t xml:space="preserve">erland (17%), and Austria (16%) </w:t>
      </w:r>
      <w:proofErr w:type="gramStart"/>
      <w:r w:rsidR="005F44D3" w:rsidRPr="00753557">
        <w:rPr>
          <w:rFonts w:asciiTheme="minorHAnsi" w:hAnsiTheme="minorHAnsi" w:cstheme="minorHAnsi"/>
          <w:color w:val="000000" w:themeColor="text1"/>
          <w:sz w:val="19"/>
          <w:szCs w:val="19"/>
        </w:rPr>
        <w:t xml:space="preserve">(Figure </w:t>
      </w:r>
      <w:r w:rsidR="005F44D3">
        <w:rPr>
          <w:rFonts w:asciiTheme="minorHAnsi" w:hAnsiTheme="minorHAnsi" w:cstheme="minorHAnsi"/>
          <w:color w:val="000000" w:themeColor="text1"/>
          <w:sz w:val="19"/>
          <w:szCs w:val="19"/>
        </w:rPr>
        <w:t>3</w:t>
      </w:r>
      <w:r w:rsidR="005F44D3" w:rsidRPr="00753557">
        <w:rPr>
          <w:rFonts w:asciiTheme="minorHAnsi" w:hAnsiTheme="minorHAnsi" w:cstheme="minorHAnsi"/>
          <w:color w:val="000000" w:themeColor="text1"/>
          <w:sz w:val="19"/>
          <w:szCs w:val="19"/>
        </w:rPr>
        <w:t>)</w:t>
      </w:r>
      <w:r w:rsidR="005F44D3">
        <w:rPr>
          <w:rFonts w:asciiTheme="minorHAnsi" w:hAnsiTheme="minorHAnsi" w:cstheme="minorHAnsi"/>
          <w:color w:val="000000" w:themeColor="text1"/>
          <w:sz w:val="19"/>
          <w:szCs w:val="19"/>
        </w:rPr>
        <w:t>.</w:t>
      </w:r>
      <w:proofErr w:type="gramEnd"/>
      <w:r w:rsidR="005F44D3" w:rsidRPr="002A0C76">
        <w:rPr>
          <w:rFonts w:asciiTheme="minorHAnsi" w:hAnsiTheme="minorHAnsi" w:cstheme="minorHAnsi"/>
          <w:color w:val="auto"/>
          <w:sz w:val="19"/>
          <w:szCs w:val="19"/>
          <w:lang w:eastAsia="en-US"/>
        </w:rPr>
        <w:t xml:space="preserve"> </w:t>
      </w:r>
      <w:r w:rsidR="00416934">
        <w:rPr>
          <w:rFonts w:asciiTheme="minorHAnsi" w:hAnsiTheme="minorHAnsi" w:cstheme="minorHAnsi"/>
          <w:color w:val="auto"/>
          <w:sz w:val="19"/>
          <w:szCs w:val="19"/>
          <w:lang w:eastAsia="en-US"/>
        </w:rPr>
        <w:t>The same figure for the US was just 4.6 per cent.</w:t>
      </w:r>
    </w:p>
    <w:p w:rsidR="005F44D3" w:rsidRDefault="005F44D3" w:rsidP="001A597E">
      <w:pPr>
        <w:pStyle w:val="Default"/>
        <w:tabs>
          <w:tab w:val="left" w:pos="5812"/>
          <w:tab w:val="left" w:pos="5954"/>
        </w:tabs>
        <w:jc w:val="both"/>
        <w:rPr>
          <w:rFonts w:asciiTheme="minorHAnsi" w:hAnsiTheme="minorHAnsi" w:cstheme="minorHAnsi"/>
          <w:b/>
          <w:color w:val="000000" w:themeColor="text1"/>
          <w:sz w:val="19"/>
          <w:szCs w:val="19"/>
        </w:rPr>
      </w:pPr>
    </w:p>
    <w:p w:rsidR="00FE2D67" w:rsidRPr="002A0C76" w:rsidRDefault="00D01331" w:rsidP="001A597E">
      <w:pPr>
        <w:pStyle w:val="Default"/>
        <w:tabs>
          <w:tab w:val="left" w:pos="5812"/>
          <w:tab w:val="left" w:pos="5954"/>
        </w:tabs>
        <w:jc w:val="both"/>
        <w:rPr>
          <w:rFonts w:asciiTheme="minorHAnsi" w:hAnsiTheme="minorHAnsi" w:cstheme="minorHAnsi"/>
          <w:b/>
          <w:color w:val="000000" w:themeColor="text1"/>
          <w:sz w:val="19"/>
          <w:szCs w:val="19"/>
        </w:rPr>
      </w:pPr>
      <w:r w:rsidRPr="00753557">
        <w:rPr>
          <w:rFonts w:asciiTheme="minorHAnsi" w:hAnsiTheme="minorHAnsi" w:cstheme="minorHAnsi"/>
          <w:b/>
          <w:color w:val="000000" w:themeColor="text1"/>
          <w:sz w:val="19"/>
          <w:szCs w:val="19"/>
        </w:rPr>
        <w:t>Major source</w:t>
      </w:r>
      <w:r w:rsidR="00A4529C" w:rsidRPr="00753557">
        <w:rPr>
          <w:rFonts w:asciiTheme="minorHAnsi" w:hAnsiTheme="minorHAnsi" w:cstheme="minorHAnsi"/>
          <w:b/>
          <w:color w:val="000000" w:themeColor="text1"/>
          <w:sz w:val="19"/>
          <w:szCs w:val="19"/>
        </w:rPr>
        <w:t xml:space="preserve"> </w:t>
      </w:r>
      <w:r w:rsidR="007407BF" w:rsidRPr="00753557">
        <w:rPr>
          <w:rFonts w:asciiTheme="minorHAnsi" w:hAnsiTheme="minorHAnsi" w:cstheme="minorHAnsi"/>
          <w:b/>
          <w:color w:val="000000" w:themeColor="text1"/>
          <w:sz w:val="19"/>
          <w:szCs w:val="19"/>
        </w:rPr>
        <w:t>regions/</w:t>
      </w:r>
      <w:r w:rsidR="00A4529C" w:rsidRPr="00753557">
        <w:rPr>
          <w:rFonts w:asciiTheme="minorHAnsi" w:hAnsiTheme="minorHAnsi" w:cstheme="minorHAnsi"/>
          <w:b/>
          <w:color w:val="000000" w:themeColor="text1"/>
          <w:sz w:val="19"/>
          <w:szCs w:val="19"/>
        </w:rPr>
        <w:t>countries</w:t>
      </w:r>
      <w:r w:rsidR="0051607D" w:rsidRPr="00753557">
        <w:rPr>
          <w:sz w:val="19"/>
          <w:szCs w:val="19"/>
        </w:rPr>
        <w:t xml:space="preserve"> </w:t>
      </w:r>
    </w:p>
    <w:p w:rsidR="00753557" w:rsidRPr="00753557" w:rsidRDefault="00753557" w:rsidP="001A597E">
      <w:pPr>
        <w:pStyle w:val="Default"/>
        <w:tabs>
          <w:tab w:val="left" w:pos="5812"/>
          <w:tab w:val="left" w:pos="5954"/>
        </w:tabs>
        <w:jc w:val="both"/>
        <w:rPr>
          <w:sz w:val="19"/>
          <w:szCs w:val="19"/>
        </w:rPr>
      </w:pPr>
    </w:p>
    <w:p w:rsidR="00753557" w:rsidRDefault="00A4529C">
      <w:pPr>
        <w:pStyle w:val="Default"/>
        <w:tabs>
          <w:tab w:val="left" w:pos="5812"/>
          <w:tab w:val="left" w:pos="5954"/>
        </w:tabs>
        <w:jc w:val="both"/>
        <w:rPr>
          <w:rFonts w:asciiTheme="minorHAnsi" w:hAnsiTheme="minorHAnsi" w:cstheme="minorHAnsi"/>
          <w:color w:val="auto"/>
          <w:sz w:val="19"/>
          <w:szCs w:val="19"/>
          <w:lang w:eastAsia="en-US"/>
        </w:rPr>
      </w:pPr>
      <w:r w:rsidRPr="00A52822">
        <w:rPr>
          <w:rFonts w:asciiTheme="minorHAnsi" w:hAnsiTheme="minorHAnsi" w:cstheme="minorHAnsi"/>
          <w:color w:val="auto"/>
          <w:sz w:val="19"/>
          <w:szCs w:val="19"/>
          <w:lang w:eastAsia="en-US"/>
        </w:rPr>
        <w:t>Asia (</w:t>
      </w:r>
      <w:r w:rsidR="00A52822" w:rsidRPr="00A52822">
        <w:rPr>
          <w:rFonts w:asciiTheme="minorHAnsi" w:hAnsiTheme="minorHAnsi" w:cstheme="minorHAnsi"/>
          <w:color w:val="auto"/>
          <w:sz w:val="19"/>
          <w:szCs w:val="19"/>
          <w:lang w:eastAsia="en-US"/>
        </w:rPr>
        <w:t>32</w:t>
      </w:r>
      <w:r w:rsidRPr="00A52822">
        <w:rPr>
          <w:rFonts w:asciiTheme="minorHAnsi" w:hAnsiTheme="minorHAnsi" w:cstheme="minorHAnsi"/>
          <w:color w:val="auto"/>
          <w:sz w:val="19"/>
          <w:szCs w:val="19"/>
          <w:lang w:eastAsia="en-US"/>
        </w:rPr>
        <w:t xml:space="preserve">%) </w:t>
      </w:r>
      <w:r w:rsidR="00416934">
        <w:rPr>
          <w:rFonts w:asciiTheme="minorHAnsi" w:hAnsiTheme="minorHAnsi" w:cstheme="minorHAnsi"/>
          <w:color w:val="auto"/>
          <w:sz w:val="19"/>
          <w:szCs w:val="19"/>
          <w:lang w:eastAsia="en-US"/>
        </w:rPr>
        <w:t xml:space="preserve">was </w:t>
      </w:r>
      <w:r w:rsidRPr="00A52822">
        <w:rPr>
          <w:rFonts w:asciiTheme="minorHAnsi" w:hAnsiTheme="minorHAnsi" w:cstheme="minorHAnsi"/>
          <w:color w:val="auto"/>
          <w:sz w:val="19"/>
          <w:szCs w:val="19"/>
          <w:lang w:eastAsia="en-US"/>
        </w:rPr>
        <w:t xml:space="preserve">largest </w:t>
      </w:r>
      <w:r w:rsidR="00416934">
        <w:rPr>
          <w:rFonts w:asciiTheme="minorHAnsi" w:hAnsiTheme="minorHAnsi" w:cstheme="minorHAnsi"/>
          <w:color w:val="auto"/>
          <w:sz w:val="19"/>
          <w:szCs w:val="19"/>
          <w:lang w:eastAsia="en-US"/>
        </w:rPr>
        <w:t xml:space="preserve">regional source </w:t>
      </w:r>
      <w:r w:rsidRPr="00A52822">
        <w:rPr>
          <w:rFonts w:asciiTheme="minorHAnsi" w:hAnsiTheme="minorHAnsi" w:cstheme="minorHAnsi"/>
          <w:color w:val="auto"/>
          <w:sz w:val="19"/>
          <w:szCs w:val="19"/>
          <w:lang w:eastAsia="en-US"/>
        </w:rPr>
        <w:t xml:space="preserve">of international </w:t>
      </w:r>
      <w:r w:rsidR="00B95605">
        <w:rPr>
          <w:rFonts w:asciiTheme="minorHAnsi" w:hAnsiTheme="minorHAnsi" w:cstheme="minorHAnsi"/>
          <w:color w:val="auto"/>
          <w:sz w:val="19"/>
          <w:szCs w:val="19"/>
          <w:lang w:eastAsia="en-US"/>
        </w:rPr>
        <w:t>enrolments</w:t>
      </w:r>
      <w:r w:rsidRPr="00A52822">
        <w:rPr>
          <w:rFonts w:asciiTheme="minorHAnsi" w:hAnsiTheme="minorHAnsi" w:cstheme="minorHAnsi"/>
          <w:color w:val="auto"/>
          <w:sz w:val="19"/>
          <w:szCs w:val="19"/>
          <w:lang w:eastAsia="en-US"/>
        </w:rPr>
        <w:t xml:space="preserve"> </w:t>
      </w:r>
      <w:r w:rsidR="00B95605">
        <w:rPr>
          <w:rFonts w:asciiTheme="minorHAnsi" w:hAnsiTheme="minorHAnsi" w:cstheme="minorHAnsi"/>
          <w:color w:val="auto"/>
          <w:sz w:val="19"/>
          <w:szCs w:val="19"/>
          <w:lang w:eastAsia="en-US"/>
        </w:rPr>
        <w:t xml:space="preserve">abroad </w:t>
      </w:r>
      <w:r w:rsidR="000533F7" w:rsidRPr="00A52822">
        <w:rPr>
          <w:rFonts w:asciiTheme="minorHAnsi" w:hAnsiTheme="minorHAnsi" w:cstheme="minorHAnsi"/>
          <w:color w:val="auto"/>
          <w:sz w:val="19"/>
          <w:szCs w:val="19"/>
          <w:lang w:eastAsia="en-US"/>
        </w:rPr>
        <w:t xml:space="preserve">at </w:t>
      </w:r>
      <w:r w:rsidR="00A52822" w:rsidRPr="00A52822">
        <w:rPr>
          <w:rFonts w:asciiTheme="minorHAnsi" w:hAnsiTheme="minorHAnsi" w:cstheme="minorHAnsi"/>
          <w:color w:val="auto"/>
          <w:sz w:val="19"/>
          <w:szCs w:val="19"/>
          <w:lang w:eastAsia="en-US"/>
        </w:rPr>
        <w:t>all</w:t>
      </w:r>
      <w:r w:rsidR="000533F7" w:rsidRPr="00A52822">
        <w:rPr>
          <w:rFonts w:asciiTheme="minorHAnsi" w:hAnsiTheme="minorHAnsi" w:cstheme="minorHAnsi"/>
          <w:color w:val="auto"/>
          <w:sz w:val="19"/>
          <w:szCs w:val="19"/>
          <w:lang w:eastAsia="en-US"/>
        </w:rPr>
        <w:t xml:space="preserve"> </w:t>
      </w:r>
      <w:r w:rsidR="00A52822" w:rsidRPr="00A52822">
        <w:rPr>
          <w:rFonts w:asciiTheme="minorHAnsi" w:hAnsiTheme="minorHAnsi" w:cstheme="minorHAnsi"/>
          <w:color w:val="auto"/>
          <w:sz w:val="19"/>
          <w:szCs w:val="19"/>
          <w:lang w:eastAsia="en-US"/>
        </w:rPr>
        <w:t>tertiary levels</w:t>
      </w:r>
      <w:r w:rsidR="00416934">
        <w:rPr>
          <w:rFonts w:asciiTheme="minorHAnsi" w:hAnsiTheme="minorHAnsi" w:cstheme="minorHAnsi"/>
          <w:color w:val="auto"/>
          <w:sz w:val="19"/>
          <w:szCs w:val="19"/>
          <w:lang w:eastAsia="en-US"/>
        </w:rPr>
        <w:t>,</w:t>
      </w:r>
      <w:r w:rsidR="00A52822" w:rsidRPr="00A52822">
        <w:rPr>
          <w:rFonts w:asciiTheme="minorHAnsi" w:hAnsiTheme="minorHAnsi" w:cstheme="minorHAnsi"/>
          <w:color w:val="auto"/>
          <w:sz w:val="19"/>
          <w:szCs w:val="19"/>
          <w:lang w:eastAsia="en-US"/>
        </w:rPr>
        <w:t xml:space="preserve"> </w:t>
      </w:r>
      <w:r w:rsidR="00BD5F98" w:rsidRPr="00A52822">
        <w:rPr>
          <w:rFonts w:asciiTheme="minorHAnsi" w:hAnsiTheme="minorHAnsi" w:cstheme="minorHAnsi"/>
          <w:color w:val="auto"/>
          <w:sz w:val="19"/>
          <w:szCs w:val="19"/>
          <w:lang w:eastAsia="en-US"/>
        </w:rPr>
        <w:t>followed by Europe (</w:t>
      </w:r>
      <w:r w:rsidR="00A52822" w:rsidRPr="00A52822">
        <w:rPr>
          <w:rFonts w:asciiTheme="minorHAnsi" w:hAnsiTheme="minorHAnsi" w:cstheme="minorHAnsi"/>
          <w:color w:val="auto"/>
          <w:sz w:val="19"/>
          <w:szCs w:val="19"/>
          <w:lang w:eastAsia="en-US"/>
        </w:rPr>
        <w:t>16</w:t>
      </w:r>
      <w:r w:rsidR="00BD5F98" w:rsidRPr="00A52822">
        <w:rPr>
          <w:rFonts w:asciiTheme="minorHAnsi" w:hAnsiTheme="minorHAnsi" w:cstheme="minorHAnsi"/>
          <w:color w:val="auto"/>
          <w:sz w:val="19"/>
          <w:szCs w:val="19"/>
          <w:lang w:eastAsia="en-US"/>
        </w:rPr>
        <w:t xml:space="preserve">%) and </w:t>
      </w:r>
      <w:r w:rsidR="00A52822" w:rsidRPr="00A52822">
        <w:rPr>
          <w:rFonts w:asciiTheme="minorHAnsi" w:hAnsiTheme="minorHAnsi" w:cstheme="minorHAnsi"/>
          <w:color w:val="auto"/>
          <w:sz w:val="19"/>
          <w:szCs w:val="19"/>
          <w:lang w:eastAsia="en-US"/>
        </w:rPr>
        <w:t>Americas</w:t>
      </w:r>
      <w:r w:rsidR="00BD5F98" w:rsidRPr="00A52822">
        <w:rPr>
          <w:rFonts w:asciiTheme="minorHAnsi" w:hAnsiTheme="minorHAnsi" w:cstheme="minorHAnsi"/>
          <w:color w:val="auto"/>
          <w:sz w:val="19"/>
          <w:szCs w:val="19"/>
          <w:lang w:eastAsia="en-US"/>
        </w:rPr>
        <w:t xml:space="preserve"> (</w:t>
      </w:r>
      <w:r w:rsidR="00A52822" w:rsidRPr="00A52822">
        <w:rPr>
          <w:rFonts w:asciiTheme="minorHAnsi" w:hAnsiTheme="minorHAnsi" w:cstheme="minorHAnsi"/>
          <w:color w:val="auto"/>
          <w:sz w:val="19"/>
          <w:szCs w:val="19"/>
          <w:lang w:eastAsia="en-US"/>
        </w:rPr>
        <w:t>6</w:t>
      </w:r>
      <w:r w:rsidR="00BD5F98" w:rsidRPr="00A52822">
        <w:rPr>
          <w:rFonts w:asciiTheme="minorHAnsi" w:hAnsiTheme="minorHAnsi" w:cstheme="minorHAnsi"/>
          <w:color w:val="auto"/>
          <w:sz w:val="19"/>
          <w:szCs w:val="19"/>
          <w:lang w:eastAsia="en-US"/>
        </w:rPr>
        <w:t>%)</w:t>
      </w:r>
      <w:r w:rsidR="000533F7" w:rsidRPr="00A52822">
        <w:rPr>
          <w:rFonts w:asciiTheme="minorHAnsi" w:hAnsiTheme="minorHAnsi" w:cstheme="minorHAnsi"/>
          <w:color w:val="auto"/>
          <w:sz w:val="19"/>
          <w:szCs w:val="19"/>
          <w:lang w:eastAsia="en-US"/>
        </w:rPr>
        <w:t>.</w:t>
      </w:r>
      <w:r w:rsidRPr="00A52822">
        <w:rPr>
          <w:rFonts w:asciiTheme="minorHAnsi" w:hAnsiTheme="minorHAnsi" w:cstheme="minorHAnsi"/>
          <w:color w:val="auto"/>
          <w:sz w:val="19"/>
          <w:szCs w:val="19"/>
          <w:lang w:eastAsia="en-US"/>
        </w:rPr>
        <w:t xml:space="preserve"> </w:t>
      </w:r>
      <w:r w:rsidR="00440586">
        <w:rPr>
          <w:rFonts w:asciiTheme="minorHAnsi" w:hAnsiTheme="minorHAnsi" w:cstheme="minorHAnsi"/>
          <w:color w:val="auto"/>
          <w:sz w:val="19"/>
          <w:szCs w:val="19"/>
          <w:lang w:eastAsia="en-US"/>
        </w:rPr>
        <w:t xml:space="preserve">The top source countries of internationally mobile students </w:t>
      </w:r>
      <w:r w:rsidR="00416934">
        <w:rPr>
          <w:rFonts w:asciiTheme="minorHAnsi" w:hAnsiTheme="minorHAnsi" w:cstheme="minorHAnsi"/>
          <w:color w:val="auto"/>
          <w:sz w:val="19"/>
          <w:szCs w:val="19"/>
          <w:lang w:eastAsia="en-US"/>
        </w:rPr>
        <w:t>w</w:t>
      </w:r>
      <w:r w:rsidR="00B95605">
        <w:rPr>
          <w:rFonts w:asciiTheme="minorHAnsi" w:hAnsiTheme="minorHAnsi" w:cstheme="minorHAnsi"/>
          <w:color w:val="auto"/>
          <w:sz w:val="19"/>
          <w:szCs w:val="19"/>
          <w:lang w:eastAsia="en-US"/>
        </w:rPr>
        <w:t>ere</w:t>
      </w:r>
      <w:r w:rsidR="00440586">
        <w:rPr>
          <w:rFonts w:asciiTheme="minorHAnsi" w:hAnsiTheme="minorHAnsi" w:cstheme="minorHAnsi"/>
          <w:color w:val="auto"/>
          <w:sz w:val="19"/>
          <w:szCs w:val="19"/>
          <w:lang w:eastAsia="en-US"/>
        </w:rPr>
        <w:t xml:space="preserve"> China (20%), followed by India (7%), Germany (4%), Korea, France and Saudi Arabia (</w:t>
      </w:r>
      <w:r w:rsidR="00416934">
        <w:rPr>
          <w:rFonts w:asciiTheme="minorHAnsi" w:hAnsiTheme="minorHAnsi" w:cstheme="minorHAnsi"/>
          <w:color w:val="auto"/>
          <w:sz w:val="19"/>
          <w:szCs w:val="19"/>
          <w:lang w:eastAsia="en-US"/>
        </w:rPr>
        <w:t xml:space="preserve">each </w:t>
      </w:r>
      <w:r w:rsidR="00440586">
        <w:rPr>
          <w:rFonts w:asciiTheme="minorHAnsi" w:hAnsiTheme="minorHAnsi" w:cstheme="minorHAnsi"/>
          <w:color w:val="auto"/>
          <w:sz w:val="19"/>
          <w:szCs w:val="19"/>
          <w:lang w:eastAsia="en-US"/>
        </w:rPr>
        <w:t>ranging between 2-</w:t>
      </w:r>
      <w:r w:rsidR="008D02E3">
        <w:rPr>
          <w:rFonts w:asciiTheme="minorHAnsi" w:hAnsiTheme="minorHAnsi" w:cstheme="minorHAnsi"/>
          <w:color w:val="auto"/>
          <w:sz w:val="19"/>
          <w:szCs w:val="19"/>
          <w:lang w:eastAsia="en-US"/>
        </w:rPr>
        <w:t xml:space="preserve"> </w:t>
      </w:r>
      <w:r w:rsidR="00440586">
        <w:rPr>
          <w:rFonts w:asciiTheme="minorHAnsi" w:hAnsiTheme="minorHAnsi" w:cstheme="minorHAnsi"/>
          <w:color w:val="auto"/>
          <w:sz w:val="19"/>
          <w:szCs w:val="19"/>
          <w:lang w:eastAsia="en-US"/>
        </w:rPr>
        <w:t>3%)</w:t>
      </w:r>
      <w:r w:rsidR="004E0A09">
        <w:rPr>
          <w:rFonts w:asciiTheme="minorHAnsi" w:hAnsiTheme="minorHAnsi" w:cstheme="minorHAnsi"/>
          <w:color w:val="auto"/>
          <w:sz w:val="19"/>
          <w:szCs w:val="19"/>
          <w:lang w:eastAsia="en-US"/>
        </w:rPr>
        <w:t xml:space="preserve">. </w:t>
      </w:r>
      <w:r w:rsidR="00B93355" w:rsidRPr="00753557">
        <w:rPr>
          <w:rFonts w:asciiTheme="minorHAnsi" w:hAnsiTheme="minorHAnsi" w:cstheme="minorHAnsi"/>
          <w:color w:val="auto"/>
          <w:sz w:val="19"/>
          <w:szCs w:val="19"/>
          <w:lang w:eastAsia="en-US"/>
        </w:rPr>
        <w:t xml:space="preserve"> </w:t>
      </w:r>
    </w:p>
    <w:p w:rsidR="008B61B7" w:rsidRDefault="008B61B7">
      <w:pPr>
        <w:pStyle w:val="Default"/>
        <w:tabs>
          <w:tab w:val="left" w:pos="5812"/>
          <w:tab w:val="left" w:pos="5954"/>
        </w:tabs>
        <w:jc w:val="both"/>
        <w:rPr>
          <w:rFonts w:asciiTheme="minorHAnsi" w:hAnsiTheme="minorHAnsi" w:cstheme="minorHAnsi"/>
          <w:color w:val="000000" w:themeColor="text1"/>
          <w:sz w:val="19"/>
          <w:szCs w:val="19"/>
        </w:rPr>
      </w:pPr>
    </w:p>
    <w:p w:rsidR="002A0C76" w:rsidRPr="002A0C76" w:rsidRDefault="002A0C76" w:rsidP="002A0C76">
      <w:pPr>
        <w:pStyle w:val="Default"/>
        <w:tabs>
          <w:tab w:val="left" w:pos="5812"/>
          <w:tab w:val="left" w:pos="5954"/>
        </w:tabs>
        <w:jc w:val="both"/>
        <w:rPr>
          <w:rFonts w:asciiTheme="minorHAnsi" w:hAnsiTheme="minorHAnsi" w:cstheme="minorHAnsi"/>
          <w:b/>
          <w:color w:val="auto"/>
          <w:sz w:val="19"/>
          <w:szCs w:val="19"/>
          <w:lang w:eastAsia="en-US"/>
        </w:rPr>
      </w:pPr>
      <w:r w:rsidRPr="002A0C76">
        <w:rPr>
          <w:rFonts w:asciiTheme="minorHAnsi" w:hAnsiTheme="minorHAnsi" w:cstheme="minorHAnsi"/>
          <w:b/>
          <w:color w:val="auto"/>
          <w:sz w:val="19"/>
          <w:szCs w:val="19"/>
          <w:lang w:eastAsia="en-US"/>
        </w:rPr>
        <w:t xml:space="preserve">Broad fields of Education </w:t>
      </w:r>
    </w:p>
    <w:p w:rsidR="002A0C76" w:rsidRDefault="002A0C76" w:rsidP="002A0C76">
      <w:pPr>
        <w:pStyle w:val="Default"/>
        <w:tabs>
          <w:tab w:val="left" w:pos="5812"/>
          <w:tab w:val="left" w:pos="5954"/>
        </w:tabs>
        <w:jc w:val="both"/>
        <w:rPr>
          <w:rFonts w:asciiTheme="minorHAnsi" w:hAnsiTheme="minorHAnsi" w:cstheme="minorHAnsi"/>
          <w:color w:val="auto"/>
          <w:sz w:val="19"/>
          <w:szCs w:val="19"/>
          <w:lang w:eastAsia="en-US"/>
        </w:rPr>
      </w:pPr>
    </w:p>
    <w:p w:rsidR="005F44D3" w:rsidRPr="00753557" w:rsidRDefault="002A0C76">
      <w:pPr>
        <w:pStyle w:val="Default"/>
        <w:tabs>
          <w:tab w:val="left" w:pos="5812"/>
          <w:tab w:val="left" w:pos="5954"/>
        </w:tabs>
        <w:jc w:val="both"/>
        <w:rPr>
          <w:rFonts w:asciiTheme="minorHAnsi" w:hAnsiTheme="minorHAnsi" w:cstheme="minorHAnsi"/>
          <w:color w:val="auto"/>
          <w:sz w:val="19"/>
          <w:szCs w:val="19"/>
          <w:lang w:eastAsia="en-US"/>
        </w:rPr>
      </w:pPr>
      <w:r w:rsidRPr="00753557">
        <w:rPr>
          <w:rFonts w:asciiTheme="minorHAnsi" w:hAnsiTheme="minorHAnsi" w:cstheme="minorHAnsi"/>
          <w:color w:val="auto"/>
          <w:sz w:val="19"/>
          <w:szCs w:val="19"/>
          <w:lang w:eastAsia="en-US"/>
        </w:rPr>
        <w:t xml:space="preserve">The </w:t>
      </w:r>
      <w:r>
        <w:rPr>
          <w:rFonts w:asciiTheme="minorHAnsi" w:hAnsiTheme="minorHAnsi" w:cstheme="minorHAnsi"/>
          <w:color w:val="auto"/>
          <w:sz w:val="19"/>
          <w:szCs w:val="19"/>
          <w:lang w:eastAsia="en-US"/>
        </w:rPr>
        <w:t xml:space="preserve">2017 OECD report noted that about </w:t>
      </w:r>
      <w:r w:rsidR="0032182E">
        <w:rPr>
          <w:rFonts w:asciiTheme="minorHAnsi" w:hAnsiTheme="minorHAnsi" w:cstheme="minorHAnsi"/>
          <w:color w:val="auto"/>
          <w:sz w:val="19"/>
          <w:szCs w:val="19"/>
          <w:lang w:eastAsia="en-US"/>
        </w:rPr>
        <w:t xml:space="preserve">one third </w:t>
      </w:r>
      <w:r w:rsidR="00EA53A3">
        <w:rPr>
          <w:rFonts w:asciiTheme="minorHAnsi" w:hAnsiTheme="minorHAnsi" w:cstheme="minorHAnsi"/>
          <w:color w:val="auto"/>
          <w:sz w:val="19"/>
          <w:szCs w:val="19"/>
          <w:lang w:eastAsia="en-US"/>
        </w:rPr>
        <w:t xml:space="preserve">of </w:t>
      </w:r>
      <w:r>
        <w:rPr>
          <w:rFonts w:asciiTheme="minorHAnsi" w:hAnsiTheme="minorHAnsi" w:cstheme="minorHAnsi"/>
          <w:color w:val="auto"/>
          <w:sz w:val="19"/>
          <w:szCs w:val="19"/>
          <w:lang w:eastAsia="en-US"/>
        </w:rPr>
        <w:t xml:space="preserve">internationally mobile students </w:t>
      </w:r>
      <w:r w:rsidR="0032182E">
        <w:rPr>
          <w:rFonts w:asciiTheme="minorHAnsi" w:hAnsiTheme="minorHAnsi" w:cstheme="minorHAnsi"/>
          <w:color w:val="auto"/>
          <w:sz w:val="19"/>
          <w:szCs w:val="19"/>
          <w:lang w:eastAsia="en-US"/>
        </w:rPr>
        <w:t xml:space="preserve">in OECD countries </w:t>
      </w:r>
      <w:r w:rsidR="002C027F">
        <w:rPr>
          <w:rFonts w:asciiTheme="minorHAnsi" w:hAnsiTheme="minorHAnsi" w:cstheme="minorHAnsi"/>
          <w:color w:val="auto"/>
          <w:sz w:val="19"/>
          <w:szCs w:val="19"/>
          <w:lang w:eastAsia="en-US"/>
        </w:rPr>
        <w:t xml:space="preserve">were enrolled in Science, </w:t>
      </w:r>
      <w:r w:rsidR="00EB1EDB">
        <w:rPr>
          <w:rFonts w:asciiTheme="minorHAnsi" w:hAnsiTheme="minorHAnsi" w:cstheme="minorHAnsi"/>
          <w:color w:val="auto"/>
          <w:sz w:val="19"/>
          <w:szCs w:val="19"/>
          <w:lang w:eastAsia="en-US"/>
        </w:rPr>
        <w:t>Technology, Engineerin</w:t>
      </w:r>
      <w:r w:rsidR="00EA53A3">
        <w:rPr>
          <w:rFonts w:asciiTheme="minorHAnsi" w:hAnsiTheme="minorHAnsi" w:cstheme="minorHAnsi"/>
          <w:color w:val="auto"/>
          <w:sz w:val="19"/>
          <w:szCs w:val="19"/>
          <w:lang w:eastAsia="en-US"/>
        </w:rPr>
        <w:t>g and Mathematics (STEM) fields. This was further broken down into e</w:t>
      </w:r>
      <w:r w:rsidR="002C027F">
        <w:rPr>
          <w:rFonts w:asciiTheme="minorHAnsi" w:hAnsiTheme="minorHAnsi" w:cstheme="minorHAnsi"/>
          <w:color w:val="auto"/>
          <w:sz w:val="19"/>
          <w:szCs w:val="19"/>
          <w:lang w:eastAsia="en-US"/>
        </w:rPr>
        <w:t>ngineering, manufacturing and construction (</w:t>
      </w:r>
      <w:r w:rsidR="0032182E">
        <w:rPr>
          <w:rFonts w:asciiTheme="minorHAnsi" w:hAnsiTheme="minorHAnsi" w:cstheme="minorHAnsi"/>
          <w:color w:val="auto"/>
          <w:sz w:val="19"/>
          <w:szCs w:val="19"/>
          <w:lang w:eastAsia="en-US"/>
        </w:rPr>
        <w:t>17</w:t>
      </w:r>
      <w:r w:rsidR="002C027F">
        <w:rPr>
          <w:rFonts w:asciiTheme="minorHAnsi" w:hAnsiTheme="minorHAnsi" w:cstheme="minorHAnsi"/>
          <w:color w:val="auto"/>
          <w:sz w:val="19"/>
          <w:szCs w:val="19"/>
          <w:lang w:eastAsia="en-US"/>
        </w:rPr>
        <w:t xml:space="preserve">%), </w:t>
      </w:r>
      <w:r w:rsidR="00EA53A3">
        <w:rPr>
          <w:rFonts w:asciiTheme="minorHAnsi" w:hAnsiTheme="minorHAnsi" w:cstheme="minorHAnsi"/>
          <w:color w:val="auto"/>
          <w:sz w:val="19"/>
          <w:szCs w:val="19"/>
          <w:lang w:eastAsia="en-US"/>
        </w:rPr>
        <w:t>n</w:t>
      </w:r>
      <w:r w:rsidR="002C027F">
        <w:rPr>
          <w:rFonts w:asciiTheme="minorHAnsi" w:hAnsiTheme="minorHAnsi" w:cstheme="minorHAnsi"/>
          <w:color w:val="auto"/>
          <w:sz w:val="19"/>
          <w:szCs w:val="19"/>
          <w:lang w:eastAsia="en-US"/>
        </w:rPr>
        <w:t>atural sciences, mathematics and statistics (</w:t>
      </w:r>
      <w:r w:rsidR="0032182E">
        <w:rPr>
          <w:rFonts w:asciiTheme="minorHAnsi" w:hAnsiTheme="minorHAnsi" w:cstheme="minorHAnsi"/>
          <w:color w:val="auto"/>
          <w:sz w:val="19"/>
          <w:szCs w:val="19"/>
          <w:lang w:eastAsia="en-US"/>
        </w:rPr>
        <w:t>10</w:t>
      </w:r>
      <w:r w:rsidR="005F44D3">
        <w:rPr>
          <w:rFonts w:asciiTheme="minorHAnsi" w:hAnsiTheme="minorHAnsi" w:cstheme="minorHAnsi"/>
          <w:color w:val="auto"/>
          <w:sz w:val="19"/>
          <w:szCs w:val="19"/>
          <w:lang w:eastAsia="en-US"/>
        </w:rPr>
        <w:t xml:space="preserve">%), </w:t>
      </w:r>
      <w:r w:rsidR="002C027F">
        <w:rPr>
          <w:rFonts w:asciiTheme="minorHAnsi" w:hAnsiTheme="minorHAnsi" w:cstheme="minorHAnsi"/>
          <w:color w:val="auto"/>
          <w:sz w:val="19"/>
          <w:szCs w:val="19"/>
          <w:lang w:eastAsia="en-US"/>
        </w:rPr>
        <w:t xml:space="preserve">and </w:t>
      </w:r>
      <w:r w:rsidR="00F167D2">
        <w:rPr>
          <w:rFonts w:asciiTheme="minorHAnsi" w:hAnsiTheme="minorHAnsi" w:cstheme="minorHAnsi"/>
          <w:color w:val="auto"/>
          <w:sz w:val="19"/>
          <w:szCs w:val="19"/>
          <w:lang w:eastAsia="en-US"/>
        </w:rPr>
        <w:t>i</w:t>
      </w:r>
      <w:r w:rsidR="002C027F">
        <w:rPr>
          <w:rFonts w:asciiTheme="minorHAnsi" w:hAnsiTheme="minorHAnsi" w:cstheme="minorHAnsi"/>
          <w:color w:val="auto"/>
          <w:sz w:val="19"/>
          <w:szCs w:val="19"/>
          <w:lang w:eastAsia="en-US"/>
        </w:rPr>
        <w:t>nformation and communication technologies (</w:t>
      </w:r>
      <w:r w:rsidR="0032182E">
        <w:rPr>
          <w:rFonts w:asciiTheme="minorHAnsi" w:hAnsiTheme="minorHAnsi" w:cstheme="minorHAnsi"/>
          <w:color w:val="auto"/>
          <w:sz w:val="19"/>
          <w:szCs w:val="19"/>
          <w:lang w:eastAsia="en-US"/>
        </w:rPr>
        <w:t>6</w:t>
      </w:r>
      <w:r w:rsidR="002C027F">
        <w:rPr>
          <w:rFonts w:asciiTheme="minorHAnsi" w:hAnsiTheme="minorHAnsi" w:cstheme="minorHAnsi"/>
          <w:color w:val="auto"/>
          <w:sz w:val="19"/>
          <w:szCs w:val="19"/>
          <w:lang w:eastAsia="en-US"/>
        </w:rPr>
        <w:t>%)</w:t>
      </w:r>
      <w:r w:rsidR="00EA53A3">
        <w:rPr>
          <w:rFonts w:asciiTheme="minorHAnsi" w:hAnsiTheme="minorHAnsi" w:cstheme="minorHAnsi"/>
          <w:color w:val="auto"/>
          <w:sz w:val="19"/>
          <w:szCs w:val="19"/>
          <w:lang w:eastAsia="en-US"/>
        </w:rPr>
        <w:t xml:space="preserve">. </w:t>
      </w:r>
      <w:r w:rsidR="002C027F">
        <w:rPr>
          <w:rFonts w:asciiTheme="minorHAnsi" w:hAnsiTheme="minorHAnsi" w:cstheme="minorHAnsi"/>
          <w:color w:val="auto"/>
          <w:sz w:val="19"/>
          <w:szCs w:val="19"/>
          <w:lang w:eastAsia="en-US"/>
        </w:rPr>
        <w:t xml:space="preserve"> </w:t>
      </w:r>
      <w:r w:rsidR="00E26A4C" w:rsidRPr="0032182E">
        <w:rPr>
          <w:rFonts w:asciiTheme="minorHAnsi" w:hAnsiTheme="minorHAnsi" w:cstheme="minorHAnsi"/>
          <w:color w:val="auto"/>
          <w:sz w:val="19"/>
          <w:szCs w:val="19"/>
          <w:lang w:eastAsia="en-US"/>
        </w:rPr>
        <w:t xml:space="preserve">  </w:t>
      </w:r>
    </w:p>
    <w:sectPr w:rsidR="005F44D3" w:rsidRPr="00753557" w:rsidSect="00A5677C">
      <w:footerReference w:type="default" r:id="rId13"/>
      <w:pgSz w:w="11906" w:h="16838" w:code="9"/>
      <w:pgMar w:top="238" w:right="567" w:bottom="249" w:left="567" w:header="567" w:footer="105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1C" w:rsidRDefault="00385F1C">
      <w:r>
        <w:separator/>
      </w:r>
    </w:p>
  </w:endnote>
  <w:endnote w:type="continuationSeparator" w:id="0">
    <w:p w:rsidR="00385F1C" w:rsidRDefault="0038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C9" w:rsidRPr="00101A1B" w:rsidRDefault="00101A1B" w:rsidP="00AE4429">
    <w:pPr>
      <w:rPr>
        <w:rFonts w:asciiTheme="minorHAnsi" w:hAnsiTheme="minorHAnsi" w:cstheme="minorHAnsi"/>
        <w:sz w:val="16"/>
        <w:szCs w:val="16"/>
      </w:rPr>
    </w:pPr>
    <w:r>
      <w:rPr>
        <w:rFonts w:asciiTheme="minorHAnsi" w:hAnsiTheme="minorHAnsi" w:cstheme="minorHAnsi"/>
        <w:color w:val="000000"/>
        <w:sz w:val="16"/>
        <w:szCs w:val="16"/>
      </w:rPr>
      <w:t>F</w:t>
    </w:r>
    <w:r w:rsidR="00F662C9" w:rsidRPr="00101A1B">
      <w:rPr>
        <w:rFonts w:asciiTheme="minorHAnsi" w:hAnsiTheme="minorHAnsi" w:cstheme="minorHAnsi"/>
        <w:color w:val="000000"/>
        <w:sz w:val="16"/>
        <w:szCs w:val="16"/>
      </w:rPr>
      <w:t xml:space="preserve">or further information about this research Snapshot Series contact the International Research and Analysis Unit by email: </w:t>
    </w:r>
    <w:hyperlink r:id="rId1" w:history="1">
      <w:r w:rsidR="002D031D" w:rsidRPr="00101A1B">
        <w:rPr>
          <w:rStyle w:val="Hyperlink"/>
          <w:rFonts w:asciiTheme="minorHAnsi" w:hAnsiTheme="minorHAnsi" w:cstheme="minorHAnsi"/>
          <w:sz w:val="16"/>
          <w:szCs w:val="16"/>
        </w:rPr>
        <w:t>IEResearch@education.gov.au</w:t>
      </w:r>
    </w:hyperlink>
    <w:r w:rsidR="002D031D" w:rsidRPr="00101A1B">
      <w:rPr>
        <w:rFonts w:asciiTheme="minorHAnsi" w:hAnsiTheme="minorHAnsi" w:cstheme="minorHAnsi"/>
        <w:sz w:val="16"/>
        <w:szCs w:val="16"/>
      </w:rPr>
      <w:t xml:space="preserve">. </w:t>
    </w:r>
  </w:p>
  <w:p w:rsidR="00E7314D" w:rsidRPr="00101A1B" w:rsidRDefault="002D031D" w:rsidP="00AE4429">
    <w:pPr>
      <w:rPr>
        <w:rStyle w:val="Hyperlink"/>
        <w:rFonts w:cs="Arial"/>
        <w:i/>
        <w:iCs/>
        <w:color w:val="000000"/>
        <w:sz w:val="16"/>
        <w:szCs w:val="16"/>
        <w:u w:val="none"/>
        <w:lang w:eastAsia="en-AU"/>
      </w:rPr>
    </w:pPr>
    <w:r w:rsidRPr="00101A1B">
      <w:rPr>
        <w:rFonts w:asciiTheme="minorHAnsi" w:hAnsiTheme="minorHAnsi" w:cstheme="minorHAnsi"/>
        <w:sz w:val="16"/>
        <w:szCs w:val="16"/>
      </w:rPr>
      <w:t xml:space="preserve">The Research Snapshot series can be accessed from </w:t>
    </w:r>
    <w:hyperlink r:id="rId2" w:history="1">
      <w:r w:rsidRPr="00101A1B">
        <w:rPr>
          <w:rStyle w:val="Hyperlink"/>
          <w:rFonts w:asciiTheme="minorHAnsi" w:hAnsiTheme="minorHAnsi" w:cstheme="minorHAnsi"/>
          <w:sz w:val="16"/>
          <w:szCs w:val="16"/>
        </w:rPr>
        <w:t>https://internationaleducation.gov.au/research/research-snapshots/pages/default.aspx</w:t>
      </w:r>
    </w:hyperlink>
    <w:r w:rsidR="00A4529C">
      <w:rPr>
        <w:rStyle w:val="Hyperlink"/>
        <w:rFonts w:asciiTheme="minorHAnsi" w:hAnsiTheme="minorHAnsi" w:cstheme="minorHAns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1C" w:rsidRPr="00C72684" w:rsidRDefault="00385F1C" w:rsidP="00C72684">
      <w:pPr>
        <w:pStyle w:val="Footer"/>
      </w:pPr>
    </w:p>
  </w:footnote>
  <w:footnote w:type="continuationSeparator" w:id="0">
    <w:p w:rsidR="00385F1C" w:rsidRDefault="00385F1C">
      <w:r>
        <w:continuationSeparator/>
      </w:r>
    </w:p>
  </w:footnote>
  <w:footnote w:id="1">
    <w:p w:rsidR="004673E1" w:rsidRPr="008B61B7" w:rsidRDefault="00347E13">
      <w:pPr>
        <w:pStyle w:val="FootnoteText"/>
        <w:rPr>
          <w:sz w:val="12"/>
          <w:szCs w:val="12"/>
        </w:rPr>
      </w:pPr>
      <w:r w:rsidRPr="008B61B7">
        <w:rPr>
          <w:rStyle w:val="FootnoteReference"/>
          <w:sz w:val="12"/>
          <w:szCs w:val="12"/>
        </w:rPr>
        <w:footnoteRef/>
      </w:r>
      <w:r w:rsidRPr="008B61B7">
        <w:rPr>
          <w:sz w:val="12"/>
          <w:szCs w:val="12"/>
        </w:rPr>
        <w:t xml:space="preserve"> </w:t>
      </w:r>
      <w:r w:rsidR="00964D72">
        <w:rPr>
          <w:sz w:val="12"/>
          <w:szCs w:val="12"/>
        </w:rPr>
        <w:t>The OECD report ‘</w:t>
      </w:r>
      <w:r w:rsidR="003453E7">
        <w:rPr>
          <w:sz w:val="12"/>
          <w:szCs w:val="12"/>
        </w:rPr>
        <w:t>Education at a Glance 2017</w:t>
      </w:r>
      <w:r w:rsidR="00964D72">
        <w:rPr>
          <w:sz w:val="12"/>
          <w:szCs w:val="12"/>
        </w:rPr>
        <w:t xml:space="preserve">’ </w:t>
      </w:r>
      <w:r w:rsidR="00175C03">
        <w:rPr>
          <w:sz w:val="12"/>
          <w:szCs w:val="12"/>
        </w:rPr>
        <w:t xml:space="preserve">is </w:t>
      </w:r>
      <w:r w:rsidR="00D74A48">
        <w:rPr>
          <w:sz w:val="12"/>
          <w:szCs w:val="12"/>
        </w:rPr>
        <w:t xml:space="preserve">available at: </w:t>
      </w:r>
      <w:hyperlink r:id="rId1" w:history="1">
        <w:r w:rsidR="00D74A48" w:rsidRPr="0025088C">
          <w:rPr>
            <w:rStyle w:val="Hyperlink"/>
            <w:sz w:val="12"/>
            <w:szCs w:val="12"/>
          </w:rPr>
          <w:t>http://www.oecd.org/education/education-at-a-glance-19991487.htm</w:t>
        </w:r>
      </w:hyperlink>
      <w:r w:rsidR="00D74A48">
        <w:rPr>
          <w:sz w:val="12"/>
          <w:szCs w:val="12"/>
        </w:rPr>
        <w:t xml:space="preserve">. </w:t>
      </w:r>
      <w:r w:rsidR="006F1B56" w:rsidRPr="008B61B7">
        <w:rPr>
          <w:sz w:val="12"/>
          <w:szCs w:val="12"/>
        </w:rPr>
        <w:t>The OECD term 'international student' refers to those students who have left their country of origin for the purpose of study and ‘foreign student' refers to students who are not citizens of the countries in which they are enrolled, but may be long-term residents or were born in that country. The data do not include students enrolled in countries that did not report international or foreign students to the OECD or to the UNESCO Institute for Statistics</w:t>
      </w:r>
      <w:r w:rsidR="00E50635">
        <w:rPr>
          <w:sz w:val="12"/>
          <w:szCs w:val="12"/>
        </w:rPr>
        <w:t>.</w:t>
      </w:r>
    </w:p>
  </w:footnote>
  <w:footnote w:id="2">
    <w:p w:rsidR="008D02E3" w:rsidRDefault="008D02E3">
      <w:pPr>
        <w:pStyle w:val="FootnoteText"/>
      </w:pPr>
      <w:r w:rsidRPr="008D02E3">
        <w:rPr>
          <w:sz w:val="12"/>
          <w:szCs w:val="12"/>
        </w:rPr>
        <w:footnoteRef/>
      </w:r>
      <w:r w:rsidRPr="008D02E3">
        <w:rPr>
          <w:sz w:val="12"/>
          <w:szCs w:val="12"/>
        </w:rPr>
        <w:t xml:space="preserve"> </w:t>
      </w:r>
      <w:proofErr w:type="gramStart"/>
      <w:r w:rsidRPr="008D02E3">
        <w:rPr>
          <w:sz w:val="12"/>
          <w:szCs w:val="12"/>
        </w:rPr>
        <w:t>UNESCO Institute for Statistics</w:t>
      </w:r>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90780"/>
    <w:multiLevelType w:val="hybridMultilevel"/>
    <w:tmpl w:val="B5563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F334DCB"/>
    <w:multiLevelType w:val="hybridMultilevel"/>
    <w:tmpl w:val="198C6E4A"/>
    <w:lvl w:ilvl="0" w:tplc="1510490E">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B7"/>
    <w:rsid w:val="0000134E"/>
    <w:rsid w:val="00002666"/>
    <w:rsid w:val="00006D7A"/>
    <w:rsid w:val="000076C9"/>
    <w:rsid w:val="00010D51"/>
    <w:rsid w:val="00015C60"/>
    <w:rsid w:val="00015D21"/>
    <w:rsid w:val="00016FA6"/>
    <w:rsid w:val="00025F80"/>
    <w:rsid w:val="00031338"/>
    <w:rsid w:val="000313C9"/>
    <w:rsid w:val="000324C0"/>
    <w:rsid w:val="00033829"/>
    <w:rsid w:val="000342D5"/>
    <w:rsid w:val="00034F54"/>
    <w:rsid w:val="00035FE5"/>
    <w:rsid w:val="0003779B"/>
    <w:rsid w:val="00040D90"/>
    <w:rsid w:val="00041B86"/>
    <w:rsid w:val="00042EED"/>
    <w:rsid w:val="0004376A"/>
    <w:rsid w:val="00050720"/>
    <w:rsid w:val="00052C4B"/>
    <w:rsid w:val="000533F7"/>
    <w:rsid w:val="000559F5"/>
    <w:rsid w:val="00056D7B"/>
    <w:rsid w:val="00056E16"/>
    <w:rsid w:val="000579A6"/>
    <w:rsid w:val="00061DFB"/>
    <w:rsid w:val="0006363D"/>
    <w:rsid w:val="00064849"/>
    <w:rsid w:val="00065418"/>
    <w:rsid w:val="00065AB2"/>
    <w:rsid w:val="000668AE"/>
    <w:rsid w:val="000715AE"/>
    <w:rsid w:val="00074272"/>
    <w:rsid w:val="00074C0C"/>
    <w:rsid w:val="00074D35"/>
    <w:rsid w:val="00083860"/>
    <w:rsid w:val="00083E7B"/>
    <w:rsid w:val="000860A7"/>
    <w:rsid w:val="00090DB0"/>
    <w:rsid w:val="000941CE"/>
    <w:rsid w:val="000941F3"/>
    <w:rsid w:val="0009571B"/>
    <w:rsid w:val="0009572B"/>
    <w:rsid w:val="00096E42"/>
    <w:rsid w:val="000A06FE"/>
    <w:rsid w:val="000A3838"/>
    <w:rsid w:val="000A3FE8"/>
    <w:rsid w:val="000B005D"/>
    <w:rsid w:val="000B3A2D"/>
    <w:rsid w:val="000B3BE6"/>
    <w:rsid w:val="000B4C13"/>
    <w:rsid w:val="000C2E42"/>
    <w:rsid w:val="000D12E2"/>
    <w:rsid w:val="000D1A0F"/>
    <w:rsid w:val="000D26AD"/>
    <w:rsid w:val="000D5513"/>
    <w:rsid w:val="000D667E"/>
    <w:rsid w:val="000D6715"/>
    <w:rsid w:val="000D7D65"/>
    <w:rsid w:val="000E083D"/>
    <w:rsid w:val="000E2B20"/>
    <w:rsid w:val="000E427C"/>
    <w:rsid w:val="000E5FAB"/>
    <w:rsid w:val="000E7111"/>
    <w:rsid w:val="000E7E67"/>
    <w:rsid w:val="000F1E61"/>
    <w:rsid w:val="000F2A82"/>
    <w:rsid w:val="000F549D"/>
    <w:rsid w:val="000F61E8"/>
    <w:rsid w:val="000F6496"/>
    <w:rsid w:val="000F6CB8"/>
    <w:rsid w:val="000F6E15"/>
    <w:rsid w:val="000F76D0"/>
    <w:rsid w:val="00101A1B"/>
    <w:rsid w:val="00103020"/>
    <w:rsid w:val="001030C3"/>
    <w:rsid w:val="00104F50"/>
    <w:rsid w:val="00105062"/>
    <w:rsid w:val="0010547B"/>
    <w:rsid w:val="00105D93"/>
    <w:rsid w:val="00110952"/>
    <w:rsid w:val="001166F1"/>
    <w:rsid w:val="00116985"/>
    <w:rsid w:val="001169B5"/>
    <w:rsid w:val="00116C2B"/>
    <w:rsid w:val="00120C87"/>
    <w:rsid w:val="001218CA"/>
    <w:rsid w:val="00124E7A"/>
    <w:rsid w:val="00124EFA"/>
    <w:rsid w:val="00127E38"/>
    <w:rsid w:val="00131D4C"/>
    <w:rsid w:val="001367F8"/>
    <w:rsid w:val="00136AE8"/>
    <w:rsid w:val="00136D62"/>
    <w:rsid w:val="001413F8"/>
    <w:rsid w:val="00141E0F"/>
    <w:rsid w:val="00142036"/>
    <w:rsid w:val="00142132"/>
    <w:rsid w:val="00142837"/>
    <w:rsid w:val="0014444A"/>
    <w:rsid w:val="00146391"/>
    <w:rsid w:val="00150F17"/>
    <w:rsid w:val="0015484D"/>
    <w:rsid w:val="001621C9"/>
    <w:rsid w:val="001632C2"/>
    <w:rsid w:val="00163E49"/>
    <w:rsid w:val="0016452F"/>
    <w:rsid w:val="00167405"/>
    <w:rsid w:val="00170567"/>
    <w:rsid w:val="00171815"/>
    <w:rsid w:val="001727A2"/>
    <w:rsid w:val="00172C42"/>
    <w:rsid w:val="001735B2"/>
    <w:rsid w:val="0017472E"/>
    <w:rsid w:val="001757A4"/>
    <w:rsid w:val="00175C03"/>
    <w:rsid w:val="00176503"/>
    <w:rsid w:val="001775B3"/>
    <w:rsid w:val="0018463D"/>
    <w:rsid w:val="00184D7C"/>
    <w:rsid w:val="001873C7"/>
    <w:rsid w:val="0019380E"/>
    <w:rsid w:val="00194B44"/>
    <w:rsid w:val="00195F6E"/>
    <w:rsid w:val="001973D7"/>
    <w:rsid w:val="00197F6D"/>
    <w:rsid w:val="001A081F"/>
    <w:rsid w:val="001A09A1"/>
    <w:rsid w:val="001A19C4"/>
    <w:rsid w:val="001A1A7B"/>
    <w:rsid w:val="001A5293"/>
    <w:rsid w:val="001A597E"/>
    <w:rsid w:val="001A59F6"/>
    <w:rsid w:val="001A67DA"/>
    <w:rsid w:val="001B03DF"/>
    <w:rsid w:val="001B15C2"/>
    <w:rsid w:val="001B27C0"/>
    <w:rsid w:val="001B2C93"/>
    <w:rsid w:val="001B3114"/>
    <w:rsid w:val="001B3657"/>
    <w:rsid w:val="001B46ED"/>
    <w:rsid w:val="001C7434"/>
    <w:rsid w:val="001C77DF"/>
    <w:rsid w:val="001C7F41"/>
    <w:rsid w:val="001D0D5A"/>
    <w:rsid w:val="001D250B"/>
    <w:rsid w:val="001D2BBC"/>
    <w:rsid w:val="001D60E0"/>
    <w:rsid w:val="001E3F14"/>
    <w:rsid w:val="001E4409"/>
    <w:rsid w:val="001E59B3"/>
    <w:rsid w:val="001E7993"/>
    <w:rsid w:val="001F0592"/>
    <w:rsid w:val="001F0AA6"/>
    <w:rsid w:val="002011FE"/>
    <w:rsid w:val="002029F8"/>
    <w:rsid w:val="002049E4"/>
    <w:rsid w:val="00205882"/>
    <w:rsid w:val="00210EA6"/>
    <w:rsid w:val="002141F9"/>
    <w:rsid w:val="00217475"/>
    <w:rsid w:val="00220553"/>
    <w:rsid w:val="00221FE0"/>
    <w:rsid w:val="002222FA"/>
    <w:rsid w:val="00225063"/>
    <w:rsid w:val="002272BE"/>
    <w:rsid w:val="0023282F"/>
    <w:rsid w:val="00232CB1"/>
    <w:rsid w:val="002366D5"/>
    <w:rsid w:val="002369F4"/>
    <w:rsid w:val="002373AC"/>
    <w:rsid w:val="0023794B"/>
    <w:rsid w:val="002424F8"/>
    <w:rsid w:val="002461E1"/>
    <w:rsid w:val="002470FA"/>
    <w:rsid w:val="002505B3"/>
    <w:rsid w:val="00250DEA"/>
    <w:rsid w:val="00252223"/>
    <w:rsid w:val="00252322"/>
    <w:rsid w:val="00253C56"/>
    <w:rsid w:val="0025460D"/>
    <w:rsid w:val="00254BEC"/>
    <w:rsid w:val="0026026F"/>
    <w:rsid w:val="0026157C"/>
    <w:rsid w:val="00262411"/>
    <w:rsid w:val="00263ECF"/>
    <w:rsid w:val="00264DD5"/>
    <w:rsid w:val="002674E7"/>
    <w:rsid w:val="00273A02"/>
    <w:rsid w:val="00276799"/>
    <w:rsid w:val="002803EA"/>
    <w:rsid w:val="00280D4C"/>
    <w:rsid w:val="00283D41"/>
    <w:rsid w:val="0029065F"/>
    <w:rsid w:val="002911E6"/>
    <w:rsid w:val="002914A7"/>
    <w:rsid w:val="0029290C"/>
    <w:rsid w:val="002943B1"/>
    <w:rsid w:val="0029620B"/>
    <w:rsid w:val="002A0C76"/>
    <w:rsid w:val="002A2F76"/>
    <w:rsid w:val="002A468E"/>
    <w:rsid w:val="002A57F3"/>
    <w:rsid w:val="002B11C4"/>
    <w:rsid w:val="002B5A00"/>
    <w:rsid w:val="002B634D"/>
    <w:rsid w:val="002B6A6A"/>
    <w:rsid w:val="002B6B23"/>
    <w:rsid w:val="002B7D5B"/>
    <w:rsid w:val="002C027F"/>
    <w:rsid w:val="002C181D"/>
    <w:rsid w:val="002D0229"/>
    <w:rsid w:val="002D031D"/>
    <w:rsid w:val="002D04FA"/>
    <w:rsid w:val="002D13BE"/>
    <w:rsid w:val="002D3167"/>
    <w:rsid w:val="002D4ADC"/>
    <w:rsid w:val="002D507D"/>
    <w:rsid w:val="002D586C"/>
    <w:rsid w:val="002D656A"/>
    <w:rsid w:val="002D6941"/>
    <w:rsid w:val="002D77AF"/>
    <w:rsid w:val="002D7B5D"/>
    <w:rsid w:val="002E1255"/>
    <w:rsid w:val="002E1E82"/>
    <w:rsid w:val="002E25C3"/>
    <w:rsid w:val="002E433A"/>
    <w:rsid w:val="002F0F47"/>
    <w:rsid w:val="002F262A"/>
    <w:rsid w:val="002F2910"/>
    <w:rsid w:val="002F29DB"/>
    <w:rsid w:val="002F43B3"/>
    <w:rsid w:val="002F6C5A"/>
    <w:rsid w:val="00300C87"/>
    <w:rsid w:val="0030176F"/>
    <w:rsid w:val="00305026"/>
    <w:rsid w:val="0030706E"/>
    <w:rsid w:val="00307E64"/>
    <w:rsid w:val="00310C0C"/>
    <w:rsid w:val="00311A93"/>
    <w:rsid w:val="00311FF5"/>
    <w:rsid w:val="003137A6"/>
    <w:rsid w:val="00313B4D"/>
    <w:rsid w:val="0032182E"/>
    <w:rsid w:val="00322C12"/>
    <w:rsid w:val="00323D29"/>
    <w:rsid w:val="00323FEC"/>
    <w:rsid w:val="00325183"/>
    <w:rsid w:val="00325381"/>
    <w:rsid w:val="0032703B"/>
    <w:rsid w:val="00330106"/>
    <w:rsid w:val="0033440D"/>
    <w:rsid w:val="00334E02"/>
    <w:rsid w:val="00335C17"/>
    <w:rsid w:val="00337EF4"/>
    <w:rsid w:val="0034024C"/>
    <w:rsid w:val="003408D4"/>
    <w:rsid w:val="00340EF8"/>
    <w:rsid w:val="0034209B"/>
    <w:rsid w:val="003424F6"/>
    <w:rsid w:val="00342B2E"/>
    <w:rsid w:val="003453E7"/>
    <w:rsid w:val="00347AE4"/>
    <w:rsid w:val="00347E13"/>
    <w:rsid w:val="00353993"/>
    <w:rsid w:val="003557A9"/>
    <w:rsid w:val="00357367"/>
    <w:rsid w:val="00357776"/>
    <w:rsid w:val="00362500"/>
    <w:rsid w:val="0036377B"/>
    <w:rsid w:val="00364904"/>
    <w:rsid w:val="00366382"/>
    <w:rsid w:val="003674B1"/>
    <w:rsid w:val="003677E6"/>
    <w:rsid w:val="00370892"/>
    <w:rsid w:val="0037152D"/>
    <w:rsid w:val="003726D7"/>
    <w:rsid w:val="003730AC"/>
    <w:rsid w:val="00377F34"/>
    <w:rsid w:val="00382CA1"/>
    <w:rsid w:val="0038546D"/>
    <w:rsid w:val="00385F1C"/>
    <w:rsid w:val="00386167"/>
    <w:rsid w:val="00386C9E"/>
    <w:rsid w:val="00390937"/>
    <w:rsid w:val="00391124"/>
    <w:rsid w:val="003A02DF"/>
    <w:rsid w:val="003A0551"/>
    <w:rsid w:val="003A1B55"/>
    <w:rsid w:val="003A1D8D"/>
    <w:rsid w:val="003A5BD4"/>
    <w:rsid w:val="003B2EB2"/>
    <w:rsid w:val="003B7FB4"/>
    <w:rsid w:val="003C0D9D"/>
    <w:rsid w:val="003C14D4"/>
    <w:rsid w:val="003C17C7"/>
    <w:rsid w:val="003C322B"/>
    <w:rsid w:val="003C391C"/>
    <w:rsid w:val="003C5188"/>
    <w:rsid w:val="003C560B"/>
    <w:rsid w:val="003C6DF8"/>
    <w:rsid w:val="003C7DA6"/>
    <w:rsid w:val="003D0DD6"/>
    <w:rsid w:val="003D2681"/>
    <w:rsid w:val="003D36DE"/>
    <w:rsid w:val="003D3728"/>
    <w:rsid w:val="003D6094"/>
    <w:rsid w:val="003D7D24"/>
    <w:rsid w:val="003E1CF7"/>
    <w:rsid w:val="003E579B"/>
    <w:rsid w:val="003E5F26"/>
    <w:rsid w:val="003E69A6"/>
    <w:rsid w:val="003F066F"/>
    <w:rsid w:val="003F134A"/>
    <w:rsid w:val="003F31C1"/>
    <w:rsid w:val="003F3BFA"/>
    <w:rsid w:val="003F5262"/>
    <w:rsid w:val="003F52C7"/>
    <w:rsid w:val="003F7D2B"/>
    <w:rsid w:val="004008A5"/>
    <w:rsid w:val="00406A43"/>
    <w:rsid w:val="00406CA9"/>
    <w:rsid w:val="00412290"/>
    <w:rsid w:val="00414BCF"/>
    <w:rsid w:val="00416934"/>
    <w:rsid w:val="0041700A"/>
    <w:rsid w:val="00417C5D"/>
    <w:rsid w:val="00422BB5"/>
    <w:rsid w:val="00432A8B"/>
    <w:rsid w:val="00432EB5"/>
    <w:rsid w:val="004361BD"/>
    <w:rsid w:val="00436CDF"/>
    <w:rsid w:val="00440586"/>
    <w:rsid w:val="00440EC2"/>
    <w:rsid w:val="00440FB8"/>
    <w:rsid w:val="00441FC8"/>
    <w:rsid w:val="00444A50"/>
    <w:rsid w:val="00444F7E"/>
    <w:rsid w:val="0045411D"/>
    <w:rsid w:val="0045634D"/>
    <w:rsid w:val="0045661C"/>
    <w:rsid w:val="00457A89"/>
    <w:rsid w:val="00461948"/>
    <w:rsid w:val="00461F07"/>
    <w:rsid w:val="004641BE"/>
    <w:rsid w:val="004652B6"/>
    <w:rsid w:val="0046717E"/>
    <w:rsid w:val="004673E1"/>
    <w:rsid w:val="004674D4"/>
    <w:rsid w:val="004717D2"/>
    <w:rsid w:val="004723EC"/>
    <w:rsid w:val="004757EE"/>
    <w:rsid w:val="00477620"/>
    <w:rsid w:val="0047777E"/>
    <w:rsid w:val="00483E3F"/>
    <w:rsid w:val="0048450D"/>
    <w:rsid w:val="00485F01"/>
    <w:rsid w:val="00486AFF"/>
    <w:rsid w:val="00490B54"/>
    <w:rsid w:val="00492645"/>
    <w:rsid w:val="00493153"/>
    <w:rsid w:val="0049445B"/>
    <w:rsid w:val="00494B27"/>
    <w:rsid w:val="00494BF7"/>
    <w:rsid w:val="00496F73"/>
    <w:rsid w:val="00497A56"/>
    <w:rsid w:val="004A064E"/>
    <w:rsid w:val="004A3598"/>
    <w:rsid w:val="004A3A2B"/>
    <w:rsid w:val="004B073A"/>
    <w:rsid w:val="004B1B86"/>
    <w:rsid w:val="004B1B94"/>
    <w:rsid w:val="004B1EEB"/>
    <w:rsid w:val="004B3290"/>
    <w:rsid w:val="004B4D62"/>
    <w:rsid w:val="004B6B5A"/>
    <w:rsid w:val="004C1FF6"/>
    <w:rsid w:val="004C3D2B"/>
    <w:rsid w:val="004C61B6"/>
    <w:rsid w:val="004D3512"/>
    <w:rsid w:val="004D5C7D"/>
    <w:rsid w:val="004D6179"/>
    <w:rsid w:val="004E017A"/>
    <w:rsid w:val="004E04B5"/>
    <w:rsid w:val="004E0A09"/>
    <w:rsid w:val="004E1E63"/>
    <w:rsid w:val="004E36DC"/>
    <w:rsid w:val="004E5CEE"/>
    <w:rsid w:val="004E663B"/>
    <w:rsid w:val="004E70D9"/>
    <w:rsid w:val="004F126E"/>
    <w:rsid w:val="004F3EE3"/>
    <w:rsid w:val="004F4458"/>
    <w:rsid w:val="004F63D2"/>
    <w:rsid w:val="00500B2A"/>
    <w:rsid w:val="0050414A"/>
    <w:rsid w:val="00511DA3"/>
    <w:rsid w:val="005138AF"/>
    <w:rsid w:val="00513D78"/>
    <w:rsid w:val="005141AF"/>
    <w:rsid w:val="005143C1"/>
    <w:rsid w:val="00514B1C"/>
    <w:rsid w:val="00514B66"/>
    <w:rsid w:val="0051607D"/>
    <w:rsid w:val="005162A2"/>
    <w:rsid w:val="00520616"/>
    <w:rsid w:val="00522136"/>
    <w:rsid w:val="005240C9"/>
    <w:rsid w:val="00524693"/>
    <w:rsid w:val="00525582"/>
    <w:rsid w:val="0052579E"/>
    <w:rsid w:val="00525DF7"/>
    <w:rsid w:val="00525E6F"/>
    <w:rsid w:val="005262E9"/>
    <w:rsid w:val="00532ABD"/>
    <w:rsid w:val="00542278"/>
    <w:rsid w:val="0054317E"/>
    <w:rsid w:val="00544260"/>
    <w:rsid w:val="00544D96"/>
    <w:rsid w:val="00545C0B"/>
    <w:rsid w:val="00545F1A"/>
    <w:rsid w:val="005471AB"/>
    <w:rsid w:val="0054756E"/>
    <w:rsid w:val="005500A2"/>
    <w:rsid w:val="005502B1"/>
    <w:rsid w:val="00555653"/>
    <w:rsid w:val="005557A9"/>
    <w:rsid w:val="005661DF"/>
    <w:rsid w:val="005668B5"/>
    <w:rsid w:val="005751E5"/>
    <w:rsid w:val="0057673C"/>
    <w:rsid w:val="00576B0E"/>
    <w:rsid w:val="00581495"/>
    <w:rsid w:val="0058295E"/>
    <w:rsid w:val="00583450"/>
    <w:rsid w:val="00583726"/>
    <w:rsid w:val="00590839"/>
    <w:rsid w:val="00591E8C"/>
    <w:rsid w:val="005921E6"/>
    <w:rsid w:val="00594FA2"/>
    <w:rsid w:val="005965AD"/>
    <w:rsid w:val="00596C11"/>
    <w:rsid w:val="005978DB"/>
    <w:rsid w:val="005A1885"/>
    <w:rsid w:val="005A18FE"/>
    <w:rsid w:val="005A29AE"/>
    <w:rsid w:val="005A2D8C"/>
    <w:rsid w:val="005A3326"/>
    <w:rsid w:val="005A37AF"/>
    <w:rsid w:val="005A6A78"/>
    <w:rsid w:val="005A793B"/>
    <w:rsid w:val="005B0E1F"/>
    <w:rsid w:val="005B29FD"/>
    <w:rsid w:val="005B2A4C"/>
    <w:rsid w:val="005B583C"/>
    <w:rsid w:val="005B688C"/>
    <w:rsid w:val="005B764C"/>
    <w:rsid w:val="005C1016"/>
    <w:rsid w:val="005C176C"/>
    <w:rsid w:val="005C5639"/>
    <w:rsid w:val="005C6BE7"/>
    <w:rsid w:val="005C7040"/>
    <w:rsid w:val="005D236C"/>
    <w:rsid w:val="005D2B3C"/>
    <w:rsid w:val="005D420D"/>
    <w:rsid w:val="005D6B0D"/>
    <w:rsid w:val="005E1F8D"/>
    <w:rsid w:val="005E29DD"/>
    <w:rsid w:val="005E35AF"/>
    <w:rsid w:val="005E44AC"/>
    <w:rsid w:val="005E5517"/>
    <w:rsid w:val="005E5E3A"/>
    <w:rsid w:val="005F0695"/>
    <w:rsid w:val="005F44A1"/>
    <w:rsid w:val="005F44D3"/>
    <w:rsid w:val="005F4DEC"/>
    <w:rsid w:val="005F7571"/>
    <w:rsid w:val="005F76A2"/>
    <w:rsid w:val="005F7BAD"/>
    <w:rsid w:val="006005AD"/>
    <w:rsid w:val="006029F4"/>
    <w:rsid w:val="00602CFA"/>
    <w:rsid w:val="006044F8"/>
    <w:rsid w:val="00604E7B"/>
    <w:rsid w:val="00607840"/>
    <w:rsid w:val="00607E56"/>
    <w:rsid w:val="006107F3"/>
    <w:rsid w:val="00610964"/>
    <w:rsid w:val="00610A7B"/>
    <w:rsid w:val="006113FB"/>
    <w:rsid w:val="006116CC"/>
    <w:rsid w:val="00611973"/>
    <w:rsid w:val="006170D3"/>
    <w:rsid w:val="00617C9B"/>
    <w:rsid w:val="0062095C"/>
    <w:rsid w:val="0062226F"/>
    <w:rsid w:val="00625CC1"/>
    <w:rsid w:val="00625D3E"/>
    <w:rsid w:val="00626723"/>
    <w:rsid w:val="00630018"/>
    <w:rsid w:val="0063009F"/>
    <w:rsid w:val="006318FA"/>
    <w:rsid w:val="00634E4A"/>
    <w:rsid w:val="006359C7"/>
    <w:rsid w:val="00636364"/>
    <w:rsid w:val="0063761C"/>
    <w:rsid w:val="00637726"/>
    <w:rsid w:val="0064174B"/>
    <w:rsid w:val="00645ECA"/>
    <w:rsid w:val="00650937"/>
    <w:rsid w:val="00652B52"/>
    <w:rsid w:val="00654BF1"/>
    <w:rsid w:val="0066015A"/>
    <w:rsid w:val="00660952"/>
    <w:rsid w:val="00660BB4"/>
    <w:rsid w:val="006672AA"/>
    <w:rsid w:val="0066736A"/>
    <w:rsid w:val="00667455"/>
    <w:rsid w:val="0067067C"/>
    <w:rsid w:val="006721C5"/>
    <w:rsid w:val="00672C6D"/>
    <w:rsid w:val="00673272"/>
    <w:rsid w:val="00675A8A"/>
    <w:rsid w:val="00676110"/>
    <w:rsid w:val="00676A88"/>
    <w:rsid w:val="006806AA"/>
    <w:rsid w:val="0068113D"/>
    <w:rsid w:val="006812D9"/>
    <w:rsid w:val="00681CC4"/>
    <w:rsid w:val="00683086"/>
    <w:rsid w:val="0068311E"/>
    <w:rsid w:val="00683833"/>
    <w:rsid w:val="00683EBD"/>
    <w:rsid w:val="0068604C"/>
    <w:rsid w:val="00686BD5"/>
    <w:rsid w:val="00687798"/>
    <w:rsid w:val="00687D58"/>
    <w:rsid w:val="006913C7"/>
    <w:rsid w:val="0069305A"/>
    <w:rsid w:val="00695A16"/>
    <w:rsid w:val="00695CC3"/>
    <w:rsid w:val="00696828"/>
    <w:rsid w:val="00697988"/>
    <w:rsid w:val="006A0001"/>
    <w:rsid w:val="006A27A2"/>
    <w:rsid w:val="006A38E4"/>
    <w:rsid w:val="006A4788"/>
    <w:rsid w:val="006A4888"/>
    <w:rsid w:val="006A4A5B"/>
    <w:rsid w:val="006A6D01"/>
    <w:rsid w:val="006A740B"/>
    <w:rsid w:val="006B01B1"/>
    <w:rsid w:val="006B0D3B"/>
    <w:rsid w:val="006B36DD"/>
    <w:rsid w:val="006B3AAB"/>
    <w:rsid w:val="006B4B87"/>
    <w:rsid w:val="006B7853"/>
    <w:rsid w:val="006C1365"/>
    <w:rsid w:val="006C4306"/>
    <w:rsid w:val="006C4659"/>
    <w:rsid w:val="006C657A"/>
    <w:rsid w:val="006D0B98"/>
    <w:rsid w:val="006D2F6F"/>
    <w:rsid w:val="006D3524"/>
    <w:rsid w:val="006D3C80"/>
    <w:rsid w:val="006D4395"/>
    <w:rsid w:val="006D56FA"/>
    <w:rsid w:val="006D5DEF"/>
    <w:rsid w:val="006D7A55"/>
    <w:rsid w:val="006E2195"/>
    <w:rsid w:val="006E2B37"/>
    <w:rsid w:val="006E4372"/>
    <w:rsid w:val="006E49AE"/>
    <w:rsid w:val="006E7462"/>
    <w:rsid w:val="006F1B56"/>
    <w:rsid w:val="006F4CC1"/>
    <w:rsid w:val="0070470A"/>
    <w:rsid w:val="007065BA"/>
    <w:rsid w:val="007072A5"/>
    <w:rsid w:val="00707FB2"/>
    <w:rsid w:val="00710E5E"/>
    <w:rsid w:val="00711692"/>
    <w:rsid w:val="007123D4"/>
    <w:rsid w:val="0071482C"/>
    <w:rsid w:val="00716F7A"/>
    <w:rsid w:val="00723413"/>
    <w:rsid w:val="00724F16"/>
    <w:rsid w:val="00726470"/>
    <w:rsid w:val="00727E5F"/>
    <w:rsid w:val="00730B16"/>
    <w:rsid w:val="00730C7C"/>
    <w:rsid w:val="00732AD8"/>
    <w:rsid w:val="00733232"/>
    <w:rsid w:val="00733589"/>
    <w:rsid w:val="00736DCA"/>
    <w:rsid w:val="00737AB0"/>
    <w:rsid w:val="007407BF"/>
    <w:rsid w:val="00751224"/>
    <w:rsid w:val="00752669"/>
    <w:rsid w:val="00753557"/>
    <w:rsid w:val="00754E44"/>
    <w:rsid w:val="00755D9C"/>
    <w:rsid w:val="00756D5B"/>
    <w:rsid w:val="0075711C"/>
    <w:rsid w:val="0075751D"/>
    <w:rsid w:val="007620B0"/>
    <w:rsid w:val="00762121"/>
    <w:rsid w:val="00763F9B"/>
    <w:rsid w:val="00764913"/>
    <w:rsid w:val="00765EC1"/>
    <w:rsid w:val="00766523"/>
    <w:rsid w:val="007702DC"/>
    <w:rsid w:val="007720A0"/>
    <w:rsid w:val="00772D54"/>
    <w:rsid w:val="00772E99"/>
    <w:rsid w:val="007739F9"/>
    <w:rsid w:val="00774231"/>
    <w:rsid w:val="00775F01"/>
    <w:rsid w:val="00777713"/>
    <w:rsid w:val="0078159C"/>
    <w:rsid w:val="0078347B"/>
    <w:rsid w:val="007855A2"/>
    <w:rsid w:val="00785996"/>
    <w:rsid w:val="007859C6"/>
    <w:rsid w:val="007928BF"/>
    <w:rsid w:val="00792963"/>
    <w:rsid w:val="00795EC1"/>
    <w:rsid w:val="00796037"/>
    <w:rsid w:val="0079629A"/>
    <w:rsid w:val="007A6E10"/>
    <w:rsid w:val="007A6F7D"/>
    <w:rsid w:val="007B0DCC"/>
    <w:rsid w:val="007B1D84"/>
    <w:rsid w:val="007B53B7"/>
    <w:rsid w:val="007B5CA0"/>
    <w:rsid w:val="007B71E3"/>
    <w:rsid w:val="007C0099"/>
    <w:rsid w:val="007C12D1"/>
    <w:rsid w:val="007C1E3C"/>
    <w:rsid w:val="007C2140"/>
    <w:rsid w:val="007C229C"/>
    <w:rsid w:val="007C31E5"/>
    <w:rsid w:val="007C6296"/>
    <w:rsid w:val="007C6A9F"/>
    <w:rsid w:val="007C7029"/>
    <w:rsid w:val="007C7C7D"/>
    <w:rsid w:val="007D2B55"/>
    <w:rsid w:val="007D3D96"/>
    <w:rsid w:val="007D48F4"/>
    <w:rsid w:val="007D5019"/>
    <w:rsid w:val="007D5D3F"/>
    <w:rsid w:val="007E0B88"/>
    <w:rsid w:val="007E10B4"/>
    <w:rsid w:val="007E2751"/>
    <w:rsid w:val="007E616F"/>
    <w:rsid w:val="007F0A9A"/>
    <w:rsid w:val="007F0C61"/>
    <w:rsid w:val="007F1A58"/>
    <w:rsid w:val="007F2A88"/>
    <w:rsid w:val="007F3EBC"/>
    <w:rsid w:val="007F502E"/>
    <w:rsid w:val="007F65D8"/>
    <w:rsid w:val="007F68E8"/>
    <w:rsid w:val="007F6DC4"/>
    <w:rsid w:val="00803FFC"/>
    <w:rsid w:val="00804A7A"/>
    <w:rsid w:val="008051D2"/>
    <w:rsid w:val="00805DCE"/>
    <w:rsid w:val="00814CC0"/>
    <w:rsid w:val="00815837"/>
    <w:rsid w:val="0081615E"/>
    <w:rsid w:val="0081637F"/>
    <w:rsid w:val="00816769"/>
    <w:rsid w:val="0082174C"/>
    <w:rsid w:val="00823112"/>
    <w:rsid w:val="00824AFA"/>
    <w:rsid w:val="008258C1"/>
    <w:rsid w:val="00827C4D"/>
    <w:rsid w:val="008328F2"/>
    <w:rsid w:val="00834E6C"/>
    <w:rsid w:val="00834F05"/>
    <w:rsid w:val="00837695"/>
    <w:rsid w:val="00843ADD"/>
    <w:rsid w:val="00844283"/>
    <w:rsid w:val="008449D9"/>
    <w:rsid w:val="00844D67"/>
    <w:rsid w:val="00846DFF"/>
    <w:rsid w:val="00847E61"/>
    <w:rsid w:val="00850D9A"/>
    <w:rsid w:val="00851FC2"/>
    <w:rsid w:val="00852155"/>
    <w:rsid w:val="00853AC7"/>
    <w:rsid w:val="0085431F"/>
    <w:rsid w:val="00854EF3"/>
    <w:rsid w:val="00857532"/>
    <w:rsid w:val="00860216"/>
    <w:rsid w:val="00860C5B"/>
    <w:rsid w:val="008628D3"/>
    <w:rsid w:val="0086393C"/>
    <w:rsid w:val="00865D94"/>
    <w:rsid w:val="00867846"/>
    <w:rsid w:val="00871471"/>
    <w:rsid w:val="00871C34"/>
    <w:rsid w:val="00871E8F"/>
    <w:rsid w:val="008730D2"/>
    <w:rsid w:val="0087433A"/>
    <w:rsid w:val="008743AC"/>
    <w:rsid w:val="008812F9"/>
    <w:rsid w:val="0088551B"/>
    <w:rsid w:val="0088589C"/>
    <w:rsid w:val="008947A9"/>
    <w:rsid w:val="00895748"/>
    <w:rsid w:val="00896DB1"/>
    <w:rsid w:val="00897F90"/>
    <w:rsid w:val="008A25B0"/>
    <w:rsid w:val="008A2EC2"/>
    <w:rsid w:val="008A4CAE"/>
    <w:rsid w:val="008A60AC"/>
    <w:rsid w:val="008B159F"/>
    <w:rsid w:val="008B2561"/>
    <w:rsid w:val="008B5B4E"/>
    <w:rsid w:val="008B61B7"/>
    <w:rsid w:val="008C144B"/>
    <w:rsid w:val="008C1DD2"/>
    <w:rsid w:val="008C2BF9"/>
    <w:rsid w:val="008C5294"/>
    <w:rsid w:val="008D02E3"/>
    <w:rsid w:val="008D1AB0"/>
    <w:rsid w:val="008D1D1C"/>
    <w:rsid w:val="008D38F4"/>
    <w:rsid w:val="008D486D"/>
    <w:rsid w:val="008D63CF"/>
    <w:rsid w:val="008D7644"/>
    <w:rsid w:val="008E066B"/>
    <w:rsid w:val="008E185A"/>
    <w:rsid w:val="008E3C74"/>
    <w:rsid w:val="008E52FE"/>
    <w:rsid w:val="008E74BF"/>
    <w:rsid w:val="008E7A82"/>
    <w:rsid w:val="008F2BD9"/>
    <w:rsid w:val="008F336A"/>
    <w:rsid w:val="008F59C2"/>
    <w:rsid w:val="008F641E"/>
    <w:rsid w:val="009034BA"/>
    <w:rsid w:val="00903CE0"/>
    <w:rsid w:val="00906614"/>
    <w:rsid w:val="00906E7A"/>
    <w:rsid w:val="009104A8"/>
    <w:rsid w:val="00911B7D"/>
    <w:rsid w:val="009153DA"/>
    <w:rsid w:val="00923994"/>
    <w:rsid w:val="0092421D"/>
    <w:rsid w:val="00925858"/>
    <w:rsid w:val="00927334"/>
    <w:rsid w:val="00927973"/>
    <w:rsid w:val="009279A0"/>
    <w:rsid w:val="00931D3F"/>
    <w:rsid w:val="00933F56"/>
    <w:rsid w:val="009349A1"/>
    <w:rsid w:val="00940D24"/>
    <w:rsid w:val="009414BA"/>
    <w:rsid w:val="00942372"/>
    <w:rsid w:val="00943A74"/>
    <w:rsid w:val="00944A8F"/>
    <w:rsid w:val="00944BA7"/>
    <w:rsid w:val="00945EC3"/>
    <w:rsid w:val="009465ED"/>
    <w:rsid w:val="0095122E"/>
    <w:rsid w:val="00951F6C"/>
    <w:rsid w:val="00953B39"/>
    <w:rsid w:val="00955FA2"/>
    <w:rsid w:val="00956014"/>
    <w:rsid w:val="009628F3"/>
    <w:rsid w:val="00963E39"/>
    <w:rsid w:val="00964D72"/>
    <w:rsid w:val="00965C1F"/>
    <w:rsid w:val="00965FD4"/>
    <w:rsid w:val="009674CA"/>
    <w:rsid w:val="00970C82"/>
    <w:rsid w:val="00974EE4"/>
    <w:rsid w:val="00976383"/>
    <w:rsid w:val="00976A47"/>
    <w:rsid w:val="00976AA0"/>
    <w:rsid w:val="00976EA5"/>
    <w:rsid w:val="009771BA"/>
    <w:rsid w:val="009779F3"/>
    <w:rsid w:val="00977C69"/>
    <w:rsid w:val="0098064F"/>
    <w:rsid w:val="009806CB"/>
    <w:rsid w:val="00983B31"/>
    <w:rsid w:val="0098564F"/>
    <w:rsid w:val="00985C24"/>
    <w:rsid w:val="00986153"/>
    <w:rsid w:val="00986F46"/>
    <w:rsid w:val="00991AB5"/>
    <w:rsid w:val="00992E5B"/>
    <w:rsid w:val="00993CF5"/>
    <w:rsid w:val="00993F75"/>
    <w:rsid w:val="009942B2"/>
    <w:rsid w:val="00995948"/>
    <w:rsid w:val="0099624E"/>
    <w:rsid w:val="00997BBA"/>
    <w:rsid w:val="009A0CB6"/>
    <w:rsid w:val="009A1E73"/>
    <w:rsid w:val="009A4020"/>
    <w:rsid w:val="009A4C87"/>
    <w:rsid w:val="009A565E"/>
    <w:rsid w:val="009B0B47"/>
    <w:rsid w:val="009B10EC"/>
    <w:rsid w:val="009B18B0"/>
    <w:rsid w:val="009B2A57"/>
    <w:rsid w:val="009B4A8F"/>
    <w:rsid w:val="009B4FAC"/>
    <w:rsid w:val="009B67E9"/>
    <w:rsid w:val="009C1F28"/>
    <w:rsid w:val="009C4652"/>
    <w:rsid w:val="009C60E2"/>
    <w:rsid w:val="009C6BF5"/>
    <w:rsid w:val="009C7861"/>
    <w:rsid w:val="009D1FD8"/>
    <w:rsid w:val="009D2753"/>
    <w:rsid w:val="009D2D23"/>
    <w:rsid w:val="009D63FC"/>
    <w:rsid w:val="009D6AEF"/>
    <w:rsid w:val="009D75E4"/>
    <w:rsid w:val="009E1D15"/>
    <w:rsid w:val="009E4A5C"/>
    <w:rsid w:val="009E4E19"/>
    <w:rsid w:val="009E7EA3"/>
    <w:rsid w:val="009F0BF1"/>
    <w:rsid w:val="009F0F45"/>
    <w:rsid w:val="009F303A"/>
    <w:rsid w:val="009F65DD"/>
    <w:rsid w:val="00A001EA"/>
    <w:rsid w:val="00A02936"/>
    <w:rsid w:val="00A02BA4"/>
    <w:rsid w:val="00A02CD0"/>
    <w:rsid w:val="00A07994"/>
    <w:rsid w:val="00A07CDB"/>
    <w:rsid w:val="00A13C7E"/>
    <w:rsid w:val="00A16133"/>
    <w:rsid w:val="00A2191C"/>
    <w:rsid w:val="00A21E29"/>
    <w:rsid w:val="00A241C4"/>
    <w:rsid w:val="00A264B9"/>
    <w:rsid w:val="00A330FE"/>
    <w:rsid w:val="00A34D5E"/>
    <w:rsid w:val="00A35BAC"/>
    <w:rsid w:val="00A36A94"/>
    <w:rsid w:val="00A37263"/>
    <w:rsid w:val="00A44B3C"/>
    <w:rsid w:val="00A4529C"/>
    <w:rsid w:val="00A469CD"/>
    <w:rsid w:val="00A52822"/>
    <w:rsid w:val="00A54F65"/>
    <w:rsid w:val="00A560BE"/>
    <w:rsid w:val="00A563A2"/>
    <w:rsid w:val="00A5677C"/>
    <w:rsid w:val="00A56780"/>
    <w:rsid w:val="00A6018D"/>
    <w:rsid w:val="00A6068D"/>
    <w:rsid w:val="00A61869"/>
    <w:rsid w:val="00A62E87"/>
    <w:rsid w:val="00A62FD1"/>
    <w:rsid w:val="00A65756"/>
    <w:rsid w:val="00A66161"/>
    <w:rsid w:val="00A71668"/>
    <w:rsid w:val="00A72944"/>
    <w:rsid w:val="00A7330F"/>
    <w:rsid w:val="00A73A1B"/>
    <w:rsid w:val="00A7620D"/>
    <w:rsid w:val="00A767AA"/>
    <w:rsid w:val="00A77B27"/>
    <w:rsid w:val="00A83330"/>
    <w:rsid w:val="00A84D44"/>
    <w:rsid w:val="00A85124"/>
    <w:rsid w:val="00A86028"/>
    <w:rsid w:val="00A91349"/>
    <w:rsid w:val="00A92298"/>
    <w:rsid w:val="00A9641E"/>
    <w:rsid w:val="00A973A9"/>
    <w:rsid w:val="00AA2228"/>
    <w:rsid w:val="00AA34A0"/>
    <w:rsid w:val="00AA3FE2"/>
    <w:rsid w:val="00AB22FA"/>
    <w:rsid w:val="00AB2327"/>
    <w:rsid w:val="00AB3989"/>
    <w:rsid w:val="00AB39D3"/>
    <w:rsid w:val="00AB3F25"/>
    <w:rsid w:val="00AB4E58"/>
    <w:rsid w:val="00AB5668"/>
    <w:rsid w:val="00AB785F"/>
    <w:rsid w:val="00AB7D91"/>
    <w:rsid w:val="00AC1DC3"/>
    <w:rsid w:val="00AC2903"/>
    <w:rsid w:val="00AC35D0"/>
    <w:rsid w:val="00AC44FE"/>
    <w:rsid w:val="00AC5969"/>
    <w:rsid w:val="00AC635B"/>
    <w:rsid w:val="00AD1738"/>
    <w:rsid w:val="00AD455C"/>
    <w:rsid w:val="00AD5448"/>
    <w:rsid w:val="00AD7C35"/>
    <w:rsid w:val="00AE0AFC"/>
    <w:rsid w:val="00AE2E2B"/>
    <w:rsid w:val="00AE30FF"/>
    <w:rsid w:val="00AE4429"/>
    <w:rsid w:val="00AE5F33"/>
    <w:rsid w:val="00AE667E"/>
    <w:rsid w:val="00AF32DB"/>
    <w:rsid w:val="00AF3448"/>
    <w:rsid w:val="00AF4207"/>
    <w:rsid w:val="00AF4882"/>
    <w:rsid w:val="00AF5093"/>
    <w:rsid w:val="00AF7717"/>
    <w:rsid w:val="00AF7D2A"/>
    <w:rsid w:val="00B02015"/>
    <w:rsid w:val="00B0209B"/>
    <w:rsid w:val="00B04168"/>
    <w:rsid w:val="00B04A5C"/>
    <w:rsid w:val="00B05976"/>
    <w:rsid w:val="00B070B9"/>
    <w:rsid w:val="00B07895"/>
    <w:rsid w:val="00B07A31"/>
    <w:rsid w:val="00B14782"/>
    <w:rsid w:val="00B15628"/>
    <w:rsid w:val="00B177F5"/>
    <w:rsid w:val="00B2033C"/>
    <w:rsid w:val="00B20B7F"/>
    <w:rsid w:val="00B22004"/>
    <w:rsid w:val="00B22675"/>
    <w:rsid w:val="00B22A5D"/>
    <w:rsid w:val="00B23185"/>
    <w:rsid w:val="00B23282"/>
    <w:rsid w:val="00B27EBE"/>
    <w:rsid w:val="00B3340A"/>
    <w:rsid w:val="00B34867"/>
    <w:rsid w:val="00B4410E"/>
    <w:rsid w:val="00B44DCA"/>
    <w:rsid w:val="00B45305"/>
    <w:rsid w:val="00B457D9"/>
    <w:rsid w:val="00B45C9B"/>
    <w:rsid w:val="00B46329"/>
    <w:rsid w:val="00B47399"/>
    <w:rsid w:val="00B476F0"/>
    <w:rsid w:val="00B50D38"/>
    <w:rsid w:val="00B558B7"/>
    <w:rsid w:val="00B57724"/>
    <w:rsid w:val="00B61BAA"/>
    <w:rsid w:val="00B63618"/>
    <w:rsid w:val="00B6510E"/>
    <w:rsid w:val="00B66B0C"/>
    <w:rsid w:val="00B66B27"/>
    <w:rsid w:val="00B706A7"/>
    <w:rsid w:val="00B748B2"/>
    <w:rsid w:val="00B778FF"/>
    <w:rsid w:val="00B8164B"/>
    <w:rsid w:val="00B81EA4"/>
    <w:rsid w:val="00B83EA1"/>
    <w:rsid w:val="00B85A9D"/>
    <w:rsid w:val="00B864DF"/>
    <w:rsid w:val="00B866A1"/>
    <w:rsid w:val="00B86E76"/>
    <w:rsid w:val="00B90C51"/>
    <w:rsid w:val="00B90F92"/>
    <w:rsid w:val="00B91F5C"/>
    <w:rsid w:val="00B93355"/>
    <w:rsid w:val="00B948FC"/>
    <w:rsid w:val="00B953BE"/>
    <w:rsid w:val="00B95605"/>
    <w:rsid w:val="00B9655E"/>
    <w:rsid w:val="00B970C0"/>
    <w:rsid w:val="00BA30DF"/>
    <w:rsid w:val="00BA4DB0"/>
    <w:rsid w:val="00BA5B05"/>
    <w:rsid w:val="00BA7791"/>
    <w:rsid w:val="00BA7A6A"/>
    <w:rsid w:val="00BA7E86"/>
    <w:rsid w:val="00BB1269"/>
    <w:rsid w:val="00BB13A1"/>
    <w:rsid w:val="00BB2486"/>
    <w:rsid w:val="00BB3BDE"/>
    <w:rsid w:val="00BB67A9"/>
    <w:rsid w:val="00BB74E9"/>
    <w:rsid w:val="00BC2323"/>
    <w:rsid w:val="00BD0BB9"/>
    <w:rsid w:val="00BD0F4D"/>
    <w:rsid w:val="00BD4BEB"/>
    <w:rsid w:val="00BD5F98"/>
    <w:rsid w:val="00BE0EA3"/>
    <w:rsid w:val="00BE18BE"/>
    <w:rsid w:val="00BE3E24"/>
    <w:rsid w:val="00BE65BA"/>
    <w:rsid w:val="00BE7F65"/>
    <w:rsid w:val="00BF09EE"/>
    <w:rsid w:val="00BF673B"/>
    <w:rsid w:val="00BF713C"/>
    <w:rsid w:val="00C01237"/>
    <w:rsid w:val="00C018A3"/>
    <w:rsid w:val="00C019A9"/>
    <w:rsid w:val="00C02048"/>
    <w:rsid w:val="00C03933"/>
    <w:rsid w:val="00C03C2C"/>
    <w:rsid w:val="00C061C4"/>
    <w:rsid w:val="00C07B60"/>
    <w:rsid w:val="00C17854"/>
    <w:rsid w:val="00C22071"/>
    <w:rsid w:val="00C24021"/>
    <w:rsid w:val="00C2525C"/>
    <w:rsid w:val="00C31DB1"/>
    <w:rsid w:val="00C321C7"/>
    <w:rsid w:val="00C32E7D"/>
    <w:rsid w:val="00C32EDA"/>
    <w:rsid w:val="00C33944"/>
    <w:rsid w:val="00C349D8"/>
    <w:rsid w:val="00C42852"/>
    <w:rsid w:val="00C449FE"/>
    <w:rsid w:val="00C45258"/>
    <w:rsid w:val="00C457CA"/>
    <w:rsid w:val="00C45CEE"/>
    <w:rsid w:val="00C4731C"/>
    <w:rsid w:val="00C511A1"/>
    <w:rsid w:val="00C515EB"/>
    <w:rsid w:val="00C526BF"/>
    <w:rsid w:val="00C6180A"/>
    <w:rsid w:val="00C62325"/>
    <w:rsid w:val="00C62C58"/>
    <w:rsid w:val="00C63937"/>
    <w:rsid w:val="00C6455C"/>
    <w:rsid w:val="00C647DA"/>
    <w:rsid w:val="00C66440"/>
    <w:rsid w:val="00C67A2B"/>
    <w:rsid w:val="00C71BC7"/>
    <w:rsid w:val="00C72684"/>
    <w:rsid w:val="00C73ACF"/>
    <w:rsid w:val="00C7401C"/>
    <w:rsid w:val="00C75E24"/>
    <w:rsid w:val="00C80D8A"/>
    <w:rsid w:val="00C83F16"/>
    <w:rsid w:val="00C873DF"/>
    <w:rsid w:val="00C879C7"/>
    <w:rsid w:val="00C9099E"/>
    <w:rsid w:val="00C915FD"/>
    <w:rsid w:val="00C942E5"/>
    <w:rsid w:val="00C956E1"/>
    <w:rsid w:val="00C96248"/>
    <w:rsid w:val="00C966D0"/>
    <w:rsid w:val="00C97395"/>
    <w:rsid w:val="00CA299E"/>
    <w:rsid w:val="00CA3C4E"/>
    <w:rsid w:val="00CA4A6C"/>
    <w:rsid w:val="00CA703F"/>
    <w:rsid w:val="00CB0DCE"/>
    <w:rsid w:val="00CB4FBE"/>
    <w:rsid w:val="00CB657C"/>
    <w:rsid w:val="00CC0135"/>
    <w:rsid w:val="00CC0343"/>
    <w:rsid w:val="00CC23FD"/>
    <w:rsid w:val="00CC2939"/>
    <w:rsid w:val="00CC2C01"/>
    <w:rsid w:val="00CC50F1"/>
    <w:rsid w:val="00CC5915"/>
    <w:rsid w:val="00CD14FC"/>
    <w:rsid w:val="00CD3F40"/>
    <w:rsid w:val="00CD459F"/>
    <w:rsid w:val="00CE0B53"/>
    <w:rsid w:val="00CF3B4D"/>
    <w:rsid w:val="00CF4872"/>
    <w:rsid w:val="00CF5494"/>
    <w:rsid w:val="00CF7F82"/>
    <w:rsid w:val="00D00C9E"/>
    <w:rsid w:val="00D01331"/>
    <w:rsid w:val="00D01384"/>
    <w:rsid w:val="00D0156A"/>
    <w:rsid w:val="00D0545E"/>
    <w:rsid w:val="00D05C68"/>
    <w:rsid w:val="00D12A6A"/>
    <w:rsid w:val="00D13196"/>
    <w:rsid w:val="00D16342"/>
    <w:rsid w:val="00D17E18"/>
    <w:rsid w:val="00D22BF0"/>
    <w:rsid w:val="00D2784E"/>
    <w:rsid w:val="00D30B77"/>
    <w:rsid w:val="00D377A3"/>
    <w:rsid w:val="00D42025"/>
    <w:rsid w:val="00D437A6"/>
    <w:rsid w:val="00D46E5E"/>
    <w:rsid w:val="00D50B59"/>
    <w:rsid w:val="00D5216D"/>
    <w:rsid w:val="00D5300B"/>
    <w:rsid w:val="00D54AC5"/>
    <w:rsid w:val="00D5622F"/>
    <w:rsid w:val="00D572DD"/>
    <w:rsid w:val="00D6466B"/>
    <w:rsid w:val="00D7068C"/>
    <w:rsid w:val="00D719ED"/>
    <w:rsid w:val="00D7475C"/>
    <w:rsid w:val="00D74A48"/>
    <w:rsid w:val="00D76778"/>
    <w:rsid w:val="00D771E7"/>
    <w:rsid w:val="00D7777F"/>
    <w:rsid w:val="00D814F3"/>
    <w:rsid w:val="00D82913"/>
    <w:rsid w:val="00D8412C"/>
    <w:rsid w:val="00D95289"/>
    <w:rsid w:val="00D95BA6"/>
    <w:rsid w:val="00D95C69"/>
    <w:rsid w:val="00D962F0"/>
    <w:rsid w:val="00D9667E"/>
    <w:rsid w:val="00D9786A"/>
    <w:rsid w:val="00DA049A"/>
    <w:rsid w:val="00DA08B4"/>
    <w:rsid w:val="00DA105A"/>
    <w:rsid w:val="00DA15D1"/>
    <w:rsid w:val="00DA2043"/>
    <w:rsid w:val="00DA3600"/>
    <w:rsid w:val="00DA5F09"/>
    <w:rsid w:val="00DA6B7A"/>
    <w:rsid w:val="00DB13D5"/>
    <w:rsid w:val="00DB1767"/>
    <w:rsid w:val="00DB2939"/>
    <w:rsid w:val="00DB3C4A"/>
    <w:rsid w:val="00DB3EE2"/>
    <w:rsid w:val="00DB4F18"/>
    <w:rsid w:val="00DB5988"/>
    <w:rsid w:val="00DB7D25"/>
    <w:rsid w:val="00DC4777"/>
    <w:rsid w:val="00DC47C2"/>
    <w:rsid w:val="00DC48D8"/>
    <w:rsid w:val="00DC61F9"/>
    <w:rsid w:val="00DC669C"/>
    <w:rsid w:val="00DD1CCC"/>
    <w:rsid w:val="00DD2EB2"/>
    <w:rsid w:val="00DD2ECF"/>
    <w:rsid w:val="00DD4070"/>
    <w:rsid w:val="00DD482B"/>
    <w:rsid w:val="00DD5BFA"/>
    <w:rsid w:val="00DD63DC"/>
    <w:rsid w:val="00DD649F"/>
    <w:rsid w:val="00DD7C3B"/>
    <w:rsid w:val="00DE0972"/>
    <w:rsid w:val="00DE1983"/>
    <w:rsid w:val="00DE2EFD"/>
    <w:rsid w:val="00DE4177"/>
    <w:rsid w:val="00DE497E"/>
    <w:rsid w:val="00DE507D"/>
    <w:rsid w:val="00DE6C69"/>
    <w:rsid w:val="00DE6F86"/>
    <w:rsid w:val="00DE781B"/>
    <w:rsid w:val="00DF0C21"/>
    <w:rsid w:val="00DF14D6"/>
    <w:rsid w:val="00DF4131"/>
    <w:rsid w:val="00DF64CE"/>
    <w:rsid w:val="00DF6BEC"/>
    <w:rsid w:val="00E012CF"/>
    <w:rsid w:val="00E02A36"/>
    <w:rsid w:val="00E03B91"/>
    <w:rsid w:val="00E04569"/>
    <w:rsid w:val="00E0569B"/>
    <w:rsid w:val="00E10B84"/>
    <w:rsid w:val="00E1146F"/>
    <w:rsid w:val="00E119C6"/>
    <w:rsid w:val="00E119E9"/>
    <w:rsid w:val="00E13063"/>
    <w:rsid w:val="00E139D8"/>
    <w:rsid w:val="00E156EA"/>
    <w:rsid w:val="00E172BD"/>
    <w:rsid w:val="00E2022A"/>
    <w:rsid w:val="00E25C19"/>
    <w:rsid w:val="00E25FCA"/>
    <w:rsid w:val="00E26A4C"/>
    <w:rsid w:val="00E34D30"/>
    <w:rsid w:val="00E3770A"/>
    <w:rsid w:val="00E37B65"/>
    <w:rsid w:val="00E41271"/>
    <w:rsid w:val="00E420C5"/>
    <w:rsid w:val="00E42763"/>
    <w:rsid w:val="00E42D18"/>
    <w:rsid w:val="00E442CA"/>
    <w:rsid w:val="00E46559"/>
    <w:rsid w:val="00E4657E"/>
    <w:rsid w:val="00E46F1E"/>
    <w:rsid w:val="00E47A61"/>
    <w:rsid w:val="00E50635"/>
    <w:rsid w:val="00E51A99"/>
    <w:rsid w:val="00E51B02"/>
    <w:rsid w:val="00E522AD"/>
    <w:rsid w:val="00E52A83"/>
    <w:rsid w:val="00E52DDC"/>
    <w:rsid w:val="00E53290"/>
    <w:rsid w:val="00E5354D"/>
    <w:rsid w:val="00E5384C"/>
    <w:rsid w:val="00E53DD2"/>
    <w:rsid w:val="00E54946"/>
    <w:rsid w:val="00E54E28"/>
    <w:rsid w:val="00E6074F"/>
    <w:rsid w:val="00E615B3"/>
    <w:rsid w:val="00E625E0"/>
    <w:rsid w:val="00E63F5B"/>
    <w:rsid w:val="00E6496A"/>
    <w:rsid w:val="00E65DE5"/>
    <w:rsid w:val="00E66297"/>
    <w:rsid w:val="00E700E2"/>
    <w:rsid w:val="00E71636"/>
    <w:rsid w:val="00E73005"/>
    <w:rsid w:val="00E7314D"/>
    <w:rsid w:val="00E73448"/>
    <w:rsid w:val="00E73FC0"/>
    <w:rsid w:val="00E7457E"/>
    <w:rsid w:val="00E77898"/>
    <w:rsid w:val="00E8018A"/>
    <w:rsid w:val="00E81109"/>
    <w:rsid w:val="00E86995"/>
    <w:rsid w:val="00E913E5"/>
    <w:rsid w:val="00E92C58"/>
    <w:rsid w:val="00E95E1C"/>
    <w:rsid w:val="00E96E2B"/>
    <w:rsid w:val="00E979D1"/>
    <w:rsid w:val="00EA0E43"/>
    <w:rsid w:val="00EA301C"/>
    <w:rsid w:val="00EA53A3"/>
    <w:rsid w:val="00EA5592"/>
    <w:rsid w:val="00EB1EDB"/>
    <w:rsid w:val="00EC127B"/>
    <w:rsid w:val="00EC6572"/>
    <w:rsid w:val="00EC6B22"/>
    <w:rsid w:val="00ED0304"/>
    <w:rsid w:val="00ED6204"/>
    <w:rsid w:val="00EE0E2B"/>
    <w:rsid w:val="00EE18D4"/>
    <w:rsid w:val="00EE3371"/>
    <w:rsid w:val="00EE3D50"/>
    <w:rsid w:val="00EE5919"/>
    <w:rsid w:val="00EE5B09"/>
    <w:rsid w:val="00EE5DC5"/>
    <w:rsid w:val="00EF3B05"/>
    <w:rsid w:val="00EF3E3F"/>
    <w:rsid w:val="00EF3E83"/>
    <w:rsid w:val="00EF7FAF"/>
    <w:rsid w:val="00F03B3C"/>
    <w:rsid w:val="00F041F3"/>
    <w:rsid w:val="00F0520C"/>
    <w:rsid w:val="00F06EF5"/>
    <w:rsid w:val="00F0711F"/>
    <w:rsid w:val="00F1017A"/>
    <w:rsid w:val="00F117AF"/>
    <w:rsid w:val="00F13F55"/>
    <w:rsid w:val="00F1645A"/>
    <w:rsid w:val="00F167D2"/>
    <w:rsid w:val="00F173D1"/>
    <w:rsid w:val="00F174B2"/>
    <w:rsid w:val="00F17E5F"/>
    <w:rsid w:val="00F21166"/>
    <w:rsid w:val="00F21DD6"/>
    <w:rsid w:val="00F22AFA"/>
    <w:rsid w:val="00F22E85"/>
    <w:rsid w:val="00F2579B"/>
    <w:rsid w:val="00F304D8"/>
    <w:rsid w:val="00F30823"/>
    <w:rsid w:val="00F3092B"/>
    <w:rsid w:val="00F33ED7"/>
    <w:rsid w:val="00F33EDD"/>
    <w:rsid w:val="00F41D9F"/>
    <w:rsid w:val="00F4556D"/>
    <w:rsid w:val="00F47901"/>
    <w:rsid w:val="00F501EB"/>
    <w:rsid w:val="00F51BFA"/>
    <w:rsid w:val="00F54BED"/>
    <w:rsid w:val="00F54FAF"/>
    <w:rsid w:val="00F55E6C"/>
    <w:rsid w:val="00F564C8"/>
    <w:rsid w:val="00F568CA"/>
    <w:rsid w:val="00F573E0"/>
    <w:rsid w:val="00F57E19"/>
    <w:rsid w:val="00F57F4D"/>
    <w:rsid w:val="00F60743"/>
    <w:rsid w:val="00F662C9"/>
    <w:rsid w:val="00F66B7F"/>
    <w:rsid w:val="00F66E88"/>
    <w:rsid w:val="00F6769A"/>
    <w:rsid w:val="00F679DF"/>
    <w:rsid w:val="00F72599"/>
    <w:rsid w:val="00F73A1D"/>
    <w:rsid w:val="00F7453E"/>
    <w:rsid w:val="00F7500A"/>
    <w:rsid w:val="00F76C82"/>
    <w:rsid w:val="00F76EDB"/>
    <w:rsid w:val="00F772BE"/>
    <w:rsid w:val="00F77581"/>
    <w:rsid w:val="00F847F8"/>
    <w:rsid w:val="00F859D5"/>
    <w:rsid w:val="00F876B7"/>
    <w:rsid w:val="00F9206E"/>
    <w:rsid w:val="00F94572"/>
    <w:rsid w:val="00F954A3"/>
    <w:rsid w:val="00F95D9A"/>
    <w:rsid w:val="00F970EB"/>
    <w:rsid w:val="00FA2657"/>
    <w:rsid w:val="00FA34AF"/>
    <w:rsid w:val="00FA4B88"/>
    <w:rsid w:val="00FA6322"/>
    <w:rsid w:val="00FA73C3"/>
    <w:rsid w:val="00FB01D1"/>
    <w:rsid w:val="00FB148B"/>
    <w:rsid w:val="00FB45AA"/>
    <w:rsid w:val="00FB4F6D"/>
    <w:rsid w:val="00FB7B23"/>
    <w:rsid w:val="00FC00D6"/>
    <w:rsid w:val="00FC1AD8"/>
    <w:rsid w:val="00FC1BB7"/>
    <w:rsid w:val="00FC35D7"/>
    <w:rsid w:val="00FC6ABD"/>
    <w:rsid w:val="00FC73F5"/>
    <w:rsid w:val="00FD16BC"/>
    <w:rsid w:val="00FD643F"/>
    <w:rsid w:val="00FE2D67"/>
    <w:rsid w:val="00FE4E8F"/>
    <w:rsid w:val="00FE5DEB"/>
    <w:rsid w:val="00FE7398"/>
    <w:rsid w:val="00FF169E"/>
    <w:rsid w:val="00FF4026"/>
    <w:rsid w:val="00FF72B1"/>
    <w:rsid w:val="00FF761A"/>
    <w:rsid w:val="00FF7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17E"/>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__heading 1"/>
    <w:basedOn w:val="Normal"/>
    <w:rsid w:val="00AB22FA"/>
    <w:pPr>
      <w:jc w:val="center"/>
    </w:pPr>
    <w:rPr>
      <w:rFonts w:cs="Arial"/>
      <w:b/>
      <w:color w:val="333399"/>
      <w:sz w:val="32"/>
      <w:szCs w:val="32"/>
      <w:lang w:eastAsia="en-AU"/>
    </w:rPr>
  </w:style>
  <w:style w:type="character" w:styleId="Hyperlink">
    <w:name w:val="Hyperlink"/>
    <w:basedOn w:val="DefaultParagraphFont"/>
    <w:rsid w:val="00CF5494"/>
    <w:rPr>
      <w:color w:val="0000FF"/>
      <w:u w:val="single"/>
    </w:rPr>
  </w:style>
  <w:style w:type="paragraph" w:customStyle="1" w:styleId="Tableheading">
    <w:name w:val="Table heading"/>
    <w:basedOn w:val="Normal"/>
    <w:rsid w:val="007F1A58"/>
    <w:pPr>
      <w:spacing w:before="60" w:after="120"/>
    </w:pPr>
    <w:rPr>
      <w:rFonts w:ascii="Book Antiqua" w:hAnsi="Book Antiqua"/>
      <w:b/>
    </w:rPr>
  </w:style>
  <w:style w:type="paragraph" w:styleId="Header">
    <w:name w:val="header"/>
    <w:basedOn w:val="Normal"/>
    <w:rsid w:val="00CF5494"/>
    <w:pPr>
      <w:tabs>
        <w:tab w:val="center" w:pos="4153"/>
        <w:tab w:val="right" w:pos="8306"/>
      </w:tabs>
    </w:pPr>
  </w:style>
  <w:style w:type="paragraph" w:styleId="Footer">
    <w:name w:val="footer"/>
    <w:basedOn w:val="Normal"/>
    <w:rsid w:val="00CF5494"/>
    <w:pPr>
      <w:tabs>
        <w:tab w:val="center" w:pos="4153"/>
        <w:tab w:val="right" w:pos="8306"/>
      </w:tabs>
    </w:pPr>
  </w:style>
  <w:style w:type="paragraph" w:styleId="BalloonText">
    <w:name w:val="Balloon Text"/>
    <w:basedOn w:val="Normal"/>
    <w:semiHidden/>
    <w:rsid w:val="00687D58"/>
    <w:rPr>
      <w:rFonts w:ascii="Tahoma" w:hAnsi="Tahoma" w:cs="Tahoma"/>
      <w:sz w:val="16"/>
      <w:szCs w:val="16"/>
    </w:rPr>
  </w:style>
  <w:style w:type="paragraph" w:styleId="FootnoteText">
    <w:name w:val="footnote text"/>
    <w:basedOn w:val="Normal"/>
    <w:link w:val="FootnoteTextChar"/>
    <w:uiPriority w:val="99"/>
    <w:semiHidden/>
    <w:rsid w:val="009674CA"/>
    <w:rPr>
      <w:sz w:val="20"/>
    </w:rPr>
  </w:style>
  <w:style w:type="character" w:styleId="FootnoteReference">
    <w:name w:val="footnote reference"/>
    <w:basedOn w:val="DefaultParagraphFont"/>
    <w:uiPriority w:val="99"/>
    <w:semiHidden/>
    <w:rsid w:val="009674CA"/>
    <w:rPr>
      <w:vertAlign w:val="superscript"/>
    </w:rPr>
  </w:style>
  <w:style w:type="table" w:styleId="TableGrid">
    <w:name w:val="Table Grid"/>
    <w:basedOn w:val="TableNormal"/>
    <w:rsid w:val="00680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E5F33"/>
    <w:rPr>
      <w:color w:val="800080"/>
      <w:u w:val="single"/>
    </w:rPr>
  </w:style>
  <w:style w:type="character" w:customStyle="1" w:styleId="EmailStyle251">
    <w:name w:val="EmailStyle251"/>
    <w:basedOn w:val="DefaultParagraphFont"/>
    <w:semiHidden/>
    <w:rsid w:val="00A2191C"/>
    <w:rPr>
      <w:rFonts w:ascii="Arial" w:hAnsi="Arial" w:cs="Arial"/>
      <w:color w:val="auto"/>
      <w:sz w:val="20"/>
      <w:szCs w:val="20"/>
    </w:rPr>
  </w:style>
  <w:style w:type="paragraph" w:styleId="Caption">
    <w:name w:val="caption"/>
    <w:basedOn w:val="Normal"/>
    <w:next w:val="Normal"/>
    <w:unhideWhenUsed/>
    <w:qFormat/>
    <w:rsid w:val="0046717E"/>
    <w:pPr>
      <w:spacing w:after="200"/>
    </w:pPr>
    <w:rPr>
      <w:b/>
      <w:bCs/>
      <w:color w:val="4F81BD" w:themeColor="accent1"/>
      <w:sz w:val="18"/>
      <w:szCs w:val="18"/>
    </w:rPr>
  </w:style>
  <w:style w:type="paragraph" w:customStyle="1" w:styleId="Default">
    <w:name w:val="Default"/>
    <w:rsid w:val="004C3D2B"/>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semiHidden/>
    <w:locked/>
    <w:rsid w:val="00A4529C"/>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17E"/>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__heading 1"/>
    <w:basedOn w:val="Normal"/>
    <w:rsid w:val="00AB22FA"/>
    <w:pPr>
      <w:jc w:val="center"/>
    </w:pPr>
    <w:rPr>
      <w:rFonts w:cs="Arial"/>
      <w:b/>
      <w:color w:val="333399"/>
      <w:sz w:val="32"/>
      <w:szCs w:val="32"/>
      <w:lang w:eastAsia="en-AU"/>
    </w:rPr>
  </w:style>
  <w:style w:type="character" w:styleId="Hyperlink">
    <w:name w:val="Hyperlink"/>
    <w:basedOn w:val="DefaultParagraphFont"/>
    <w:rsid w:val="00CF5494"/>
    <w:rPr>
      <w:color w:val="0000FF"/>
      <w:u w:val="single"/>
    </w:rPr>
  </w:style>
  <w:style w:type="paragraph" w:customStyle="1" w:styleId="Tableheading">
    <w:name w:val="Table heading"/>
    <w:basedOn w:val="Normal"/>
    <w:rsid w:val="007F1A58"/>
    <w:pPr>
      <w:spacing w:before="60" w:after="120"/>
    </w:pPr>
    <w:rPr>
      <w:rFonts w:ascii="Book Antiqua" w:hAnsi="Book Antiqua"/>
      <w:b/>
    </w:rPr>
  </w:style>
  <w:style w:type="paragraph" w:styleId="Header">
    <w:name w:val="header"/>
    <w:basedOn w:val="Normal"/>
    <w:rsid w:val="00CF5494"/>
    <w:pPr>
      <w:tabs>
        <w:tab w:val="center" w:pos="4153"/>
        <w:tab w:val="right" w:pos="8306"/>
      </w:tabs>
    </w:pPr>
  </w:style>
  <w:style w:type="paragraph" w:styleId="Footer">
    <w:name w:val="footer"/>
    <w:basedOn w:val="Normal"/>
    <w:rsid w:val="00CF5494"/>
    <w:pPr>
      <w:tabs>
        <w:tab w:val="center" w:pos="4153"/>
        <w:tab w:val="right" w:pos="8306"/>
      </w:tabs>
    </w:pPr>
  </w:style>
  <w:style w:type="paragraph" w:styleId="BalloonText">
    <w:name w:val="Balloon Text"/>
    <w:basedOn w:val="Normal"/>
    <w:semiHidden/>
    <w:rsid w:val="00687D58"/>
    <w:rPr>
      <w:rFonts w:ascii="Tahoma" w:hAnsi="Tahoma" w:cs="Tahoma"/>
      <w:sz w:val="16"/>
      <w:szCs w:val="16"/>
    </w:rPr>
  </w:style>
  <w:style w:type="paragraph" w:styleId="FootnoteText">
    <w:name w:val="footnote text"/>
    <w:basedOn w:val="Normal"/>
    <w:link w:val="FootnoteTextChar"/>
    <w:uiPriority w:val="99"/>
    <w:semiHidden/>
    <w:rsid w:val="009674CA"/>
    <w:rPr>
      <w:sz w:val="20"/>
    </w:rPr>
  </w:style>
  <w:style w:type="character" w:styleId="FootnoteReference">
    <w:name w:val="footnote reference"/>
    <w:basedOn w:val="DefaultParagraphFont"/>
    <w:uiPriority w:val="99"/>
    <w:semiHidden/>
    <w:rsid w:val="009674CA"/>
    <w:rPr>
      <w:vertAlign w:val="superscript"/>
    </w:rPr>
  </w:style>
  <w:style w:type="table" w:styleId="TableGrid">
    <w:name w:val="Table Grid"/>
    <w:basedOn w:val="TableNormal"/>
    <w:rsid w:val="00680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E5F33"/>
    <w:rPr>
      <w:color w:val="800080"/>
      <w:u w:val="single"/>
    </w:rPr>
  </w:style>
  <w:style w:type="character" w:customStyle="1" w:styleId="EmailStyle251">
    <w:name w:val="EmailStyle251"/>
    <w:basedOn w:val="DefaultParagraphFont"/>
    <w:semiHidden/>
    <w:rsid w:val="00A2191C"/>
    <w:rPr>
      <w:rFonts w:ascii="Arial" w:hAnsi="Arial" w:cs="Arial"/>
      <w:color w:val="auto"/>
      <w:sz w:val="20"/>
      <w:szCs w:val="20"/>
    </w:rPr>
  </w:style>
  <w:style w:type="paragraph" w:styleId="Caption">
    <w:name w:val="caption"/>
    <w:basedOn w:val="Normal"/>
    <w:next w:val="Normal"/>
    <w:unhideWhenUsed/>
    <w:qFormat/>
    <w:rsid w:val="0046717E"/>
    <w:pPr>
      <w:spacing w:after="200"/>
    </w:pPr>
    <w:rPr>
      <w:b/>
      <w:bCs/>
      <w:color w:val="4F81BD" w:themeColor="accent1"/>
      <w:sz w:val="18"/>
      <w:szCs w:val="18"/>
    </w:rPr>
  </w:style>
  <w:style w:type="paragraph" w:customStyle="1" w:styleId="Default">
    <w:name w:val="Default"/>
    <w:rsid w:val="004C3D2B"/>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semiHidden/>
    <w:locked/>
    <w:rsid w:val="00A4529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1368">
      <w:bodyDiv w:val="1"/>
      <w:marLeft w:val="0"/>
      <w:marRight w:val="0"/>
      <w:marTop w:val="0"/>
      <w:marBottom w:val="0"/>
      <w:divBdr>
        <w:top w:val="none" w:sz="0" w:space="0" w:color="auto"/>
        <w:left w:val="none" w:sz="0" w:space="0" w:color="auto"/>
        <w:bottom w:val="none" w:sz="0" w:space="0" w:color="auto"/>
        <w:right w:val="none" w:sz="0" w:space="0" w:color="auto"/>
      </w:divBdr>
    </w:div>
    <w:div w:id="221412431">
      <w:bodyDiv w:val="1"/>
      <w:marLeft w:val="0"/>
      <w:marRight w:val="0"/>
      <w:marTop w:val="0"/>
      <w:marBottom w:val="0"/>
      <w:divBdr>
        <w:top w:val="none" w:sz="0" w:space="0" w:color="auto"/>
        <w:left w:val="none" w:sz="0" w:space="0" w:color="auto"/>
        <w:bottom w:val="none" w:sz="0" w:space="0" w:color="auto"/>
        <w:right w:val="none" w:sz="0" w:space="0" w:color="auto"/>
      </w:divBdr>
    </w:div>
    <w:div w:id="254216131">
      <w:bodyDiv w:val="1"/>
      <w:marLeft w:val="0"/>
      <w:marRight w:val="0"/>
      <w:marTop w:val="0"/>
      <w:marBottom w:val="0"/>
      <w:divBdr>
        <w:top w:val="none" w:sz="0" w:space="0" w:color="auto"/>
        <w:left w:val="none" w:sz="0" w:space="0" w:color="auto"/>
        <w:bottom w:val="none" w:sz="0" w:space="0" w:color="auto"/>
        <w:right w:val="none" w:sz="0" w:space="0" w:color="auto"/>
      </w:divBdr>
    </w:div>
    <w:div w:id="261183585">
      <w:bodyDiv w:val="1"/>
      <w:marLeft w:val="0"/>
      <w:marRight w:val="0"/>
      <w:marTop w:val="0"/>
      <w:marBottom w:val="0"/>
      <w:divBdr>
        <w:top w:val="none" w:sz="0" w:space="0" w:color="auto"/>
        <w:left w:val="none" w:sz="0" w:space="0" w:color="auto"/>
        <w:bottom w:val="none" w:sz="0" w:space="0" w:color="auto"/>
        <w:right w:val="none" w:sz="0" w:space="0" w:color="auto"/>
      </w:divBdr>
    </w:div>
    <w:div w:id="328795759">
      <w:bodyDiv w:val="1"/>
      <w:marLeft w:val="0"/>
      <w:marRight w:val="0"/>
      <w:marTop w:val="0"/>
      <w:marBottom w:val="0"/>
      <w:divBdr>
        <w:top w:val="none" w:sz="0" w:space="0" w:color="auto"/>
        <w:left w:val="none" w:sz="0" w:space="0" w:color="auto"/>
        <w:bottom w:val="none" w:sz="0" w:space="0" w:color="auto"/>
        <w:right w:val="none" w:sz="0" w:space="0" w:color="auto"/>
      </w:divBdr>
    </w:div>
    <w:div w:id="344329031">
      <w:bodyDiv w:val="1"/>
      <w:marLeft w:val="0"/>
      <w:marRight w:val="0"/>
      <w:marTop w:val="0"/>
      <w:marBottom w:val="0"/>
      <w:divBdr>
        <w:top w:val="none" w:sz="0" w:space="0" w:color="auto"/>
        <w:left w:val="none" w:sz="0" w:space="0" w:color="auto"/>
        <w:bottom w:val="none" w:sz="0" w:space="0" w:color="auto"/>
        <w:right w:val="none" w:sz="0" w:space="0" w:color="auto"/>
      </w:divBdr>
    </w:div>
    <w:div w:id="404038723">
      <w:bodyDiv w:val="1"/>
      <w:marLeft w:val="0"/>
      <w:marRight w:val="0"/>
      <w:marTop w:val="0"/>
      <w:marBottom w:val="0"/>
      <w:divBdr>
        <w:top w:val="none" w:sz="0" w:space="0" w:color="auto"/>
        <w:left w:val="none" w:sz="0" w:space="0" w:color="auto"/>
        <w:bottom w:val="none" w:sz="0" w:space="0" w:color="auto"/>
        <w:right w:val="none" w:sz="0" w:space="0" w:color="auto"/>
      </w:divBdr>
    </w:div>
    <w:div w:id="431822037">
      <w:bodyDiv w:val="1"/>
      <w:marLeft w:val="0"/>
      <w:marRight w:val="0"/>
      <w:marTop w:val="0"/>
      <w:marBottom w:val="0"/>
      <w:divBdr>
        <w:top w:val="none" w:sz="0" w:space="0" w:color="auto"/>
        <w:left w:val="none" w:sz="0" w:space="0" w:color="auto"/>
        <w:bottom w:val="none" w:sz="0" w:space="0" w:color="auto"/>
        <w:right w:val="none" w:sz="0" w:space="0" w:color="auto"/>
      </w:divBdr>
    </w:div>
    <w:div w:id="471287742">
      <w:bodyDiv w:val="1"/>
      <w:marLeft w:val="0"/>
      <w:marRight w:val="0"/>
      <w:marTop w:val="0"/>
      <w:marBottom w:val="0"/>
      <w:divBdr>
        <w:top w:val="none" w:sz="0" w:space="0" w:color="auto"/>
        <w:left w:val="none" w:sz="0" w:space="0" w:color="auto"/>
        <w:bottom w:val="none" w:sz="0" w:space="0" w:color="auto"/>
        <w:right w:val="none" w:sz="0" w:space="0" w:color="auto"/>
      </w:divBdr>
    </w:div>
    <w:div w:id="501897746">
      <w:bodyDiv w:val="1"/>
      <w:marLeft w:val="0"/>
      <w:marRight w:val="0"/>
      <w:marTop w:val="0"/>
      <w:marBottom w:val="0"/>
      <w:divBdr>
        <w:top w:val="none" w:sz="0" w:space="0" w:color="auto"/>
        <w:left w:val="none" w:sz="0" w:space="0" w:color="auto"/>
        <w:bottom w:val="none" w:sz="0" w:space="0" w:color="auto"/>
        <w:right w:val="none" w:sz="0" w:space="0" w:color="auto"/>
      </w:divBdr>
    </w:div>
    <w:div w:id="547030401">
      <w:bodyDiv w:val="1"/>
      <w:marLeft w:val="0"/>
      <w:marRight w:val="0"/>
      <w:marTop w:val="0"/>
      <w:marBottom w:val="0"/>
      <w:divBdr>
        <w:top w:val="none" w:sz="0" w:space="0" w:color="auto"/>
        <w:left w:val="none" w:sz="0" w:space="0" w:color="auto"/>
        <w:bottom w:val="none" w:sz="0" w:space="0" w:color="auto"/>
        <w:right w:val="none" w:sz="0" w:space="0" w:color="auto"/>
      </w:divBdr>
    </w:div>
    <w:div w:id="567810170">
      <w:bodyDiv w:val="1"/>
      <w:marLeft w:val="0"/>
      <w:marRight w:val="0"/>
      <w:marTop w:val="0"/>
      <w:marBottom w:val="0"/>
      <w:divBdr>
        <w:top w:val="none" w:sz="0" w:space="0" w:color="auto"/>
        <w:left w:val="none" w:sz="0" w:space="0" w:color="auto"/>
        <w:bottom w:val="none" w:sz="0" w:space="0" w:color="auto"/>
        <w:right w:val="none" w:sz="0" w:space="0" w:color="auto"/>
      </w:divBdr>
    </w:div>
    <w:div w:id="588658807">
      <w:bodyDiv w:val="1"/>
      <w:marLeft w:val="0"/>
      <w:marRight w:val="0"/>
      <w:marTop w:val="0"/>
      <w:marBottom w:val="0"/>
      <w:divBdr>
        <w:top w:val="none" w:sz="0" w:space="0" w:color="auto"/>
        <w:left w:val="none" w:sz="0" w:space="0" w:color="auto"/>
        <w:bottom w:val="none" w:sz="0" w:space="0" w:color="auto"/>
        <w:right w:val="none" w:sz="0" w:space="0" w:color="auto"/>
      </w:divBdr>
    </w:div>
    <w:div w:id="599221041">
      <w:bodyDiv w:val="1"/>
      <w:marLeft w:val="0"/>
      <w:marRight w:val="0"/>
      <w:marTop w:val="0"/>
      <w:marBottom w:val="0"/>
      <w:divBdr>
        <w:top w:val="none" w:sz="0" w:space="0" w:color="auto"/>
        <w:left w:val="none" w:sz="0" w:space="0" w:color="auto"/>
        <w:bottom w:val="none" w:sz="0" w:space="0" w:color="auto"/>
        <w:right w:val="none" w:sz="0" w:space="0" w:color="auto"/>
      </w:divBdr>
    </w:div>
    <w:div w:id="626550234">
      <w:bodyDiv w:val="1"/>
      <w:marLeft w:val="0"/>
      <w:marRight w:val="0"/>
      <w:marTop w:val="0"/>
      <w:marBottom w:val="0"/>
      <w:divBdr>
        <w:top w:val="none" w:sz="0" w:space="0" w:color="auto"/>
        <w:left w:val="none" w:sz="0" w:space="0" w:color="auto"/>
        <w:bottom w:val="none" w:sz="0" w:space="0" w:color="auto"/>
        <w:right w:val="none" w:sz="0" w:space="0" w:color="auto"/>
      </w:divBdr>
    </w:div>
    <w:div w:id="666372673">
      <w:bodyDiv w:val="1"/>
      <w:marLeft w:val="0"/>
      <w:marRight w:val="0"/>
      <w:marTop w:val="0"/>
      <w:marBottom w:val="0"/>
      <w:divBdr>
        <w:top w:val="none" w:sz="0" w:space="0" w:color="auto"/>
        <w:left w:val="none" w:sz="0" w:space="0" w:color="auto"/>
        <w:bottom w:val="none" w:sz="0" w:space="0" w:color="auto"/>
        <w:right w:val="none" w:sz="0" w:space="0" w:color="auto"/>
      </w:divBdr>
    </w:div>
    <w:div w:id="686954665">
      <w:bodyDiv w:val="1"/>
      <w:marLeft w:val="0"/>
      <w:marRight w:val="0"/>
      <w:marTop w:val="0"/>
      <w:marBottom w:val="0"/>
      <w:divBdr>
        <w:top w:val="none" w:sz="0" w:space="0" w:color="auto"/>
        <w:left w:val="none" w:sz="0" w:space="0" w:color="auto"/>
        <w:bottom w:val="none" w:sz="0" w:space="0" w:color="auto"/>
        <w:right w:val="none" w:sz="0" w:space="0" w:color="auto"/>
      </w:divBdr>
    </w:div>
    <w:div w:id="767388684">
      <w:bodyDiv w:val="1"/>
      <w:marLeft w:val="0"/>
      <w:marRight w:val="0"/>
      <w:marTop w:val="0"/>
      <w:marBottom w:val="0"/>
      <w:divBdr>
        <w:top w:val="none" w:sz="0" w:space="0" w:color="auto"/>
        <w:left w:val="none" w:sz="0" w:space="0" w:color="auto"/>
        <w:bottom w:val="none" w:sz="0" w:space="0" w:color="auto"/>
        <w:right w:val="none" w:sz="0" w:space="0" w:color="auto"/>
      </w:divBdr>
    </w:div>
    <w:div w:id="772171898">
      <w:bodyDiv w:val="1"/>
      <w:marLeft w:val="0"/>
      <w:marRight w:val="0"/>
      <w:marTop w:val="0"/>
      <w:marBottom w:val="0"/>
      <w:divBdr>
        <w:top w:val="none" w:sz="0" w:space="0" w:color="auto"/>
        <w:left w:val="none" w:sz="0" w:space="0" w:color="auto"/>
        <w:bottom w:val="none" w:sz="0" w:space="0" w:color="auto"/>
        <w:right w:val="none" w:sz="0" w:space="0" w:color="auto"/>
      </w:divBdr>
    </w:div>
    <w:div w:id="848713281">
      <w:bodyDiv w:val="1"/>
      <w:marLeft w:val="0"/>
      <w:marRight w:val="0"/>
      <w:marTop w:val="0"/>
      <w:marBottom w:val="0"/>
      <w:divBdr>
        <w:top w:val="none" w:sz="0" w:space="0" w:color="auto"/>
        <w:left w:val="none" w:sz="0" w:space="0" w:color="auto"/>
        <w:bottom w:val="none" w:sz="0" w:space="0" w:color="auto"/>
        <w:right w:val="none" w:sz="0" w:space="0" w:color="auto"/>
      </w:divBdr>
    </w:div>
    <w:div w:id="870849397">
      <w:bodyDiv w:val="1"/>
      <w:marLeft w:val="0"/>
      <w:marRight w:val="0"/>
      <w:marTop w:val="0"/>
      <w:marBottom w:val="0"/>
      <w:divBdr>
        <w:top w:val="none" w:sz="0" w:space="0" w:color="auto"/>
        <w:left w:val="none" w:sz="0" w:space="0" w:color="auto"/>
        <w:bottom w:val="none" w:sz="0" w:space="0" w:color="auto"/>
        <w:right w:val="none" w:sz="0" w:space="0" w:color="auto"/>
      </w:divBdr>
    </w:div>
    <w:div w:id="934704530">
      <w:bodyDiv w:val="1"/>
      <w:marLeft w:val="0"/>
      <w:marRight w:val="0"/>
      <w:marTop w:val="0"/>
      <w:marBottom w:val="0"/>
      <w:divBdr>
        <w:top w:val="none" w:sz="0" w:space="0" w:color="auto"/>
        <w:left w:val="none" w:sz="0" w:space="0" w:color="auto"/>
        <w:bottom w:val="none" w:sz="0" w:space="0" w:color="auto"/>
        <w:right w:val="none" w:sz="0" w:space="0" w:color="auto"/>
      </w:divBdr>
    </w:div>
    <w:div w:id="1007288901">
      <w:bodyDiv w:val="1"/>
      <w:marLeft w:val="0"/>
      <w:marRight w:val="0"/>
      <w:marTop w:val="0"/>
      <w:marBottom w:val="0"/>
      <w:divBdr>
        <w:top w:val="none" w:sz="0" w:space="0" w:color="auto"/>
        <w:left w:val="none" w:sz="0" w:space="0" w:color="auto"/>
        <w:bottom w:val="none" w:sz="0" w:space="0" w:color="auto"/>
        <w:right w:val="none" w:sz="0" w:space="0" w:color="auto"/>
      </w:divBdr>
    </w:div>
    <w:div w:id="1099526837">
      <w:bodyDiv w:val="1"/>
      <w:marLeft w:val="0"/>
      <w:marRight w:val="0"/>
      <w:marTop w:val="0"/>
      <w:marBottom w:val="0"/>
      <w:divBdr>
        <w:top w:val="none" w:sz="0" w:space="0" w:color="auto"/>
        <w:left w:val="none" w:sz="0" w:space="0" w:color="auto"/>
        <w:bottom w:val="none" w:sz="0" w:space="0" w:color="auto"/>
        <w:right w:val="none" w:sz="0" w:space="0" w:color="auto"/>
      </w:divBdr>
    </w:div>
    <w:div w:id="1111632582">
      <w:bodyDiv w:val="1"/>
      <w:marLeft w:val="0"/>
      <w:marRight w:val="0"/>
      <w:marTop w:val="0"/>
      <w:marBottom w:val="0"/>
      <w:divBdr>
        <w:top w:val="none" w:sz="0" w:space="0" w:color="auto"/>
        <w:left w:val="none" w:sz="0" w:space="0" w:color="auto"/>
        <w:bottom w:val="none" w:sz="0" w:space="0" w:color="auto"/>
        <w:right w:val="none" w:sz="0" w:space="0" w:color="auto"/>
      </w:divBdr>
    </w:div>
    <w:div w:id="1214149410">
      <w:bodyDiv w:val="1"/>
      <w:marLeft w:val="0"/>
      <w:marRight w:val="0"/>
      <w:marTop w:val="0"/>
      <w:marBottom w:val="0"/>
      <w:divBdr>
        <w:top w:val="none" w:sz="0" w:space="0" w:color="auto"/>
        <w:left w:val="none" w:sz="0" w:space="0" w:color="auto"/>
        <w:bottom w:val="none" w:sz="0" w:space="0" w:color="auto"/>
        <w:right w:val="none" w:sz="0" w:space="0" w:color="auto"/>
      </w:divBdr>
    </w:div>
    <w:div w:id="1407265538">
      <w:bodyDiv w:val="1"/>
      <w:marLeft w:val="0"/>
      <w:marRight w:val="0"/>
      <w:marTop w:val="0"/>
      <w:marBottom w:val="0"/>
      <w:divBdr>
        <w:top w:val="none" w:sz="0" w:space="0" w:color="auto"/>
        <w:left w:val="none" w:sz="0" w:space="0" w:color="auto"/>
        <w:bottom w:val="none" w:sz="0" w:space="0" w:color="auto"/>
        <w:right w:val="none" w:sz="0" w:space="0" w:color="auto"/>
      </w:divBdr>
    </w:div>
    <w:div w:id="1428841807">
      <w:bodyDiv w:val="1"/>
      <w:marLeft w:val="0"/>
      <w:marRight w:val="0"/>
      <w:marTop w:val="0"/>
      <w:marBottom w:val="0"/>
      <w:divBdr>
        <w:top w:val="none" w:sz="0" w:space="0" w:color="auto"/>
        <w:left w:val="none" w:sz="0" w:space="0" w:color="auto"/>
        <w:bottom w:val="none" w:sz="0" w:space="0" w:color="auto"/>
        <w:right w:val="none" w:sz="0" w:space="0" w:color="auto"/>
      </w:divBdr>
    </w:div>
    <w:div w:id="1439451196">
      <w:bodyDiv w:val="1"/>
      <w:marLeft w:val="0"/>
      <w:marRight w:val="0"/>
      <w:marTop w:val="0"/>
      <w:marBottom w:val="0"/>
      <w:divBdr>
        <w:top w:val="none" w:sz="0" w:space="0" w:color="auto"/>
        <w:left w:val="none" w:sz="0" w:space="0" w:color="auto"/>
        <w:bottom w:val="none" w:sz="0" w:space="0" w:color="auto"/>
        <w:right w:val="none" w:sz="0" w:space="0" w:color="auto"/>
      </w:divBdr>
    </w:div>
    <w:div w:id="1474368466">
      <w:bodyDiv w:val="1"/>
      <w:marLeft w:val="0"/>
      <w:marRight w:val="0"/>
      <w:marTop w:val="0"/>
      <w:marBottom w:val="0"/>
      <w:divBdr>
        <w:top w:val="none" w:sz="0" w:space="0" w:color="auto"/>
        <w:left w:val="none" w:sz="0" w:space="0" w:color="auto"/>
        <w:bottom w:val="none" w:sz="0" w:space="0" w:color="auto"/>
        <w:right w:val="none" w:sz="0" w:space="0" w:color="auto"/>
      </w:divBdr>
    </w:div>
    <w:div w:id="1514220900">
      <w:bodyDiv w:val="1"/>
      <w:marLeft w:val="0"/>
      <w:marRight w:val="0"/>
      <w:marTop w:val="0"/>
      <w:marBottom w:val="0"/>
      <w:divBdr>
        <w:top w:val="none" w:sz="0" w:space="0" w:color="auto"/>
        <w:left w:val="none" w:sz="0" w:space="0" w:color="auto"/>
        <w:bottom w:val="none" w:sz="0" w:space="0" w:color="auto"/>
        <w:right w:val="none" w:sz="0" w:space="0" w:color="auto"/>
      </w:divBdr>
    </w:div>
    <w:div w:id="1577014372">
      <w:bodyDiv w:val="1"/>
      <w:marLeft w:val="0"/>
      <w:marRight w:val="0"/>
      <w:marTop w:val="0"/>
      <w:marBottom w:val="0"/>
      <w:divBdr>
        <w:top w:val="none" w:sz="0" w:space="0" w:color="auto"/>
        <w:left w:val="none" w:sz="0" w:space="0" w:color="auto"/>
        <w:bottom w:val="none" w:sz="0" w:space="0" w:color="auto"/>
        <w:right w:val="none" w:sz="0" w:space="0" w:color="auto"/>
      </w:divBdr>
    </w:div>
    <w:div w:id="1594630225">
      <w:bodyDiv w:val="1"/>
      <w:marLeft w:val="0"/>
      <w:marRight w:val="0"/>
      <w:marTop w:val="0"/>
      <w:marBottom w:val="0"/>
      <w:divBdr>
        <w:top w:val="none" w:sz="0" w:space="0" w:color="auto"/>
        <w:left w:val="none" w:sz="0" w:space="0" w:color="auto"/>
        <w:bottom w:val="none" w:sz="0" w:space="0" w:color="auto"/>
        <w:right w:val="none" w:sz="0" w:space="0" w:color="auto"/>
      </w:divBdr>
    </w:div>
    <w:div w:id="1631859210">
      <w:bodyDiv w:val="1"/>
      <w:marLeft w:val="0"/>
      <w:marRight w:val="0"/>
      <w:marTop w:val="0"/>
      <w:marBottom w:val="0"/>
      <w:divBdr>
        <w:top w:val="none" w:sz="0" w:space="0" w:color="auto"/>
        <w:left w:val="none" w:sz="0" w:space="0" w:color="auto"/>
        <w:bottom w:val="none" w:sz="0" w:space="0" w:color="auto"/>
        <w:right w:val="none" w:sz="0" w:space="0" w:color="auto"/>
      </w:divBdr>
    </w:div>
    <w:div w:id="1675111363">
      <w:bodyDiv w:val="1"/>
      <w:marLeft w:val="0"/>
      <w:marRight w:val="0"/>
      <w:marTop w:val="0"/>
      <w:marBottom w:val="0"/>
      <w:divBdr>
        <w:top w:val="none" w:sz="0" w:space="0" w:color="auto"/>
        <w:left w:val="none" w:sz="0" w:space="0" w:color="auto"/>
        <w:bottom w:val="none" w:sz="0" w:space="0" w:color="auto"/>
        <w:right w:val="none" w:sz="0" w:space="0" w:color="auto"/>
      </w:divBdr>
    </w:div>
    <w:div w:id="1700205100">
      <w:bodyDiv w:val="1"/>
      <w:marLeft w:val="0"/>
      <w:marRight w:val="0"/>
      <w:marTop w:val="0"/>
      <w:marBottom w:val="0"/>
      <w:divBdr>
        <w:top w:val="none" w:sz="0" w:space="0" w:color="auto"/>
        <w:left w:val="none" w:sz="0" w:space="0" w:color="auto"/>
        <w:bottom w:val="none" w:sz="0" w:space="0" w:color="auto"/>
        <w:right w:val="none" w:sz="0" w:space="0" w:color="auto"/>
      </w:divBdr>
    </w:div>
    <w:div w:id="1779565936">
      <w:bodyDiv w:val="1"/>
      <w:marLeft w:val="0"/>
      <w:marRight w:val="0"/>
      <w:marTop w:val="0"/>
      <w:marBottom w:val="0"/>
      <w:divBdr>
        <w:top w:val="none" w:sz="0" w:space="0" w:color="auto"/>
        <w:left w:val="none" w:sz="0" w:space="0" w:color="auto"/>
        <w:bottom w:val="none" w:sz="0" w:space="0" w:color="auto"/>
        <w:right w:val="none" w:sz="0" w:space="0" w:color="auto"/>
      </w:divBdr>
    </w:div>
    <w:div w:id="1814327606">
      <w:bodyDiv w:val="1"/>
      <w:marLeft w:val="0"/>
      <w:marRight w:val="0"/>
      <w:marTop w:val="0"/>
      <w:marBottom w:val="0"/>
      <w:divBdr>
        <w:top w:val="none" w:sz="0" w:space="0" w:color="auto"/>
        <w:left w:val="none" w:sz="0" w:space="0" w:color="auto"/>
        <w:bottom w:val="none" w:sz="0" w:space="0" w:color="auto"/>
        <w:right w:val="none" w:sz="0" w:space="0" w:color="auto"/>
      </w:divBdr>
    </w:div>
    <w:div w:id="1898513913">
      <w:bodyDiv w:val="1"/>
      <w:marLeft w:val="0"/>
      <w:marRight w:val="0"/>
      <w:marTop w:val="0"/>
      <w:marBottom w:val="0"/>
      <w:divBdr>
        <w:top w:val="none" w:sz="0" w:space="0" w:color="auto"/>
        <w:left w:val="none" w:sz="0" w:space="0" w:color="auto"/>
        <w:bottom w:val="none" w:sz="0" w:space="0" w:color="auto"/>
        <w:right w:val="none" w:sz="0" w:space="0" w:color="auto"/>
      </w:divBdr>
    </w:div>
    <w:div w:id="1898668126">
      <w:bodyDiv w:val="1"/>
      <w:marLeft w:val="0"/>
      <w:marRight w:val="0"/>
      <w:marTop w:val="0"/>
      <w:marBottom w:val="0"/>
      <w:divBdr>
        <w:top w:val="none" w:sz="0" w:space="0" w:color="auto"/>
        <w:left w:val="none" w:sz="0" w:space="0" w:color="auto"/>
        <w:bottom w:val="none" w:sz="0" w:space="0" w:color="auto"/>
        <w:right w:val="none" w:sz="0" w:space="0" w:color="auto"/>
      </w:divBdr>
    </w:div>
    <w:div w:id="1935017734">
      <w:bodyDiv w:val="1"/>
      <w:marLeft w:val="0"/>
      <w:marRight w:val="0"/>
      <w:marTop w:val="0"/>
      <w:marBottom w:val="0"/>
      <w:divBdr>
        <w:top w:val="none" w:sz="0" w:space="0" w:color="auto"/>
        <w:left w:val="none" w:sz="0" w:space="0" w:color="auto"/>
        <w:bottom w:val="none" w:sz="0" w:space="0" w:color="auto"/>
        <w:right w:val="none" w:sz="0" w:space="0" w:color="auto"/>
      </w:divBdr>
    </w:div>
    <w:div w:id="1943294888">
      <w:bodyDiv w:val="1"/>
      <w:marLeft w:val="0"/>
      <w:marRight w:val="0"/>
      <w:marTop w:val="0"/>
      <w:marBottom w:val="0"/>
      <w:divBdr>
        <w:top w:val="none" w:sz="0" w:space="0" w:color="auto"/>
        <w:left w:val="none" w:sz="0" w:space="0" w:color="auto"/>
        <w:bottom w:val="none" w:sz="0" w:space="0" w:color="auto"/>
        <w:right w:val="none" w:sz="0" w:space="0" w:color="auto"/>
      </w:divBdr>
    </w:div>
    <w:div w:id="2011786570">
      <w:bodyDiv w:val="1"/>
      <w:marLeft w:val="0"/>
      <w:marRight w:val="0"/>
      <w:marTop w:val="0"/>
      <w:marBottom w:val="0"/>
      <w:divBdr>
        <w:top w:val="none" w:sz="0" w:space="0" w:color="auto"/>
        <w:left w:val="none" w:sz="0" w:space="0" w:color="auto"/>
        <w:bottom w:val="none" w:sz="0" w:space="0" w:color="auto"/>
        <w:right w:val="none" w:sz="0" w:space="0" w:color="auto"/>
      </w:divBdr>
    </w:div>
    <w:div w:id="20443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internationaleducation.gov.au/research/research-snapshots/pages/default.aspx" TargetMode="External"/><Relationship Id="rId1" Type="http://schemas.openxmlformats.org/officeDocument/2006/relationships/hyperlink" Target="mailto:IEResearch@education.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ecd.org/education/education-at-a-glance-1999148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00AA97F9017A4288665729A97B1723" ma:contentTypeVersion="2" ma:contentTypeDescription="Create a new document." ma:contentTypeScope="" ma:versionID="2955017ab084fe0229d9de7084fe793a">
  <xsd:schema xmlns:xsd="http://www.w3.org/2001/XMLSchema" xmlns:xs="http://www.w3.org/2001/XMLSchema" xmlns:p="http://schemas.microsoft.com/office/2006/metadata/properties" xmlns:ns1="http://schemas.microsoft.com/sharepoint/v3" xmlns:ns2="3d08765e-ed01-46d2-8c42-9360717a49b5" targetNamespace="http://schemas.microsoft.com/office/2006/metadata/properties" ma:root="true" ma:fieldsID="9ff8b2dce9ac55920f923a13febf9c66" ns1:_="" ns2:_="">
    <xsd:import namespace="http://schemas.microsoft.com/sharepoint/v3"/>
    <xsd:import namespace="3d08765e-ed01-46d2-8c42-9360717a49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8765e-ed01-46d2-8c42-9360717a4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89548C-29E0-4AF4-B807-9EAC319C044A}"/>
</file>

<file path=customXml/itemProps2.xml><?xml version="1.0" encoding="utf-8"?>
<ds:datastoreItem xmlns:ds="http://schemas.openxmlformats.org/officeDocument/2006/customXml" ds:itemID="{61C639FF-6FD8-44AD-A8AE-2DCAB77D906F}"/>
</file>

<file path=customXml/itemProps3.xml><?xml version="1.0" encoding="utf-8"?>
<ds:datastoreItem xmlns:ds="http://schemas.openxmlformats.org/officeDocument/2006/customXml" ds:itemID="{7E146066-EC1B-4D7E-8103-EDB566B98412}"/>
</file>

<file path=customXml/itemProps4.xml><?xml version="1.0" encoding="utf-8"?>
<ds:datastoreItem xmlns:ds="http://schemas.openxmlformats.org/officeDocument/2006/customXml" ds:itemID="{52076E49-E277-4219-BFF5-2B561D9C1A93}"/>
</file>

<file path=docProps/app.xml><?xml version="1.0" encoding="utf-8"?>
<Properties xmlns="http://schemas.openxmlformats.org/officeDocument/2006/extended-properties" xmlns:vt="http://schemas.openxmlformats.org/officeDocument/2006/docPropsVTypes">
  <Template>94054E24.dotm</Template>
  <TotalTime>1315</TotalTime>
  <Pages>1</Pages>
  <Words>425</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2009 Student Snapshot</vt:lpstr>
    </vt:vector>
  </TitlesOfParts>
  <Company>DEEWR</Company>
  <LinksUpToDate>false</LinksUpToDate>
  <CharactersWithSpaces>2896</CharactersWithSpaces>
  <SharedDoc>false</SharedDoc>
  <HLinks>
    <vt:vector size="12" baseType="variant">
      <vt:variant>
        <vt:i4>7929962</vt:i4>
      </vt:variant>
      <vt:variant>
        <vt:i4>3</vt:i4>
      </vt:variant>
      <vt:variant>
        <vt:i4>0</vt:i4>
      </vt:variant>
      <vt:variant>
        <vt:i4>5</vt:i4>
      </vt:variant>
      <vt:variant>
        <vt:lpwstr>http://aei.gov.au/AEI/PublicationsAndResearch/Snapshots/Default.htm</vt:lpwstr>
      </vt:variant>
      <vt:variant>
        <vt:lpwstr/>
      </vt:variant>
      <vt:variant>
        <vt:i4>2162793</vt:i4>
      </vt:variant>
      <vt:variant>
        <vt:i4>0</vt:i4>
      </vt:variant>
      <vt:variant>
        <vt:i4>0</vt:i4>
      </vt:variant>
      <vt:variant>
        <vt:i4>5</vt:i4>
      </vt:variant>
      <vt:variant>
        <vt:lpwstr>mailto:aei_research@deewr.gov.au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Student Snapshot</dc:title>
  <dc:creator>CI2200</dc:creator>
  <cp:lastModifiedBy>sarabjot basrai</cp:lastModifiedBy>
  <cp:revision>32</cp:revision>
  <cp:lastPrinted>2017-09-14T03:31:00Z</cp:lastPrinted>
  <dcterms:created xsi:type="dcterms:W3CDTF">2017-08-28T05:29:00Z</dcterms:created>
  <dcterms:modified xsi:type="dcterms:W3CDTF">2017-10-09T03:02:00Z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_NewReviewCycle">
    <vt:lpwstr/>
  </property>
  <property fmtid="{D5CDD505-2E9C-101B-9397-08002B2CF9AE}" pid="7" name="ContentTypeId">
    <vt:lpwstr>0x010100D600AA97F9017A4288665729A97B1723</vt:lpwstr>
  </property>
  <property fmtid="{D5CDD505-2E9C-101B-9397-08002B2CF9AE}" pid="8" name="Order">
    <vt:r8>26200</vt:r8>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