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44" w:rsidRPr="00E4657E" w:rsidRDefault="0046717E" w:rsidP="0082174C">
      <w:pPr>
        <w:pStyle w:val="heading10"/>
        <w:tabs>
          <w:tab w:val="left" w:pos="6237"/>
        </w:tabs>
        <w:spacing w:before="120"/>
        <w:rPr>
          <w:rFonts w:asciiTheme="minorHAnsi" w:hAnsiTheme="minorHAnsi" w:cstheme="minorHAnsi"/>
          <w:color w:val="1F497D" w:themeColor="text2"/>
          <w:sz w:val="24"/>
          <w:szCs w:val="24"/>
        </w:rPr>
      </w:pPr>
      <w:r w:rsidRPr="00E4657E">
        <w:rPr>
          <w:rFonts w:asciiTheme="minorHAnsi" w:hAnsiTheme="minorHAnsi" w:cstheme="minorHAnsi"/>
          <w:noProof/>
          <w:color w:val="1F497D" w:themeColor="text2"/>
          <w:sz w:val="24"/>
          <w:szCs w:val="24"/>
        </w:rPr>
        <w:drawing>
          <wp:inline distT="0" distB="0" distL="0" distR="0" wp14:anchorId="08B352B6" wp14:editId="6278C743">
            <wp:extent cx="6861068" cy="1174478"/>
            <wp:effectExtent l="0" t="0" r="0" b="6985"/>
            <wp:docPr id="4" name="Picture 4" descr="I:\IE\IES\IntResearchAnalysis\Section Publications\Research Snapshots\DET_Research Snapsho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E\IES\IntResearchAnalysis\Section Publications\Research Snapshots\DET_Research Snapshot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0609" cy="1179535"/>
                    </a:xfrm>
                    <a:prstGeom prst="rect">
                      <a:avLst/>
                    </a:prstGeom>
                    <a:noFill/>
                    <a:ln>
                      <a:noFill/>
                    </a:ln>
                  </pic:spPr>
                </pic:pic>
              </a:graphicData>
            </a:graphic>
          </wp:inline>
        </w:drawing>
      </w:r>
    </w:p>
    <w:p w:rsidR="001C7F41" w:rsidRPr="00E4657E" w:rsidRDefault="00263ECF" w:rsidP="001C7F41">
      <w:pPr>
        <w:pStyle w:val="heading10"/>
        <w:ind w:firstLine="567"/>
        <w:jc w:val="right"/>
        <w:rPr>
          <w:rFonts w:asciiTheme="minorHAnsi" w:hAnsiTheme="minorHAnsi" w:cstheme="minorHAnsi"/>
          <w:color w:val="1F497D" w:themeColor="text2"/>
          <w:sz w:val="24"/>
          <w:szCs w:val="24"/>
        </w:rPr>
      </w:pPr>
      <w:r>
        <w:rPr>
          <w:rFonts w:asciiTheme="minorHAnsi" w:hAnsiTheme="minorHAnsi" w:cstheme="minorHAnsi"/>
          <w:color w:val="000000" w:themeColor="text1"/>
          <w:sz w:val="28"/>
          <w:szCs w:val="28"/>
        </w:rPr>
        <w:t>D</w:t>
      </w:r>
      <w:r w:rsidRPr="00FC00D6">
        <w:rPr>
          <w:rFonts w:asciiTheme="minorHAnsi" w:hAnsiTheme="minorHAnsi" w:cstheme="minorHAnsi"/>
          <w:color w:val="000000" w:themeColor="text1"/>
          <w:sz w:val="28"/>
          <w:szCs w:val="28"/>
        </w:rPr>
        <w:t>ecember</w:t>
      </w:r>
      <w:r w:rsidR="002B6B23" w:rsidRPr="00B66B0C">
        <w:rPr>
          <w:rFonts w:asciiTheme="minorHAnsi" w:hAnsiTheme="minorHAnsi" w:cstheme="minorHAnsi"/>
          <w:color w:val="000000" w:themeColor="text1"/>
          <w:sz w:val="24"/>
          <w:szCs w:val="24"/>
        </w:rPr>
        <w:t xml:space="preserve"> </w:t>
      </w:r>
      <w:r w:rsidR="00DC669C" w:rsidRPr="00E4657E">
        <w:rPr>
          <w:rFonts w:asciiTheme="minorHAnsi" w:hAnsiTheme="minorHAnsi" w:cstheme="minorHAnsi"/>
          <w:color w:val="auto"/>
          <w:sz w:val="24"/>
          <w:szCs w:val="24"/>
        </w:rPr>
        <w:t>201</w:t>
      </w:r>
      <w:r w:rsidR="008328F2" w:rsidRPr="00E4657E">
        <w:rPr>
          <w:rFonts w:asciiTheme="minorHAnsi" w:hAnsiTheme="minorHAnsi" w:cstheme="minorHAnsi"/>
          <w:color w:val="auto"/>
          <w:sz w:val="24"/>
          <w:szCs w:val="24"/>
        </w:rPr>
        <w:t>6</w:t>
      </w:r>
    </w:p>
    <w:p w:rsidR="00B50D38" w:rsidRPr="00E4657E" w:rsidRDefault="00B50D38" w:rsidP="00B50D38">
      <w:pPr>
        <w:pStyle w:val="heading10"/>
        <w:spacing w:after="120"/>
        <w:rPr>
          <w:rFonts w:asciiTheme="minorHAnsi" w:hAnsiTheme="minorHAnsi" w:cstheme="minorHAnsi"/>
          <w:color w:val="1F497D" w:themeColor="text2"/>
        </w:rPr>
      </w:pPr>
      <w:r w:rsidRPr="00E4657E">
        <w:rPr>
          <w:rFonts w:asciiTheme="minorHAnsi" w:hAnsiTheme="minorHAnsi" w:cstheme="minorHAnsi"/>
          <w:color w:val="1F497D" w:themeColor="text2"/>
        </w:rPr>
        <w:t>The global context of tertiary student mobility</w:t>
      </w:r>
      <w:bookmarkStart w:id="0" w:name="_GoBack"/>
      <w:bookmarkEnd w:id="0"/>
    </w:p>
    <w:p w:rsidR="009942B2" w:rsidRPr="00E4657E" w:rsidRDefault="009942B2" w:rsidP="001A597E">
      <w:pPr>
        <w:pStyle w:val="Default"/>
        <w:tabs>
          <w:tab w:val="left" w:pos="5812"/>
          <w:tab w:val="left" w:pos="5954"/>
          <w:tab w:val="left" w:pos="6096"/>
          <w:tab w:val="left" w:pos="6379"/>
        </w:tabs>
        <w:spacing w:after="120"/>
        <w:jc w:val="both"/>
        <w:rPr>
          <w:rFonts w:asciiTheme="minorHAnsi" w:hAnsiTheme="minorHAnsi" w:cstheme="minorHAnsi"/>
          <w:sz w:val="20"/>
          <w:szCs w:val="20"/>
        </w:rPr>
      </w:pPr>
      <w:r w:rsidRPr="00753557">
        <w:rPr>
          <w:rFonts w:asciiTheme="minorHAnsi" w:hAnsiTheme="minorHAnsi" w:cstheme="minorHAnsi"/>
          <w:sz w:val="19"/>
          <w:szCs w:val="19"/>
        </w:rPr>
        <w:t>In 201</w:t>
      </w:r>
      <w:r w:rsidR="00347E13">
        <w:rPr>
          <w:rFonts w:asciiTheme="minorHAnsi" w:hAnsiTheme="minorHAnsi" w:cstheme="minorHAnsi"/>
          <w:sz w:val="19"/>
          <w:szCs w:val="19"/>
        </w:rPr>
        <w:t>6</w:t>
      </w:r>
      <w:r w:rsidRPr="00753557">
        <w:rPr>
          <w:rFonts w:asciiTheme="minorHAnsi" w:hAnsiTheme="minorHAnsi" w:cstheme="minorHAnsi"/>
          <w:sz w:val="19"/>
          <w:szCs w:val="19"/>
        </w:rPr>
        <w:t xml:space="preserve">, </w:t>
      </w:r>
      <w:proofErr w:type="spellStart"/>
      <w:r w:rsidR="00347E13">
        <w:rPr>
          <w:rFonts w:asciiTheme="minorHAnsi" w:hAnsiTheme="minorHAnsi" w:cstheme="minorHAnsi"/>
          <w:sz w:val="19"/>
          <w:szCs w:val="19"/>
        </w:rPr>
        <w:t>ICEF</w:t>
      </w:r>
      <w:proofErr w:type="spellEnd"/>
      <w:r w:rsidR="00347E13">
        <w:rPr>
          <w:rFonts w:asciiTheme="minorHAnsi" w:hAnsiTheme="minorHAnsi" w:cstheme="minorHAnsi"/>
          <w:sz w:val="19"/>
          <w:szCs w:val="19"/>
        </w:rPr>
        <w:t xml:space="preserve"> (International Consultant</w:t>
      </w:r>
      <w:r w:rsidR="00C97395">
        <w:rPr>
          <w:rFonts w:asciiTheme="minorHAnsi" w:hAnsiTheme="minorHAnsi" w:cstheme="minorHAnsi"/>
          <w:sz w:val="19"/>
          <w:szCs w:val="19"/>
        </w:rPr>
        <w:t>s</w:t>
      </w:r>
      <w:r w:rsidR="00347E13">
        <w:rPr>
          <w:rFonts w:asciiTheme="minorHAnsi" w:hAnsiTheme="minorHAnsi" w:cstheme="minorHAnsi"/>
          <w:sz w:val="19"/>
          <w:szCs w:val="19"/>
        </w:rPr>
        <w:t xml:space="preserve"> for Education and Fairs) reported that approximately five million tertiary students were studying abroad, an increase of 67</w:t>
      </w:r>
      <w:r w:rsidR="002D77AF">
        <w:rPr>
          <w:rFonts w:asciiTheme="minorHAnsi" w:hAnsiTheme="minorHAnsi" w:cstheme="minorHAnsi"/>
          <w:sz w:val="19"/>
          <w:szCs w:val="19"/>
        </w:rPr>
        <w:t xml:space="preserve"> per cent</w:t>
      </w:r>
      <w:r w:rsidR="00347E13">
        <w:rPr>
          <w:rFonts w:asciiTheme="minorHAnsi" w:hAnsiTheme="minorHAnsi" w:cstheme="minorHAnsi"/>
          <w:sz w:val="19"/>
          <w:szCs w:val="19"/>
        </w:rPr>
        <w:t xml:space="preserve"> since 2005</w:t>
      </w:r>
      <w:r w:rsidR="00C97395">
        <w:rPr>
          <w:rFonts w:asciiTheme="minorHAnsi" w:hAnsiTheme="minorHAnsi" w:cstheme="minorHAnsi"/>
          <w:sz w:val="19"/>
          <w:szCs w:val="19"/>
        </w:rPr>
        <w:t xml:space="preserve">. </w:t>
      </w:r>
      <w:proofErr w:type="spellStart"/>
      <w:r w:rsidR="00C97395">
        <w:rPr>
          <w:rFonts w:asciiTheme="minorHAnsi" w:hAnsiTheme="minorHAnsi" w:cstheme="minorHAnsi"/>
          <w:sz w:val="19"/>
          <w:szCs w:val="19"/>
        </w:rPr>
        <w:t>ICEF</w:t>
      </w:r>
      <w:proofErr w:type="spellEnd"/>
      <w:r w:rsidR="00C97395">
        <w:rPr>
          <w:rFonts w:asciiTheme="minorHAnsi" w:hAnsiTheme="minorHAnsi" w:cstheme="minorHAnsi"/>
          <w:sz w:val="19"/>
          <w:szCs w:val="19"/>
        </w:rPr>
        <w:t xml:space="preserve"> also speculated </w:t>
      </w:r>
      <w:r w:rsidR="00347E13">
        <w:rPr>
          <w:rFonts w:asciiTheme="minorHAnsi" w:hAnsiTheme="minorHAnsi" w:cstheme="minorHAnsi"/>
          <w:sz w:val="19"/>
          <w:szCs w:val="19"/>
        </w:rPr>
        <w:t xml:space="preserve">that this </w:t>
      </w:r>
      <w:r w:rsidR="00C97395">
        <w:rPr>
          <w:rFonts w:asciiTheme="minorHAnsi" w:hAnsiTheme="minorHAnsi" w:cstheme="minorHAnsi"/>
          <w:sz w:val="19"/>
          <w:szCs w:val="19"/>
        </w:rPr>
        <w:t xml:space="preserve">number </w:t>
      </w:r>
      <w:r w:rsidR="00347E13">
        <w:rPr>
          <w:rFonts w:asciiTheme="minorHAnsi" w:hAnsiTheme="minorHAnsi" w:cstheme="minorHAnsi"/>
          <w:sz w:val="19"/>
          <w:szCs w:val="19"/>
        </w:rPr>
        <w:t>may increase to 8 million students by 2025</w:t>
      </w:r>
      <w:r w:rsidR="00347E13">
        <w:rPr>
          <w:rStyle w:val="FootnoteReference"/>
          <w:rFonts w:asciiTheme="minorHAnsi" w:hAnsiTheme="minorHAnsi" w:cstheme="minorHAnsi"/>
          <w:sz w:val="19"/>
          <w:szCs w:val="19"/>
        </w:rPr>
        <w:footnoteReference w:id="1"/>
      </w:r>
      <w:r w:rsidR="00FC1BB7">
        <w:rPr>
          <w:rFonts w:asciiTheme="minorHAnsi" w:hAnsiTheme="minorHAnsi" w:cstheme="minorHAnsi"/>
          <w:sz w:val="20"/>
          <w:szCs w:val="20"/>
        </w:rPr>
        <w:t>.</w:t>
      </w:r>
    </w:p>
    <w:p w:rsidR="002F29DB" w:rsidRPr="00753557" w:rsidRDefault="00C17854" w:rsidP="00B83EA1">
      <w:pPr>
        <w:pStyle w:val="Default"/>
        <w:tabs>
          <w:tab w:val="left" w:pos="5812"/>
          <w:tab w:val="left" w:pos="5954"/>
          <w:tab w:val="left" w:pos="6237"/>
        </w:tabs>
        <w:spacing w:after="120"/>
        <w:jc w:val="both"/>
        <w:rPr>
          <w:rFonts w:asciiTheme="minorHAnsi" w:hAnsiTheme="minorHAnsi" w:cstheme="minorHAnsi"/>
          <w:sz w:val="22"/>
          <w:szCs w:val="22"/>
        </w:rPr>
      </w:pPr>
      <w:r>
        <w:rPr>
          <w:noProof/>
        </w:rPr>
        <w:drawing>
          <wp:anchor distT="0" distB="0" distL="114300" distR="114300" simplePos="0" relativeHeight="251692032" behindDoc="0" locked="0" layoutInCell="1" allowOverlap="1" wp14:anchorId="2991C39B" wp14:editId="5809C8AE">
            <wp:simplePos x="0" y="0"/>
            <wp:positionH relativeFrom="column">
              <wp:posOffset>3755390</wp:posOffset>
            </wp:positionH>
            <wp:positionV relativeFrom="paragraph">
              <wp:posOffset>5715</wp:posOffset>
            </wp:positionV>
            <wp:extent cx="3102610" cy="2200275"/>
            <wp:effectExtent l="0" t="0" r="254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02610" cy="2200275"/>
                    </a:xfrm>
                    <a:prstGeom prst="rect">
                      <a:avLst/>
                    </a:prstGeom>
                  </pic:spPr>
                </pic:pic>
              </a:graphicData>
            </a:graphic>
            <wp14:sizeRelH relativeFrom="page">
              <wp14:pctWidth>0</wp14:pctWidth>
            </wp14:sizeRelH>
            <wp14:sizeRelV relativeFrom="page">
              <wp14:pctHeight>0</wp14:pctHeight>
            </wp14:sizeRelV>
          </wp:anchor>
        </w:drawing>
      </w:r>
      <w:r w:rsidR="00860216" w:rsidRPr="00753557">
        <w:rPr>
          <w:rFonts w:asciiTheme="minorHAnsi" w:hAnsiTheme="minorHAnsi" w:cstheme="minorHAnsi"/>
          <w:sz w:val="19"/>
          <w:szCs w:val="19"/>
        </w:rPr>
        <w:t xml:space="preserve">OECD's </w:t>
      </w:r>
      <w:r w:rsidR="00860216" w:rsidRPr="00753557">
        <w:rPr>
          <w:rFonts w:asciiTheme="minorHAnsi" w:hAnsiTheme="minorHAnsi" w:cstheme="minorHAnsi"/>
          <w:i/>
          <w:sz w:val="19"/>
          <w:szCs w:val="19"/>
        </w:rPr>
        <w:t>Education at a Glance 201</w:t>
      </w:r>
      <w:r w:rsidR="002D6941" w:rsidRPr="00753557">
        <w:rPr>
          <w:rFonts w:asciiTheme="minorHAnsi" w:hAnsiTheme="minorHAnsi" w:cstheme="minorHAnsi"/>
          <w:i/>
          <w:sz w:val="19"/>
          <w:szCs w:val="19"/>
        </w:rPr>
        <w:t>6</w:t>
      </w:r>
      <w:r w:rsidR="00347E13">
        <w:rPr>
          <w:rStyle w:val="FootnoteReference"/>
          <w:rFonts w:asciiTheme="minorHAnsi" w:hAnsiTheme="minorHAnsi" w:cstheme="minorHAnsi"/>
          <w:i/>
          <w:sz w:val="19"/>
          <w:szCs w:val="19"/>
        </w:rPr>
        <w:footnoteReference w:id="2"/>
      </w:r>
      <w:r w:rsidR="00FE2D67" w:rsidRPr="00753557">
        <w:rPr>
          <w:rFonts w:asciiTheme="minorHAnsi" w:hAnsiTheme="minorHAnsi" w:cstheme="minorHAnsi"/>
          <w:sz w:val="19"/>
          <w:szCs w:val="19"/>
        </w:rPr>
        <w:t xml:space="preserve"> </w:t>
      </w:r>
      <w:r w:rsidR="00C97395">
        <w:rPr>
          <w:rFonts w:asciiTheme="minorHAnsi" w:hAnsiTheme="minorHAnsi" w:cstheme="minorHAnsi"/>
          <w:sz w:val="19"/>
          <w:szCs w:val="19"/>
        </w:rPr>
        <w:t xml:space="preserve">provides a breakdown of countries </w:t>
      </w:r>
      <w:r w:rsidR="00F33ED7">
        <w:rPr>
          <w:rFonts w:asciiTheme="minorHAnsi" w:hAnsiTheme="minorHAnsi" w:cstheme="minorHAnsi"/>
          <w:sz w:val="19"/>
          <w:szCs w:val="19"/>
        </w:rPr>
        <w:t xml:space="preserve">in which </w:t>
      </w:r>
      <w:r w:rsidR="00C97395">
        <w:rPr>
          <w:rFonts w:asciiTheme="minorHAnsi" w:hAnsiTheme="minorHAnsi" w:cstheme="minorHAnsi"/>
          <w:sz w:val="19"/>
          <w:szCs w:val="19"/>
        </w:rPr>
        <w:t xml:space="preserve">international students choose to study. The OECD report </w:t>
      </w:r>
      <w:r w:rsidR="00B02015" w:rsidRPr="00753557">
        <w:rPr>
          <w:rFonts w:asciiTheme="minorHAnsi" w:hAnsiTheme="minorHAnsi" w:cstheme="minorHAnsi"/>
          <w:sz w:val="19"/>
          <w:szCs w:val="19"/>
        </w:rPr>
        <w:t>counts tertiary students</w:t>
      </w:r>
      <w:r w:rsidR="00D7777F" w:rsidRPr="00753557">
        <w:rPr>
          <w:rFonts w:asciiTheme="minorHAnsi" w:hAnsiTheme="minorHAnsi" w:cstheme="minorHAnsi"/>
          <w:sz w:val="19"/>
          <w:szCs w:val="19"/>
        </w:rPr>
        <w:t xml:space="preserve"> enrolled</w:t>
      </w:r>
      <w:r w:rsidR="00B02015" w:rsidRPr="00753557">
        <w:rPr>
          <w:rFonts w:asciiTheme="minorHAnsi" w:hAnsiTheme="minorHAnsi" w:cstheme="minorHAnsi"/>
          <w:sz w:val="19"/>
          <w:szCs w:val="19"/>
        </w:rPr>
        <w:t xml:space="preserve"> </w:t>
      </w:r>
      <w:r w:rsidR="00FE2D67" w:rsidRPr="00753557">
        <w:rPr>
          <w:rFonts w:asciiTheme="minorHAnsi" w:hAnsiTheme="minorHAnsi" w:cstheme="minorHAnsi"/>
          <w:sz w:val="19"/>
          <w:szCs w:val="19"/>
        </w:rPr>
        <w:t xml:space="preserve">in </w:t>
      </w:r>
      <w:r w:rsidR="00B02015" w:rsidRPr="00753557">
        <w:rPr>
          <w:rFonts w:asciiTheme="minorHAnsi" w:hAnsiTheme="minorHAnsi" w:cstheme="minorHAnsi"/>
          <w:sz w:val="19"/>
          <w:szCs w:val="19"/>
        </w:rPr>
        <w:t>higher education undergraduate and postgr</w:t>
      </w:r>
      <w:r w:rsidR="006F1B56">
        <w:rPr>
          <w:rFonts w:asciiTheme="minorHAnsi" w:hAnsiTheme="minorHAnsi" w:cstheme="minorHAnsi"/>
          <w:sz w:val="19"/>
          <w:szCs w:val="19"/>
        </w:rPr>
        <w:t xml:space="preserve">aduate programs up to PhD level and in vocational diploma programs, </w:t>
      </w:r>
      <w:r w:rsidR="002D77AF">
        <w:rPr>
          <w:rFonts w:asciiTheme="minorHAnsi" w:hAnsiTheme="minorHAnsi" w:cstheme="minorHAnsi"/>
          <w:sz w:val="19"/>
          <w:szCs w:val="19"/>
        </w:rPr>
        <w:t>provided</w:t>
      </w:r>
      <w:r w:rsidR="00B02015" w:rsidRPr="00753557">
        <w:rPr>
          <w:rFonts w:asciiTheme="minorHAnsi" w:hAnsiTheme="minorHAnsi" w:cstheme="minorHAnsi"/>
          <w:sz w:val="19"/>
          <w:szCs w:val="19"/>
        </w:rPr>
        <w:t xml:space="preserve"> those programs are</w:t>
      </w:r>
      <w:r w:rsidR="002D77AF">
        <w:rPr>
          <w:rFonts w:asciiTheme="minorHAnsi" w:hAnsiTheme="minorHAnsi" w:cstheme="minorHAnsi"/>
          <w:sz w:val="19"/>
          <w:szCs w:val="19"/>
        </w:rPr>
        <w:t xml:space="preserve"> </w:t>
      </w:r>
      <w:r w:rsidR="00B02015" w:rsidRPr="00753557">
        <w:rPr>
          <w:rFonts w:asciiTheme="minorHAnsi" w:hAnsiTheme="minorHAnsi" w:cstheme="minorHAnsi"/>
          <w:sz w:val="19"/>
          <w:szCs w:val="19"/>
        </w:rPr>
        <w:t>of at least two years duration.</w:t>
      </w:r>
      <w:r w:rsidR="009942B2" w:rsidRPr="00753557">
        <w:rPr>
          <w:rFonts w:asciiTheme="minorHAnsi" w:hAnsiTheme="minorHAnsi" w:cstheme="minorHAnsi"/>
          <w:sz w:val="19"/>
          <w:szCs w:val="19"/>
        </w:rPr>
        <w:t xml:space="preserve"> </w:t>
      </w:r>
      <w:r w:rsidR="005B764C" w:rsidRPr="00753557">
        <w:rPr>
          <w:rFonts w:asciiTheme="minorHAnsi" w:hAnsiTheme="minorHAnsi" w:cstheme="minorHAnsi"/>
          <w:sz w:val="19"/>
          <w:szCs w:val="19"/>
        </w:rPr>
        <w:t>Hence</w:t>
      </w:r>
      <w:r w:rsidR="0085431F" w:rsidRPr="00753557">
        <w:rPr>
          <w:rFonts w:asciiTheme="minorHAnsi" w:hAnsiTheme="minorHAnsi" w:cstheme="minorHAnsi"/>
          <w:sz w:val="19"/>
          <w:szCs w:val="19"/>
        </w:rPr>
        <w:t xml:space="preserve">, the OECD data is largely reflective of students studying for </w:t>
      </w:r>
      <w:r w:rsidR="0085431F" w:rsidRPr="00753557">
        <w:rPr>
          <w:rFonts w:asciiTheme="minorHAnsi" w:hAnsiTheme="minorHAnsi" w:cstheme="minorHAnsi"/>
          <w:b/>
          <w:sz w:val="19"/>
          <w:szCs w:val="19"/>
        </w:rPr>
        <w:t>full degrees</w:t>
      </w:r>
      <w:r w:rsidR="0085431F" w:rsidRPr="00753557">
        <w:rPr>
          <w:rFonts w:asciiTheme="minorHAnsi" w:hAnsiTheme="minorHAnsi" w:cstheme="minorHAnsi"/>
          <w:sz w:val="19"/>
          <w:szCs w:val="19"/>
        </w:rPr>
        <w:t xml:space="preserve"> in other countries and excludes a substantial number of internationally-mobile students who may be studying for </w:t>
      </w:r>
      <w:r w:rsidR="0085431F" w:rsidRPr="00753557">
        <w:rPr>
          <w:rFonts w:asciiTheme="minorHAnsi" w:hAnsiTheme="minorHAnsi" w:cstheme="minorHAnsi"/>
          <w:b/>
          <w:sz w:val="19"/>
          <w:szCs w:val="19"/>
        </w:rPr>
        <w:t>course credit</w:t>
      </w:r>
      <w:r w:rsidR="0085431F" w:rsidRPr="00753557">
        <w:rPr>
          <w:rFonts w:asciiTheme="minorHAnsi" w:hAnsiTheme="minorHAnsi" w:cstheme="minorHAnsi"/>
          <w:sz w:val="19"/>
          <w:szCs w:val="19"/>
        </w:rPr>
        <w:t xml:space="preserve"> in other countries through study abroad and student exchange programs</w:t>
      </w:r>
      <w:r w:rsidR="0085431F" w:rsidRPr="00E4657E">
        <w:rPr>
          <w:rFonts w:asciiTheme="minorHAnsi" w:hAnsiTheme="minorHAnsi" w:cstheme="minorHAnsi"/>
          <w:sz w:val="20"/>
        </w:rPr>
        <w:t>.</w:t>
      </w:r>
      <w:r w:rsidR="00FE2D67" w:rsidRPr="00E4657E">
        <w:rPr>
          <w:rFonts w:asciiTheme="minorHAnsi" w:hAnsiTheme="minorHAnsi" w:cstheme="minorHAnsi"/>
          <w:sz w:val="22"/>
          <w:szCs w:val="22"/>
        </w:rPr>
        <w:t xml:space="preserve"> </w:t>
      </w:r>
    </w:p>
    <w:p w:rsidR="00B50D38" w:rsidRPr="00753557" w:rsidRDefault="00B50D38" w:rsidP="002F29DB">
      <w:pPr>
        <w:pStyle w:val="Default"/>
        <w:tabs>
          <w:tab w:val="left" w:pos="5812"/>
          <w:tab w:val="left" w:pos="5954"/>
          <w:tab w:val="left" w:pos="6237"/>
        </w:tabs>
        <w:spacing w:after="120"/>
        <w:jc w:val="both"/>
        <w:rPr>
          <w:rFonts w:asciiTheme="minorHAnsi" w:hAnsiTheme="minorHAnsi" w:cstheme="minorHAnsi"/>
          <w:b/>
          <w:color w:val="000000" w:themeColor="text1"/>
          <w:sz w:val="19"/>
          <w:szCs w:val="19"/>
        </w:rPr>
      </w:pPr>
      <w:r w:rsidRPr="00753557">
        <w:rPr>
          <w:rFonts w:asciiTheme="minorHAnsi" w:hAnsiTheme="minorHAnsi" w:cstheme="minorHAnsi"/>
          <w:b/>
          <w:color w:val="000000" w:themeColor="text1"/>
          <w:sz w:val="19"/>
          <w:szCs w:val="19"/>
        </w:rPr>
        <w:t>Major destination countries</w:t>
      </w:r>
    </w:p>
    <w:p w:rsidR="00F33ED7" w:rsidRDefault="004F63D2" w:rsidP="001A597E">
      <w:pPr>
        <w:tabs>
          <w:tab w:val="left" w:pos="6379"/>
        </w:tabs>
        <w:rPr>
          <w:rFonts w:asciiTheme="minorHAnsi" w:hAnsiTheme="minorHAnsi" w:cstheme="minorHAnsi"/>
          <w:color w:val="000000"/>
          <w:sz w:val="19"/>
          <w:szCs w:val="19"/>
          <w:lang w:eastAsia="en-AU"/>
        </w:rPr>
      </w:pPr>
      <w:r w:rsidRPr="00753557">
        <w:rPr>
          <w:rFonts w:asciiTheme="minorHAnsi" w:hAnsiTheme="minorHAnsi" w:cstheme="minorHAnsi"/>
          <w:color w:val="000000"/>
          <w:sz w:val="19"/>
          <w:szCs w:val="19"/>
          <w:lang w:eastAsia="en-AU"/>
        </w:rPr>
        <w:t>The</w:t>
      </w:r>
      <w:r w:rsidR="00B50D38" w:rsidRPr="00753557">
        <w:rPr>
          <w:rFonts w:asciiTheme="minorHAnsi" w:hAnsiTheme="minorHAnsi" w:cstheme="minorHAnsi"/>
          <w:color w:val="000000"/>
          <w:sz w:val="19"/>
          <w:szCs w:val="19"/>
          <w:lang w:eastAsia="en-AU"/>
        </w:rPr>
        <w:t xml:space="preserve"> </w:t>
      </w:r>
      <w:r w:rsidR="00F33ED7">
        <w:rPr>
          <w:rFonts w:asciiTheme="minorHAnsi" w:hAnsiTheme="minorHAnsi" w:cstheme="minorHAnsi"/>
          <w:color w:val="000000"/>
          <w:sz w:val="19"/>
          <w:szCs w:val="19"/>
          <w:lang w:eastAsia="en-AU"/>
        </w:rPr>
        <w:t>USA</w:t>
      </w:r>
      <w:r w:rsidR="00837695" w:rsidRPr="00753557">
        <w:rPr>
          <w:rFonts w:asciiTheme="minorHAnsi" w:hAnsiTheme="minorHAnsi" w:cstheme="minorHAnsi"/>
          <w:color w:val="000000"/>
          <w:sz w:val="19"/>
          <w:szCs w:val="19"/>
          <w:lang w:eastAsia="en-AU"/>
        </w:rPr>
        <w:t xml:space="preserve"> hosted the </w:t>
      </w:r>
      <w:r w:rsidRPr="00753557">
        <w:rPr>
          <w:rFonts w:asciiTheme="minorHAnsi" w:hAnsiTheme="minorHAnsi" w:cstheme="minorHAnsi"/>
          <w:color w:val="000000"/>
          <w:sz w:val="19"/>
          <w:szCs w:val="19"/>
          <w:lang w:eastAsia="en-AU"/>
        </w:rPr>
        <w:t>largest number of international students</w:t>
      </w:r>
      <w:r w:rsidR="00837695" w:rsidRPr="00753557">
        <w:rPr>
          <w:rFonts w:asciiTheme="minorHAnsi" w:hAnsiTheme="minorHAnsi" w:cstheme="minorHAnsi"/>
          <w:color w:val="000000"/>
          <w:sz w:val="19"/>
          <w:szCs w:val="19"/>
          <w:lang w:eastAsia="en-AU"/>
        </w:rPr>
        <w:t xml:space="preserve"> </w:t>
      </w:r>
      <w:r w:rsidR="0062226F" w:rsidRPr="00753557">
        <w:rPr>
          <w:rFonts w:asciiTheme="minorHAnsi" w:hAnsiTheme="minorHAnsi" w:cstheme="minorHAnsi"/>
          <w:color w:val="000000"/>
          <w:sz w:val="19"/>
          <w:szCs w:val="19"/>
          <w:lang w:eastAsia="en-AU"/>
        </w:rPr>
        <w:t xml:space="preserve">with </w:t>
      </w:r>
      <w:r w:rsidR="002D6941" w:rsidRPr="00753557">
        <w:rPr>
          <w:rFonts w:asciiTheme="minorHAnsi" w:hAnsiTheme="minorHAnsi" w:cstheme="minorHAnsi"/>
          <w:color w:val="000000"/>
          <w:sz w:val="19"/>
          <w:szCs w:val="19"/>
          <w:lang w:eastAsia="en-AU"/>
        </w:rPr>
        <w:t>26</w:t>
      </w:r>
      <w:r w:rsidR="002D77AF">
        <w:rPr>
          <w:rFonts w:asciiTheme="minorHAnsi" w:hAnsiTheme="minorHAnsi" w:cstheme="minorHAnsi"/>
          <w:color w:val="000000"/>
          <w:sz w:val="19"/>
          <w:szCs w:val="19"/>
          <w:lang w:eastAsia="en-AU"/>
        </w:rPr>
        <w:t xml:space="preserve"> per cent</w:t>
      </w:r>
      <w:r w:rsidR="00837695" w:rsidRPr="00753557">
        <w:rPr>
          <w:rFonts w:asciiTheme="minorHAnsi" w:hAnsiTheme="minorHAnsi" w:cstheme="minorHAnsi"/>
          <w:color w:val="000000"/>
          <w:sz w:val="19"/>
          <w:szCs w:val="19"/>
          <w:lang w:eastAsia="en-AU"/>
        </w:rPr>
        <w:t xml:space="preserve"> enrolled</w:t>
      </w:r>
      <w:r w:rsidRPr="00753557">
        <w:rPr>
          <w:rFonts w:asciiTheme="minorHAnsi" w:hAnsiTheme="minorHAnsi" w:cstheme="minorHAnsi"/>
          <w:color w:val="000000"/>
          <w:sz w:val="19"/>
          <w:szCs w:val="19"/>
          <w:lang w:eastAsia="en-AU"/>
        </w:rPr>
        <w:t xml:space="preserve"> </w:t>
      </w:r>
      <w:r w:rsidR="00F22AFA" w:rsidRPr="00753557">
        <w:rPr>
          <w:rFonts w:asciiTheme="minorHAnsi" w:hAnsiTheme="minorHAnsi" w:cstheme="minorHAnsi"/>
          <w:color w:val="000000"/>
          <w:sz w:val="19"/>
          <w:szCs w:val="19"/>
          <w:lang w:eastAsia="en-AU"/>
        </w:rPr>
        <w:t xml:space="preserve">at the </w:t>
      </w:r>
      <w:r w:rsidR="009E4E19" w:rsidRPr="00753557">
        <w:rPr>
          <w:rFonts w:asciiTheme="minorHAnsi" w:hAnsiTheme="minorHAnsi" w:cstheme="minorHAnsi"/>
          <w:color w:val="000000"/>
          <w:sz w:val="19"/>
          <w:szCs w:val="19"/>
          <w:lang w:eastAsia="en-AU"/>
        </w:rPr>
        <w:t>tertiary</w:t>
      </w:r>
      <w:r w:rsidR="00F22AFA" w:rsidRPr="00753557">
        <w:rPr>
          <w:rFonts w:asciiTheme="minorHAnsi" w:hAnsiTheme="minorHAnsi" w:cstheme="minorHAnsi"/>
          <w:color w:val="000000"/>
          <w:sz w:val="19"/>
          <w:szCs w:val="19"/>
          <w:lang w:eastAsia="en-AU"/>
        </w:rPr>
        <w:t xml:space="preserve"> levels </w:t>
      </w:r>
      <w:r w:rsidR="00837695" w:rsidRPr="00753557">
        <w:rPr>
          <w:rFonts w:asciiTheme="minorHAnsi" w:hAnsiTheme="minorHAnsi" w:cstheme="minorHAnsi"/>
          <w:color w:val="000000"/>
          <w:sz w:val="19"/>
          <w:szCs w:val="19"/>
          <w:lang w:eastAsia="en-AU"/>
        </w:rPr>
        <w:t>in</w:t>
      </w:r>
      <w:r w:rsidR="00B50D38" w:rsidRPr="00753557">
        <w:rPr>
          <w:rFonts w:asciiTheme="minorHAnsi" w:hAnsiTheme="minorHAnsi" w:cstheme="minorHAnsi"/>
          <w:color w:val="000000"/>
          <w:sz w:val="19"/>
          <w:szCs w:val="19"/>
          <w:lang w:eastAsia="en-AU"/>
        </w:rPr>
        <w:t xml:space="preserve"> 201</w:t>
      </w:r>
      <w:r w:rsidR="002D6941" w:rsidRPr="00753557">
        <w:rPr>
          <w:rFonts w:asciiTheme="minorHAnsi" w:hAnsiTheme="minorHAnsi" w:cstheme="minorHAnsi"/>
          <w:color w:val="000000"/>
          <w:sz w:val="19"/>
          <w:szCs w:val="19"/>
          <w:lang w:eastAsia="en-AU"/>
        </w:rPr>
        <w:t>4</w:t>
      </w:r>
      <w:r w:rsidR="00B50D38" w:rsidRPr="00753557">
        <w:rPr>
          <w:rFonts w:asciiTheme="minorHAnsi" w:hAnsiTheme="minorHAnsi" w:cstheme="minorHAnsi"/>
          <w:color w:val="000000"/>
          <w:sz w:val="19"/>
          <w:szCs w:val="19"/>
          <w:lang w:eastAsia="en-AU"/>
        </w:rPr>
        <w:t>, followed by the United Kingdom (</w:t>
      </w:r>
      <w:r w:rsidR="009E4E19" w:rsidRPr="00753557">
        <w:rPr>
          <w:rFonts w:asciiTheme="minorHAnsi" w:hAnsiTheme="minorHAnsi" w:cstheme="minorHAnsi"/>
          <w:color w:val="000000"/>
          <w:sz w:val="19"/>
          <w:szCs w:val="19"/>
          <w:lang w:eastAsia="en-AU"/>
        </w:rPr>
        <w:t>13</w:t>
      </w:r>
      <w:r w:rsidR="00B50D38" w:rsidRPr="00753557">
        <w:rPr>
          <w:rFonts w:asciiTheme="minorHAnsi" w:hAnsiTheme="minorHAnsi" w:cstheme="minorHAnsi"/>
          <w:color w:val="000000"/>
          <w:sz w:val="19"/>
          <w:szCs w:val="19"/>
          <w:lang w:eastAsia="en-AU"/>
        </w:rPr>
        <w:t>%),</w:t>
      </w:r>
      <w:r w:rsidR="0057673C" w:rsidRPr="00753557">
        <w:rPr>
          <w:rFonts w:asciiTheme="minorHAnsi" w:hAnsiTheme="minorHAnsi" w:cstheme="minorHAnsi"/>
          <w:color w:val="000000"/>
          <w:sz w:val="19"/>
          <w:szCs w:val="19"/>
          <w:lang w:eastAsia="en-AU"/>
        </w:rPr>
        <w:t xml:space="preserve"> Australia (8%), </w:t>
      </w:r>
      <w:r w:rsidR="00F22AFA" w:rsidRPr="00753557">
        <w:rPr>
          <w:rFonts w:asciiTheme="minorHAnsi" w:hAnsiTheme="minorHAnsi" w:cstheme="minorHAnsi"/>
          <w:color w:val="000000"/>
          <w:sz w:val="19"/>
          <w:szCs w:val="19"/>
          <w:lang w:eastAsia="en-AU"/>
        </w:rPr>
        <w:t>France (</w:t>
      </w:r>
      <w:r w:rsidR="009E4E19" w:rsidRPr="00753557">
        <w:rPr>
          <w:rFonts w:asciiTheme="minorHAnsi" w:hAnsiTheme="minorHAnsi" w:cstheme="minorHAnsi"/>
          <w:color w:val="000000"/>
          <w:sz w:val="19"/>
          <w:szCs w:val="19"/>
          <w:lang w:eastAsia="en-AU"/>
        </w:rPr>
        <w:t>7%) and Germany (</w:t>
      </w:r>
      <w:r w:rsidR="006D2F6F">
        <w:rPr>
          <w:rFonts w:asciiTheme="minorHAnsi" w:hAnsiTheme="minorHAnsi" w:cstheme="minorHAnsi"/>
          <w:color w:val="000000"/>
          <w:sz w:val="19"/>
          <w:szCs w:val="19"/>
          <w:lang w:eastAsia="en-AU"/>
        </w:rPr>
        <w:t>7</w:t>
      </w:r>
      <w:r w:rsidR="00F22AFA" w:rsidRPr="00753557">
        <w:rPr>
          <w:rFonts w:asciiTheme="minorHAnsi" w:hAnsiTheme="minorHAnsi" w:cstheme="minorHAnsi"/>
          <w:color w:val="000000"/>
          <w:sz w:val="19"/>
          <w:szCs w:val="19"/>
          <w:lang w:eastAsia="en-AU"/>
        </w:rPr>
        <w:t>%)</w:t>
      </w:r>
      <w:r w:rsidR="0062226F" w:rsidRPr="00753557">
        <w:rPr>
          <w:rFonts w:asciiTheme="minorHAnsi" w:hAnsiTheme="minorHAnsi" w:cstheme="minorHAnsi"/>
          <w:color w:val="000000"/>
          <w:sz w:val="19"/>
          <w:szCs w:val="19"/>
          <w:lang w:eastAsia="en-AU"/>
        </w:rPr>
        <w:t xml:space="preserve">. </w:t>
      </w:r>
      <w:r w:rsidR="00D01331" w:rsidRPr="00753557">
        <w:rPr>
          <w:rFonts w:asciiTheme="minorHAnsi" w:hAnsiTheme="minorHAnsi" w:cstheme="minorHAnsi"/>
          <w:color w:val="000000"/>
          <w:sz w:val="19"/>
          <w:szCs w:val="19"/>
          <w:lang w:eastAsia="en-AU"/>
        </w:rPr>
        <w:t xml:space="preserve"> </w:t>
      </w:r>
    </w:p>
    <w:p w:rsidR="00D01331" w:rsidRPr="00E4657E" w:rsidRDefault="00F33ED7" w:rsidP="001A597E">
      <w:pPr>
        <w:tabs>
          <w:tab w:val="left" w:pos="6379"/>
        </w:tabs>
        <w:rPr>
          <w:rFonts w:asciiTheme="minorHAnsi" w:hAnsiTheme="minorHAnsi" w:cstheme="minorHAnsi"/>
          <w:color w:val="000000"/>
          <w:sz w:val="20"/>
          <w:lang w:eastAsia="en-AU"/>
        </w:rPr>
      </w:pPr>
      <w:r>
        <w:rPr>
          <w:noProof/>
          <w:lang w:eastAsia="en-AU"/>
        </w:rPr>
        <w:drawing>
          <wp:anchor distT="0" distB="0" distL="114300" distR="114300" simplePos="0" relativeHeight="251691008" behindDoc="0" locked="0" layoutInCell="1" allowOverlap="1" wp14:anchorId="5FA4F624" wp14:editId="5683ADC6">
            <wp:simplePos x="0" y="0"/>
            <wp:positionH relativeFrom="column">
              <wp:posOffset>3712845</wp:posOffset>
            </wp:positionH>
            <wp:positionV relativeFrom="paragraph">
              <wp:posOffset>203200</wp:posOffset>
            </wp:positionV>
            <wp:extent cx="3146425" cy="2181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46425" cy="2181225"/>
                    </a:xfrm>
                    <a:prstGeom prst="rect">
                      <a:avLst/>
                    </a:prstGeom>
                  </pic:spPr>
                </pic:pic>
              </a:graphicData>
            </a:graphic>
            <wp14:sizeRelH relativeFrom="page">
              <wp14:pctWidth>0</wp14:pctWidth>
            </wp14:sizeRelH>
            <wp14:sizeRelV relativeFrom="page">
              <wp14:pctHeight>0</wp14:pctHeight>
            </wp14:sizeRelV>
          </wp:anchor>
        </w:drawing>
      </w:r>
      <w:r w:rsidR="0062226F" w:rsidRPr="00753557">
        <w:rPr>
          <w:rFonts w:asciiTheme="minorHAnsi" w:hAnsiTheme="minorHAnsi" w:cstheme="minorHAnsi"/>
          <w:color w:val="000000"/>
          <w:sz w:val="19"/>
          <w:szCs w:val="19"/>
          <w:lang w:eastAsia="en-AU"/>
        </w:rPr>
        <w:t>Together</w:t>
      </w:r>
      <w:r w:rsidR="00B50D38" w:rsidRPr="00753557">
        <w:rPr>
          <w:rFonts w:asciiTheme="minorHAnsi" w:hAnsiTheme="minorHAnsi" w:cstheme="minorHAnsi"/>
          <w:color w:val="000000"/>
          <w:sz w:val="19"/>
          <w:szCs w:val="19"/>
          <w:lang w:eastAsia="en-AU"/>
        </w:rPr>
        <w:t xml:space="preserve"> these top </w:t>
      </w:r>
      <w:r w:rsidR="00F22AFA" w:rsidRPr="00753557">
        <w:rPr>
          <w:rFonts w:asciiTheme="minorHAnsi" w:hAnsiTheme="minorHAnsi" w:cstheme="minorHAnsi"/>
          <w:color w:val="000000"/>
          <w:sz w:val="19"/>
          <w:szCs w:val="19"/>
          <w:lang w:eastAsia="en-AU"/>
        </w:rPr>
        <w:t>five</w:t>
      </w:r>
      <w:r w:rsidR="00B50D38" w:rsidRPr="00753557">
        <w:rPr>
          <w:rFonts w:asciiTheme="minorHAnsi" w:hAnsiTheme="minorHAnsi" w:cstheme="minorHAnsi"/>
          <w:color w:val="000000"/>
          <w:sz w:val="19"/>
          <w:szCs w:val="19"/>
          <w:lang w:eastAsia="en-AU"/>
        </w:rPr>
        <w:t xml:space="preserve"> destination countries </w:t>
      </w:r>
      <w:r w:rsidR="00D01331" w:rsidRPr="00753557">
        <w:rPr>
          <w:rFonts w:asciiTheme="minorHAnsi" w:hAnsiTheme="minorHAnsi" w:cstheme="minorHAnsi"/>
          <w:color w:val="000000"/>
          <w:sz w:val="19"/>
          <w:szCs w:val="19"/>
          <w:lang w:eastAsia="en-AU"/>
        </w:rPr>
        <w:t>hosted</w:t>
      </w:r>
      <w:r w:rsidR="00B50D38" w:rsidRPr="00753557">
        <w:rPr>
          <w:rFonts w:asciiTheme="minorHAnsi" w:hAnsiTheme="minorHAnsi" w:cstheme="minorHAnsi"/>
          <w:color w:val="000000"/>
          <w:sz w:val="19"/>
          <w:szCs w:val="19"/>
          <w:lang w:eastAsia="en-AU"/>
        </w:rPr>
        <w:t xml:space="preserve"> </w:t>
      </w:r>
      <w:r w:rsidR="006D2F6F">
        <w:rPr>
          <w:rFonts w:asciiTheme="minorHAnsi" w:hAnsiTheme="minorHAnsi" w:cstheme="minorHAnsi"/>
          <w:color w:val="000000"/>
          <w:sz w:val="19"/>
          <w:szCs w:val="19"/>
          <w:lang w:eastAsia="en-AU"/>
        </w:rPr>
        <w:t>almost</w:t>
      </w:r>
      <w:r w:rsidR="00B50D38" w:rsidRPr="00753557">
        <w:rPr>
          <w:rFonts w:asciiTheme="minorHAnsi" w:hAnsiTheme="minorHAnsi" w:cstheme="minorHAnsi"/>
          <w:color w:val="000000"/>
          <w:sz w:val="19"/>
          <w:szCs w:val="19"/>
          <w:lang w:eastAsia="en-AU"/>
        </w:rPr>
        <w:t xml:space="preserve"> </w:t>
      </w:r>
      <w:r w:rsidR="00F22AFA" w:rsidRPr="00753557">
        <w:rPr>
          <w:rFonts w:asciiTheme="minorHAnsi" w:hAnsiTheme="minorHAnsi" w:cstheme="minorHAnsi"/>
          <w:color w:val="000000"/>
          <w:sz w:val="19"/>
          <w:szCs w:val="19"/>
          <w:lang w:eastAsia="en-AU"/>
        </w:rPr>
        <w:t xml:space="preserve">two-thirds </w:t>
      </w:r>
      <w:r w:rsidR="00B50D38" w:rsidRPr="00753557">
        <w:rPr>
          <w:rFonts w:asciiTheme="minorHAnsi" w:hAnsiTheme="minorHAnsi" w:cstheme="minorHAnsi"/>
          <w:color w:val="000000"/>
          <w:sz w:val="19"/>
          <w:szCs w:val="19"/>
          <w:lang w:eastAsia="en-AU"/>
        </w:rPr>
        <w:t xml:space="preserve">of all </w:t>
      </w:r>
      <w:r w:rsidR="00493153" w:rsidRPr="00753557">
        <w:rPr>
          <w:rFonts w:asciiTheme="minorHAnsi" w:hAnsiTheme="minorHAnsi" w:cstheme="minorHAnsi"/>
          <w:color w:val="000000"/>
          <w:sz w:val="19"/>
          <w:szCs w:val="19"/>
          <w:lang w:eastAsia="en-AU"/>
        </w:rPr>
        <w:t xml:space="preserve">international </w:t>
      </w:r>
      <w:r w:rsidR="00D01331" w:rsidRPr="00753557">
        <w:rPr>
          <w:rFonts w:asciiTheme="minorHAnsi" w:hAnsiTheme="minorHAnsi" w:cstheme="minorHAnsi"/>
          <w:color w:val="000000"/>
          <w:sz w:val="19"/>
          <w:szCs w:val="19"/>
          <w:lang w:eastAsia="en-AU"/>
        </w:rPr>
        <w:t xml:space="preserve">tertiary </w:t>
      </w:r>
      <w:r w:rsidR="00B953BE" w:rsidRPr="00753557">
        <w:rPr>
          <w:rFonts w:asciiTheme="minorHAnsi" w:hAnsiTheme="minorHAnsi" w:cstheme="minorHAnsi"/>
          <w:color w:val="000000"/>
          <w:sz w:val="19"/>
          <w:szCs w:val="19"/>
          <w:lang w:eastAsia="en-AU"/>
        </w:rPr>
        <w:t xml:space="preserve">students </w:t>
      </w:r>
      <w:r w:rsidR="00F22AFA" w:rsidRPr="00753557">
        <w:rPr>
          <w:rFonts w:asciiTheme="minorHAnsi" w:hAnsiTheme="minorHAnsi" w:cstheme="minorHAnsi"/>
          <w:color w:val="000000"/>
          <w:sz w:val="19"/>
          <w:szCs w:val="19"/>
          <w:lang w:eastAsia="en-AU"/>
        </w:rPr>
        <w:t xml:space="preserve">pursuing their </w:t>
      </w:r>
      <w:r w:rsidR="009E4E19" w:rsidRPr="00753557">
        <w:rPr>
          <w:rFonts w:asciiTheme="minorHAnsi" w:hAnsiTheme="minorHAnsi" w:cstheme="minorHAnsi"/>
          <w:color w:val="000000"/>
          <w:sz w:val="19"/>
          <w:szCs w:val="19"/>
          <w:lang w:eastAsia="en-AU"/>
        </w:rPr>
        <w:t>tertiary level</w:t>
      </w:r>
      <w:r w:rsidR="00F22AFA" w:rsidRPr="00753557">
        <w:rPr>
          <w:rFonts w:asciiTheme="minorHAnsi" w:hAnsiTheme="minorHAnsi" w:cstheme="minorHAnsi"/>
          <w:color w:val="000000"/>
          <w:sz w:val="19"/>
          <w:szCs w:val="19"/>
          <w:lang w:eastAsia="en-AU"/>
        </w:rPr>
        <w:t xml:space="preserve"> studies abroad </w:t>
      </w:r>
      <w:r w:rsidR="00B50D38" w:rsidRPr="00753557">
        <w:rPr>
          <w:rFonts w:asciiTheme="minorHAnsi" w:hAnsiTheme="minorHAnsi" w:cstheme="minorHAnsi"/>
          <w:color w:val="000000"/>
          <w:sz w:val="19"/>
          <w:szCs w:val="19"/>
          <w:lang w:eastAsia="en-AU"/>
        </w:rPr>
        <w:t>in 201</w:t>
      </w:r>
      <w:r w:rsidR="00F22AFA" w:rsidRPr="00753557">
        <w:rPr>
          <w:rFonts w:asciiTheme="minorHAnsi" w:hAnsiTheme="minorHAnsi" w:cstheme="minorHAnsi"/>
          <w:color w:val="000000"/>
          <w:sz w:val="19"/>
          <w:szCs w:val="19"/>
          <w:lang w:eastAsia="en-AU"/>
        </w:rPr>
        <w:t>4</w:t>
      </w:r>
      <w:r w:rsidR="00B50D38" w:rsidRPr="00753557">
        <w:rPr>
          <w:rFonts w:asciiTheme="minorHAnsi" w:hAnsiTheme="minorHAnsi" w:cstheme="minorHAnsi"/>
          <w:color w:val="000000"/>
          <w:sz w:val="19"/>
          <w:szCs w:val="19"/>
          <w:lang w:eastAsia="en-AU"/>
        </w:rPr>
        <w:t xml:space="preserve"> (Figure </w:t>
      </w:r>
      <w:r w:rsidR="002D586C" w:rsidRPr="00753557">
        <w:rPr>
          <w:rFonts w:asciiTheme="minorHAnsi" w:hAnsiTheme="minorHAnsi" w:cstheme="minorHAnsi"/>
          <w:color w:val="000000"/>
          <w:sz w:val="19"/>
          <w:szCs w:val="19"/>
          <w:lang w:eastAsia="en-AU"/>
        </w:rPr>
        <w:t>1</w:t>
      </w:r>
      <w:r w:rsidR="00B50D38" w:rsidRPr="00753557">
        <w:rPr>
          <w:rFonts w:asciiTheme="minorHAnsi" w:hAnsiTheme="minorHAnsi" w:cstheme="minorHAnsi"/>
          <w:color w:val="000000"/>
          <w:sz w:val="19"/>
          <w:szCs w:val="19"/>
          <w:lang w:eastAsia="en-AU"/>
        </w:rPr>
        <w:t>)</w:t>
      </w:r>
      <w:r w:rsidR="007E10B4" w:rsidRPr="007E10B4">
        <w:rPr>
          <w:rFonts w:asciiTheme="minorHAnsi" w:hAnsiTheme="minorHAnsi" w:cstheme="minorHAnsi"/>
          <w:color w:val="000000"/>
          <w:sz w:val="19"/>
          <w:szCs w:val="19"/>
          <w:vertAlign w:val="superscript"/>
          <w:lang w:eastAsia="en-AU"/>
        </w:rPr>
        <w:t>3</w:t>
      </w:r>
      <w:r w:rsidR="00B50D38" w:rsidRPr="0057673C">
        <w:rPr>
          <w:rFonts w:asciiTheme="minorHAnsi" w:hAnsiTheme="minorHAnsi" w:cstheme="minorHAnsi"/>
          <w:color w:val="000000"/>
          <w:sz w:val="20"/>
          <w:lang w:eastAsia="en-AU"/>
        </w:rPr>
        <w:t>.</w:t>
      </w:r>
      <w:r w:rsidR="00B50D38" w:rsidRPr="00E4657E">
        <w:rPr>
          <w:rFonts w:asciiTheme="minorHAnsi" w:hAnsiTheme="minorHAnsi" w:cstheme="minorHAnsi"/>
          <w:color w:val="000000"/>
          <w:sz w:val="20"/>
          <w:lang w:eastAsia="en-AU"/>
        </w:rPr>
        <w:t xml:space="preserve"> </w:t>
      </w:r>
    </w:p>
    <w:p w:rsidR="001A09A1" w:rsidRPr="00E4657E" w:rsidRDefault="001A09A1" w:rsidP="001A597E">
      <w:pPr>
        <w:tabs>
          <w:tab w:val="left" w:pos="6379"/>
        </w:tabs>
        <w:rPr>
          <w:rFonts w:asciiTheme="minorHAnsi" w:hAnsiTheme="minorHAnsi" w:cstheme="minorHAnsi"/>
          <w:color w:val="000000"/>
          <w:sz w:val="20"/>
          <w:lang w:eastAsia="en-AU"/>
        </w:rPr>
      </w:pPr>
    </w:p>
    <w:p w:rsidR="008628D3" w:rsidRDefault="00B50D38" w:rsidP="008628D3">
      <w:pPr>
        <w:pStyle w:val="Default"/>
        <w:tabs>
          <w:tab w:val="left" w:pos="5812"/>
          <w:tab w:val="left" w:pos="5954"/>
        </w:tabs>
        <w:jc w:val="both"/>
        <w:rPr>
          <w:rFonts w:asciiTheme="minorHAnsi" w:hAnsiTheme="minorHAnsi" w:cstheme="minorHAnsi"/>
          <w:color w:val="auto"/>
          <w:sz w:val="20"/>
          <w:szCs w:val="20"/>
          <w:lang w:eastAsia="en-US"/>
        </w:rPr>
      </w:pPr>
      <w:r w:rsidRPr="00753557">
        <w:rPr>
          <w:rFonts w:asciiTheme="minorHAnsi" w:hAnsiTheme="minorHAnsi" w:cstheme="minorHAnsi"/>
          <w:sz w:val="19"/>
          <w:szCs w:val="19"/>
        </w:rPr>
        <w:t xml:space="preserve">The share of </w:t>
      </w:r>
      <w:r w:rsidR="00493153" w:rsidRPr="00753557">
        <w:rPr>
          <w:rFonts w:asciiTheme="minorHAnsi" w:hAnsiTheme="minorHAnsi" w:cstheme="minorHAnsi"/>
          <w:sz w:val="19"/>
          <w:szCs w:val="19"/>
        </w:rPr>
        <w:t xml:space="preserve">international </w:t>
      </w:r>
      <w:r w:rsidRPr="00753557">
        <w:rPr>
          <w:rFonts w:asciiTheme="minorHAnsi" w:hAnsiTheme="minorHAnsi" w:cstheme="minorHAnsi"/>
          <w:sz w:val="19"/>
          <w:szCs w:val="19"/>
        </w:rPr>
        <w:t xml:space="preserve">students who chose the </w:t>
      </w:r>
      <w:r w:rsidR="00F33ED7">
        <w:rPr>
          <w:rFonts w:asciiTheme="minorHAnsi" w:hAnsiTheme="minorHAnsi" w:cstheme="minorHAnsi"/>
          <w:sz w:val="19"/>
          <w:szCs w:val="19"/>
        </w:rPr>
        <w:t>USA</w:t>
      </w:r>
      <w:r w:rsidRPr="00753557">
        <w:rPr>
          <w:rFonts w:asciiTheme="minorHAnsi" w:hAnsiTheme="minorHAnsi" w:cstheme="minorHAnsi"/>
          <w:sz w:val="19"/>
          <w:szCs w:val="19"/>
        </w:rPr>
        <w:t xml:space="preserve"> as their destination </w:t>
      </w:r>
      <w:r w:rsidR="00D01331" w:rsidRPr="00753557">
        <w:rPr>
          <w:rFonts w:asciiTheme="minorHAnsi" w:hAnsiTheme="minorHAnsi" w:cstheme="minorHAnsi"/>
          <w:sz w:val="19"/>
          <w:szCs w:val="19"/>
        </w:rPr>
        <w:t>h</w:t>
      </w:r>
      <w:r w:rsidR="00B953BE" w:rsidRPr="00753557">
        <w:rPr>
          <w:rFonts w:asciiTheme="minorHAnsi" w:hAnsiTheme="minorHAnsi" w:cstheme="minorHAnsi"/>
          <w:sz w:val="19"/>
          <w:szCs w:val="19"/>
        </w:rPr>
        <w:t xml:space="preserve">as </w:t>
      </w:r>
      <w:r w:rsidR="00DD482B" w:rsidRPr="00753557">
        <w:rPr>
          <w:rFonts w:asciiTheme="minorHAnsi" w:hAnsiTheme="minorHAnsi" w:cstheme="minorHAnsi"/>
          <w:sz w:val="19"/>
          <w:szCs w:val="19"/>
        </w:rPr>
        <w:t xml:space="preserve">been </w:t>
      </w:r>
      <w:r w:rsidR="00B953BE" w:rsidRPr="00753557">
        <w:rPr>
          <w:rFonts w:asciiTheme="minorHAnsi" w:hAnsiTheme="minorHAnsi" w:cstheme="minorHAnsi"/>
          <w:sz w:val="19"/>
          <w:szCs w:val="19"/>
        </w:rPr>
        <w:t>declin</w:t>
      </w:r>
      <w:r w:rsidR="00DD482B" w:rsidRPr="00753557">
        <w:rPr>
          <w:rFonts w:asciiTheme="minorHAnsi" w:hAnsiTheme="minorHAnsi" w:cstheme="minorHAnsi"/>
          <w:sz w:val="19"/>
          <w:szCs w:val="19"/>
        </w:rPr>
        <w:t>ing</w:t>
      </w:r>
      <w:r w:rsidR="00B953BE" w:rsidRPr="00753557">
        <w:rPr>
          <w:rFonts w:asciiTheme="minorHAnsi" w:hAnsiTheme="minorHAnsi" w:cstheme="minorHAnsi"/>
          <w:sz w:val="19"/>
          <w:szCs w:val="19"/>
        </w:rPr>
        <w:t xml:space="preserve"> since 2000 (Figure 2</w:t>
      </w:r>
      <w:r w:rsidR="00D01331" w:rsidRPr="00753557">
        <w:rPr>
          <w:rFonts w:asciiTheme="minorHAnsi" w:hAnsiTheme="minorHAnsi" w:cstheme="minorHAnsi"/>
          <w:sz w:val="19"/>
          <w:szCs w:val="19"/>
        </w:rPr>
        <w:t xml:space="preserve">) due to the growing prominence of other study destinations, including Australia. </w:t>
      </w:r>
      <w:r w:rsidR="00F33ED7">
        <w:rPr>
          <w:rFonts w:asciiTheme="minorHAnsi" w:hAnsiTheme="minorHAnsi" w:cstheme="minorHAnsi"/>
          <w:sz w:val="19"/>
          <w:szCs w:val="19"/>
        </w:rPr>
        <w:t>However</w:t>
      </w:r>
      <w:r w:rsidR="00D01331" w:rsidRPr="00753557">
        <w:rPr>
          <w:rFonts w:asciiTheme="minorHAnsi" w:hAnsiTheme="minorHAnsi" w:cstheme="minorHAnsi"/>
          <w:sz w:val="19"/>
          <w:szCs w:val="19"/>
        </w:rPr>
        <w:t xml:space="preserve">, </w:t>
      </w:r>
      <w:r w:rsidR="00AE4429" w:rsidRPr="00753557">
        <w:rPr>
          <w:rFonts w:asciiTheme="minorHAnsi" w:hAnsiTheme="minorHAnsi" w:cstheme="minorHAnsi"/>
          <w:sz w:val="19"/>
          <w:szCs w:val="19"/>
        </w:rPr>
        <w:t xml:space="preserve">recent strong growth in students studying in the US has seen its global share grow </w:t>
      </w:r>
      <w:r w:rsidRPr="00753557">
        <w:rPr>
          <w:rFonts w:asciiTheme="minorHAnsi" w:hAnsiTheme="minorHAnsi" w:cstheme="minorHAnsi"/>
          <w:sz w:val="19"/>
          <w:szCs w:val="19"/>
        </w:rPr>
        <w:t xml:space="preserve">to </w:t>
      </w:r>
      <w:r w:rsidR="009E4E19" w:rsidRPr="00753557">
        <w:rPr>
          <w:rFonts w:asciiTheme="minorHAnsi" w:hAnsiTheme="minorHAnsi" w:cstheme="minorHAnsi"/>
          <w:sz w:val="19"/>
          <w:szCs w:val="19"/>
        </w:rPr>
        <w:t>26</w:t>
      </w:r>
      <w:r w:rsidR="002D77AF">
        <w:rPr>
          <w:rFonts w:asciiTheme="minorHAnsi" w:hAnsiTheme="minorHAnsi" w:cstheme="minorHAnsi"/>
          <w:sz w:val="19"/>
          <w:szCs w:val="19"/>
        </w:rPr>
        <w:t xml:space="preserve"> per cent</w:t>
      </w:r>
      <w:r w:rsidRPr="00753557">
        <w:rPr>
          <w:rFonts w:asciiTheme="minorHAnsi" w:hAnsiTheme="minorHAnsi" w:cstheme="minorHAnsi"/>
          <w:sz w:val="19"/>
          <w:szCs w:val="19"/>
        </w:rPr>
        <w:t xml:space="preserve"> (</w:t>
      </w:r>
      <w:r w:rsidR="009E4E19" w:rsidRPr="00753557">
        <w:rPr>
          <w:rFonts w:asciiTheme="minorHAnsi" w:hAnsiTheme="minorHAnsi" w:cstheme="minorHAnsi"/>
          <w:sz w:val="19"/>
          <w:szCs w:val="19"/>
        </w:rPr>
        <w:t>842,384</w:t>
      </w:r>
      <w:r w:rsidR="00B953BE" w:rsidRPr="00753557">
        <w:rPr>
          <w:rFonts w:asciiTheme="minorHAnsi" w:hAnsiTheme="minorHAnsi" w:cstheme="minorHAnsi"/>
          <w:sz w:val="19"/>
          <w:szCs w:val="19"/>
        </w:rPr>
        <w:t xml:space="preserve"> students</w:t>
      </w:r>
      <w:r w:rsidRPr="00753557">
        <w:rPr>
          <w:rFonts w:asciiTheme="minorHAnsi" w:hAnsiTheme="minorHAnsi" w:cstheme="minorHAnsi"/>
          <w:sz w:val="19"/>
          <w:szCs w:val="19"/>
        </w:rPr>
        <w:t>) in 201</w:t>
      </w:r>
      <w:r w:rsidR="009E4E19" w:rsidRPr="00753557">
        <w:rPr>
          <w:rFonts w:asciiTheme="minorHAnsi" w:hAnsiTheme="minorHAnsi" w:cstheme="minorHAnsi"/>
          <w:sz w:val="19"/>
          <w:szCs w:val="19"/>
        </w:rPr>
        <w:t>4</w:t>
      </w:r>
      <w:r w:rsidRPr="00753557">
        <w:rPr>
          <w:rFonts w:asciiTheme="minorHAnsi" w:hAnsiTheme="minorHAnsi" w:cstheme="minorHAnsi"/>
          <w:sz w:val="19"/>
          <w:szCs w:val="19"/>
        </w:rPr>
        <w:t xml:space="preserve">. During the same period, Australia’s share increased </w:t>
      </w:r>
      <w:r w:rsidR="00B90C51" w:rsidRPr="00753557">
        <w:rPr>
          <w:rFonts w:asciiTheme="minorHAnsi" w:hAnsiTheme="minorHAnsi" w:cstheme="minorHAnsi"/>
          <w:sz w:val="19"/>
          <w:szCs w:val="19"/>
        </w:rPr>
        <w:t xml:space="preserve">to </w:t>
      </w:r>
      <w:r w:rsidR="00DE6C69" w:rsidRPr="00753557">
        <w:rPr>
          <w:rFonts w:asciiTheme="minorHAnsi" w:hAnsiTheme="minorHAnsi" w:cstheme="minorHAnsi"/>
          <w:sz w:val="19"/>
          <w:szCs w:val="19"/>
        </w:rPr>
        <w:t>8</w:t>
      </w:r>
      <w:r w:rsidR="002D77AF">
        <w:rPr>
          <w:rFonts w:asciiTheme="minorHAnsi" w:hAnsiTheme="minorHAnsi" w:cstheme="minorHAnsi"/>
          <w:sz w:val="19"/>
          <w:szCs w:val="19"/>
        </w:rPr>
        <w:t xml:space="preserve"> per cent</w:t>
      </w:r>
      <w:r w:rsidR="00B90C51" w:rsidRPr="00753557">
        <w:rPr>
          <w:rFonts w:asciiTheme="minorHAnsi" w:hAnsiTheme="minorHAnsi" w:cstheme="minorHAnsi"/>
          <w:sz w:val="19"/>
          <w:szCs w:val="19"/>
        </w:rPr>
        <w:t xml:space="preserve"> (</w:t>
      </w:r>
      <w:r w:rsidR="00DE6C69" w:rsidRPr="00753557">
        <w:rPr>
          <w:rFonts w:asciiTheme="minorHAnsi" w:hAnsiTheme="minorHAnsi" w:cstheme="minorHAnsi"/>
          <w:sz w:val="19"/>
          <w:szCs w:val="19"/>
        </w:rPr>
        <w:t>266,048</w:t>
      </w:r>
      <w:r w:rsidR="00B953BE" w:rsidRPr="00753557">
        <w:rPr>
          <w:rFonts w:asciiTheme="minorHAnsi" w:hAnsiTheme="minorHAnsi" w:cstheme="minorHAnsi"/>
          <w:sz w:val="19"/>
          <w:szCs w:val="19"/>
        </w:rPr>
        <w:t xml:space="preserve"> students</w:t>
      </w:r>
      <w:r w:rsidRPr="00753557">
        <w:rPr>
          <w:rFonts w:asciiTheme="minorHAnsi" w:hAnsiTheme="minorHAnsi" w:cstheme="minorHAnsi"/>
          <w:sz w:val="19"/>
          <w:szCs w:val="19"/>
        </w:rPr>
        <w:t>)</w:t>
      </w:r>
      <w:r w:rsidR="00AE4429" w:rsidRPr="00753557">
        <w:rPr>
          <w:rFonts w:asciiTheme="minorHAnsi" w:hAnsiTheme="minorHAnsi" w:cstheme="minorHAnsi"/>
          <w:sz w:val="19"/>
          <w:szCs w:val="19"/>
        </w:rPr>
        <w:t xml:space="preserve"> in 201</w:t>
      </w:r>
      <w:r w:rsidR="00DE6C69" w:rsidRPr="00753557">
        <w:rPr>
          <w:rFonts w:asciiTheme="minorHAnsi" w:hAnsiTheme="minorHAnsi" w:cstheme="minorHAnsi"/>
          <w:sz w:val="19"/>
          <w:szCs w:val="19"/>
        </w:rPr>
        <w:t>4</w:t>
      </w:r>
      <w:r w:rsidR="006F1B56">
        <w:rPr>
          <w:rStyle w:val="FootnoteReference"/>
          <w:rFonts w:asciiTheme="minorHAnsi" w:hAnsiTheme="minorHAnsi" w:cstheme="minorHAnsi"/>
          <w:sz w:val="19"/>
          <w:szCs w:val="19"/>
        </w:rPr>
        <w:footnoteReference w:id="3"/>
      </w:r>
      <w:r w:rsidR="0051607D">
        <w:rPr>
          <w:rFonts w:asciiTheme="minorHAnsi" w:hAnsiTheme="minorHAnsi" w:cstheme="minorHAnsi"/>
          <w:sz w:val="20"/>
        </w:rPr>
        <w:t>.</w:t>
      </w:r>
      <w:r w:rsidR="008628D3" w:rsidRPr="008628D3">
        <w:rPr>
          <w:rFonts w:asciiTheme="minorHAnsi" w:hAnsiTheme="minorHAnsi" w:cstheme="minorHAnsi"/>
          <w:color w:val="auto"/>
          <w:sz w:val="20"/>
          <w:szCs w:val="20"/>
          <w:lang w:eastAsia="en-US"/>
        </w:rPr>
        <w:t xml:space="preserve"> </w:t>
      </w:r>
    </w:p>
    <w:p w:rsidR="008628D3" w:rsidRDefault="008628D3" w:rsidP="008628D3">
      <w:pPr>
        <w:pStyle w:val="Default"/>
        <w:tabs>
          <w:tab w:val="left" w:pos="5812"/>
          <w:tab w:val="left" w:pos="5954"/>
        </w:tabs>
        <w:jc w:val="both"/>
        <w:rPr>
          <w:rFonts w:asciiTheme="minorHAnsi" w:hAnsiTheme="minorHAnsi" w:cstheme="minorHAnsi"/>
          <w:color w:val="auto"/>
          <w:sz w:val="20"/>
          <w:szCs w:val="20"/>
          <w:lang w:eastAsia="en-US"/>
        </w:rPr>
      </w:pPr>
    </w:p>
    <w:p w:rsidR="008628D3" w:rsidRPr="00753557" w:rsidRDefault="00751224" w:rsidP="008628D3">
      <w:pPr>
        <w:pStyle w:val="Default"/>
        <w:tabs>
          <w:tab w:val="left" w:pos="5812"/>
          <w:tab w:val="left" w:pos="5954"/>
        </w:tabs>
        <w:jc w:val="both"/>
        <w:rPr>
          <w:rFonts w:asciiTheme="minorHAnsi" w:hAnsiTheme="minorHAnsi" w:cstheme="minorHAnsi"/>
          <w:color w:val="auto"/>
          <w:sz w:val="19"/>
          <w:szCs w:val="19"/>
          <w:lang w:eastAsia="en-US"/>
        </w:rPr>
      </w:pPr>
      <w:r>
        <w:rPr>
          <w:noProof/>
        </w:rPr>
        <w:drawing>
          <wp:anchor distT="0" distB="0" distL="114300" distR="114300" simplePos="0" relativeHeight="251689984" behindDoc="0" locked="0" layoutInCell="1" allowOverlap="1">
            <wp:simplePos x="0" y="0"/>
            <wp:positionH relativeFrom="column">
              <wp:posOffset>3716655</wp:posOffset>
            </wp:positionH>
            <wp:positionV relativeFrom="paragraph">
              <wp:posOffset>659130</wp:posOffset>
            </wp:positionV>
            <wp:extent cx="3161030" cy="2243455"/>
            <wp:effectExtent l="0" t="0" r="127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61030" cy="2243455"/>
                    </a:xfrm>
                    <a:prstGeom prst="rect">
                      <a:avLst/>
                    </a:prstGeom>
                  </pic:spPr>
                </pic:pic>
              </a:graphicData>
            </a:graphic>
            <wp14:sizeRelH relativeFrom="page">
              <wp14:pctWidth>0</wp14:pctWidth>
            </wp14:sizeRelH>
            <wp14:sizeRelV relativeFrom="page">
              <wp14:pctHeight>0</wp14:pctHeight>
            </wp14:sizeRelV>
          </wp:anchor>
        </w:drawing>
      </w:r>
      <w:r w:rsidR="008628D3" w:rsidRPr="00753557">
        <w:rPr>
          <w:rFonts w:asciiTheme="minorHAnsi" w:hAnsiTheme="minorHAnsi" w:cstheme="minorHAnsi"/>
          <w:color w:val="auto"/>
          <w:sz w:val="19"/>
          <w:szCs w:val="19"/>
          <w:lang w:eastAsia="en-US"/>
        </w:rPr>
        <w:t xml:space="preserve">The </w:t>
      </w:r>
      <w:r w:rsidR="00C97395">
        <w:rPr>
          <w:rFonts w:asciiTheme="minorHAnsi" w:hAnsiTheme="minorHAnsi" w:cstheme="minorHAnsi"/>
          <w:color w:val="auto"/>
          <w:sz w:val="19"/>
          <w:szCs w:val="19"/>
          <w:lang w:eastAsia="en-US"/>
        </w:rPr>
        <w:t xml:space="preserve">2016 OECD report noted that the </w:t>
      </w:r>
      <w:r w:rsidR="008628D3" w:rsidRPr="00753557">
        <w:rPr>
          <w:rFonts w:asciiTheme="minorHAnsi" w:hAnsiTheme="minorHAnsi" w:cstheme="minorHAnsi"/>
          <w:color w:val="auto"/>
          <w:sz w:val="19"/>
          <w:szCs w:val="19"/>
          <w:lang w:eastAsia="en-US"/>
        </w:rPr>
        <w:t>immigration policies in several OECD countries have eased allowing international students to stay</w:t>
      </w:r>
      <w:r w:rsidR="00C97395">
        <w:rPr>
          <w:rFonts w:asciiTheme="minorHAnsi" w:hAnsiTheme="minorHAnsi" w:cstheme="minorHAnsi"/>
          <w:color w:val="auto"/>
          <w:sz w:val="19"/>
          <w:szCs w:val="19"/>
          <w:lang w:eastAsia="en-US"/>
        </w:rPr>
        <w:t xml:space="preserve"> on</w:t>
      </w:r>
      <w:r w:rsidR="008628D3" w:rsidRPr="00753557">
        <w:rPr>
          <w:rFonts w:asciiTheme="minorHAnsi" w:hAnsiTheme="minorHAnsi" w:cstheme="minorHAnsi"/>
          <w:color w:val="auto"/>
          <w:sz w:val="19"/>
          <w:szCs w:val="19"/>
          <w:lang w:eastAsia="en-US"/>
        </w:rPr>
        <w:t xml:space="preserve"> after </w:t>
      </w:r>
      <w:r w:rsidR="00C97395">
        <w:rPr>
          <w:rFonts w:asciiTheme="minorHAnsi" w:hAnsiTheme="minorHAnsi" w:cstheme="minorHAnsi"/>
          <w:color w:val="auto"/>
          <w:sz w:val="19"/>
          <w:szCs w:val="19"/>
          <w:lang w:eastAsia="en-US"/>
        </w:rPr>
        <w:t>graduation</w:t>
      </w:r>
      <w:r w:rsidR="008628D3" w:rsidRPr="00753557">
        <w:rPr>
          <w:rFonts w:asciiTheme="minorHAnsi" w:hAnsiTheme="minorHAnsi" w:cstheme="minorHAnsi"/>
          <w:color w:val="auto"/>
          <w:sz w:val="19"/>
          <w:szCs w:val="19"/>
          <w:lang w:eastAsia="en-US"/>
        </w:rPr>
        <w:t xml:space="preserve">, for example for three years in Canada and </w:t>
      </w:r>
      <w:r w:rsidR="006672AA">
        <w:rPr>
          <w:rFonts w:asciiTheme="minorHAnsi" w:hAnsiTheme="minorHAnsi" w:cstheme="minorHAnsi"/>
          <w:color w:val="auto"/>
          <w:sz w:val="19"/>
          <w:szCs w:val="19"/>
          <w:lang w:eastAsia="en-US"/>
        </w:rPr>
        <w:t xml:space="preserve">up to </w:t>
      </w:r>
      <w:r w:rsidR="008628D3" w:rsidRPr="00753557">
        <w:rPr>
          <w:rFonts w:asciiTheme="minorHAnsi" w:hAnsiTheme="minorHAnsi" w:cstheme="minorHAnsi"/>
          <w:color w:val="auto"/>
          <w:sz w:val="19"/>
          <w:szCs w:val="19"/>
          <w:lang w:eastAsia="en-US"/>
        </w:rPr>
        <w:t xml:space="preserve">four years in Australia </w:t>
      </w:r>
      <w:r w:rsidR="006672AA">
        <w:rPr>
          <w:rFonts w:asciiTheme="minorHAnsi" w:hAnsiTheme="minorHAnsi" w:cstheme="minorHAnsi"/>
          <w:color w:val="auto"/>
          <w:sz w:val="19"/>
          <w:szCs w:val="19"/>
          <w:lang w:eastAsia="en-US"/>
        </w:rPr>
        <w:t xml:space="preserve">for post-study work. These options have </w:t>
      </w:r>
      <w:r w:rsidR="008628D3" w:rsidRPr="00753557">
        <w:rPr>
          <w:rFonts w:asciiTheme="minorHAnsi" w:hAnsiTheme="minorHAnsi" w:cstheme="minorHAnsi"/>
          <w:color w:val="auto"/>
          <w:sz w:val="19"/>
          <w:szCs w:val="19"/>
          <w:lang w:eastAsia="en-US"/>
        </w:rPr>
        <w:t xml:space="preserve">made these countries more attractive destinations for </w:t>
      </w:r>
      <w:r w:rsidR="006672AA">
        <w:rPr>
          <w:rFonts w:asciiTheme="minorHAnsi" w:hAnsiTheme="minorHAnsi" w:cstheme="minorHAnsi"/>
          <w:color w:val="auto"/>
          <w:sz w:val="19"/>
          <w:szCs w:val="19"/>
          <w:lang w:eastAsia="en-US"/>
        </w:rPr>
        <w:t>international students.</w:t>
      </w:r>
      <w:r w:rsidR="008628D3" w:rsidRPr="00753557">
        <w:rPr>
          <w:rFonts w:asciiTheme="minorHAnsi" w:hAnsiTheme="minorHAnsi" w:cstheme="minorHAnsi"/>
          <w:color w:val="auto"/>
          <w:sz w:val="19"/>
          <w:szCs w:val="19"/>
          <w:lang w:eastAsia="en-US"/>
        </w:rPr>
        <w:t xml:space="preserve">  </w:t>
      </w:r>
    </w:p>
    <w:p w:rsidR="00C321C7" w:rsidRPr="00753557" w:rsidRDefault="00C321C7" w:rsidP="001A597E">
      <w:pPr>
        <w:pStyle w:val="Default"/>
        <w:tabs>
          <w:tab w:val="left" w:pos="5812"/>
          <w:tab w:val="left" w:pos="5954"/>
        </w:tabs>
        <w:jc w:val="both"/>
        <w:rPr>
          <w:rFonts w:asciiTheme="minorHAnsi" w:hAnsiTheme="minorHAnsi" w:cstheme="minorHAnsi"/>
          <w:b/>
          <w:color w:val="000000" w:themeColor="text1"/>
          <w:sz w:val="19"/>
          <w:szCs w:val="19"/>
        </w:rPr>
      </w:pPr>
    </w:p>
    <w:p w:rsidR="00FE2D67" w:rsidRDefault="00D01331" w:rsidP="001A597E">
      <w:pPr>
        <w:pStyle w:val="Default"/>
        <w:tabs>
          <w:tab w:val="left" w:pos="5812"/>
          <w:tab w:val="left" w:pos="5954"/>
        </w:tabs>
        <w:jc w:val="both"/>
        <w:rPr>
          <w:sz w:val="19"/>
          <w:szCs w:val="19"/>
        </w:rPr>
      </w:pPr>
      <w:r w:rsidRPr="00753557">
        <w:rPr>
          <w:rFonts w:asciiTheme="minorHAnsi" w:hAnsiTheme="minorHAnsi" w:cstheme="minorHAnsi"/>
          <w:b/>
          <w:color w:val="000000" w:themeColor="text1"/>
          <w:sz w:val="19"/>
          <w:szCs w:val="19"/>
        </w:rPr>
        <w:t>Major source</w:t>
      </w:r>
      <w:r w:rsidR="00A4529C" w:rsidRPr="00753557">
        <w:rPr>
          <w:rFonts w:asciiTheme="minorHAnsi" w:hAnsiTheme="minorHAnsi" w:cstheme="minorHAnsi"/>
          <w:b/>
          <w:color w:val="000000" w:themeColor="text1"/>
          <w:sz w:val="19"/>
          <w:szCs w:val="19"/>
        </w:rPr>
        <w:t xml:space="preserve"> </w:t>
      </w:r>
      <w:r w:rsidR="007407BF" w:rsidRPr="00753557">
        <w:rPr>
          <w:rFonts w:asciiTheme="minorHAnsi" w:hAnsiTheme="minorHAnsi" w:cstheme="minorHAnsi"/>
          <w:b/>
          <w:color w:val="000000" w:themeColor="text1"/>
          <w:sz w:val="19"/>
          <w:szCs w:val="19"/>
        </w:rPr>
        <w:t>regions/</w:t>
      </w:r>
      <w:r w:rsidR="00A4529C" w:rsidRPr="00753557">
        <w:rPr>
          <w:rFonts w:asciiTheme="minorHAnsi" w:hAnsiTheme="minorHAnsi" w:cstheme="minorHAnsi"/>
          <w:b/>
          <w:color w:val="000000" w:themeColor="text1"/>
          <w:sz w:val="19"/>
          <w:szCs w:val="19"/>
        </w:rPr>
        <w:t>countries</w:t>
      </w:r>
      <w:r w:rsidR="0051607D" w:rsidRPr="00753557">
        <w:rPr>
          <w:sz w:val="19"/>
          <w:szCs w:val="19"/>
        </w:rPr>
        <w:t xml:space="preserve"> </w:t>
      </w:r>
    </w:p>
    <w:p w:rsidR="00753557" w:rsidRPr="00753557" w:rsidRDefault="00753557" w:rsidP="001A597E">
      <w:pPr>
        <w:pStyle w:val="Default"/>
        <w:tabs>
          <w:tab w:val="left" w:pos="5812"/>
          <w:tab w:val="left" w:pos="5954"/>
        </w:tabs>
        <w:jc w:val="both"/>
        <w:rPr>
          <w:sz w:val="19"/>
          <w:szCs w:val="19"/>
        </w:rPr>
      </w:pPr>
    </w:p>
    <w:p w:rsidR="00753557" w:rsidRDefault="00A4529C">
      <w:pPr>
        <w:pStyle w:val="Default"/>
        <w:tabs>
          <w:tab w:val="left" w:pos="5812"/>
          <w:tab w:val="left" w:pos="5954"/>
        </w:tabs>
        <w:jc w:val="both"/>
        <w:rPr>
          <w:rFonts w:asciiTheme="minorHAnsi" w:hAnsiTheme="minorHAnsi" w:cstheme="minorHAnsi"/>
          <w:color w:val="auto"/>
          <w:sz w:val="19"/>
          <w:szCs w:val="19"/>
          <w:lang w:eastAsia="en-US"/>
        </w:rPr>
      </w:pPr>
      <w:r w:rsidRPr="00753557">
        <w:rPr>
          <w:rFonts w:asciiTheme="minorHAnsi" w:hAnsiTheme="minorHAnsi" w:cstheme="minorHAnsi"/>
          <w:color w:val="auto"/>
          <w:sz w:val="19"/>
          <w:szCs w:val="19"/>
          <w:lang w:eastAsia="en-US"/>
        </w:rPr>
        <w:t>Students from Asia (</w:t>
      </w:r>
      <w:r w:rsidR="00BD5F98" w:rsidRPr="00753557">
        <w:rPr>
          <w:rFonts w:asciiTheme="minorHAnsi" w:hAnsiTheme="minorHAnsi" w:cstheme="minorHAnsi"/>
          <w:color w:val="auto"/>
          <w:sz w:val="19"/>
          <w:szCs w:val="19"/>
          <w:lang w:eastAsia="en-US"/>
        </w:rPr>
        <w:t>53</w:t>
      </w:r>
      <w:r w:rsidRPr="00753557">
        <w:rPr>
          <w:rFonts w:asciiTheme="minorHAnsi" w:hAnsiTheme="minorHAnsi" w:cstheme="minorHAnsi"/>
          <w:color w:val="auto"/>
          <w:sz w:val="19"/>
          <w:szCs w:val="19"/>
          <w:lang w:eastAsia="en-US"/>
        </w:rPr>
        <w:t xml:space="preserve">%) form the largest group of international students </w:t>
      </w:r>
      <w:r w:rsidR="000533F7" w:rsidRPr="00753557">
        <w:rPr>
          <w:rFonts w:asciiTheme="minorHAnsi" w:hAnsiTheme="minorHAnsi" w:cstheme="minorHAnsi"/>
          <w:color w:val="auto"/>
          <w:sz w:val="19"/>
          <w:szCs w:val="19"/>
          <w:lang w:eastAsia="en-US"/>
        </w:rPr>
        <w:t>at the master’s and doctoral or equivalent levels studying abroad</w:t>
      </w:r>
      <w:r w:rsidR="00BD5F98" w:rsidRPr="00753557">
        <w:rPr>
          <w:rFonts w:asciiTheme="minorHAnsi" w:hAnsiTheme="minorHAnsi" w:cstheme="minorHAnsi"/>
          <w:color w:val="auto"/>
          <w:sz w:val="19"/>
          <w:szCs w:val="19"/>
          <w:lang w:eastAsia="en-US"/>
        </w:rPr>
        <w:t xml:space="preserve"> followed by Europe (</w:t>
      </w:r>
      <w:r w:rsidR="000A3838">
        <w:rPr>
          <w:rFonts w:asciiTheme="minorHAnsi" w:hAnsiTheme="minorHAnsi" w:cstheme="minorHAnsi"/>
          <w:color w:val="auto"/>
          <w:sz w:val="19"/>
          <w:szCs w:val="19"/>
          <w:lang w:eastAsia="en-US"/>
        </w:rPr>
        <w:t>25</w:t>
      </w:r>
      <w:r w:rsidR="00BD5F98" w:rsidRPr="00753557">
        <w:rPr>
          <w:rFonts w:asciiTheme="minorHAnsi" w:hAnsiTheme="minorHAnsi" w:cstheme="minorHAnsi"/>
          <w:color w:val="auto"/>
          <w:sz w:val="19"/>
          <w:szCs w:val="19"/>
          <w:lang w:eastAsia="en-US"/>
        </w:rPr>
        <w:t>%) and Africa (</w:t>
      </w:r>
      <w:r w:rsidR="000A3838">
        <w:rPr>
          <w:rFonts w:asciiTheme="minorHAnsi" w:hAnsiTheme="minorHAnsi" w:cstheme="minorHAnsi"/>
          <w:color w:val="auto"/>
          <w:sz w:val="19"/>
          <w:szCs w:val="19"/>
          <w:lang w:eastAsia="en-US"/>
        </w:rPr>
        <w:t>10</w:t>
      </w:r>
      <w:r w:rsidR="00BD5F98" w:rsidRPr="00753557">
        <w:rPr>
          <w:rFonts w:asciiTheme="minorHAnsi" w:hAnsiTheme="minorHAnsi" w:cstheme="minorHAnsi"/>
          <w:color w:val="auto"/>
          <w:sz w:val="19"/>
          <w:szCs w:val="19"/>
          <w:lang w:eastAsia="en-US"/>
        </w:rPr>
        <w:t>%)</w:t>
      </w:r>
      <w:r w:rsidR="000533F7" w:rsidRPr="00753557">
        <w:rPr>
          <w:rFonts w:asciiTheme="minorHAnsi" w:hAnsiTheme="minorHAnsi" w:cstheme="minorHAnsi"/>
          <w:color w:val="auto"/>
          <w:sz w:val="19"/>
          <w:szCs w:val="19"/>
          <w:lang w:eastAsia="en-US"/>
        </w:rPr>
        <w:t>.</w:t>
      </w:r>
      <w:r w:rsidRPr="00753557">
        <w:rPr>
          <w:rFonts w:asciiTheme="minorHAnsi" w:hAnsiTheme="minorHAnsi" w:cstheme="minorHAnsi"/>
          <w:color w:val="auto"/>
          <w:sz w:val="19"/>
          <w:szCs w:val="19"/>
          <w:lang w:eastAsia="en-US"/>
        </w:rPr>
        <w:t xml:space="preserve"> Chinese students </w:t>
      </w:r>
      <w:r w:rsidR="00D54AC5" w:rsidRPr="00753557">
        <w:rPr>
          <w:rFonts w:asciiTheme="minorHAnsi" w:hAnsiTheme="minorHAnsi" w:cstheme="minorHAnsi"/>
          <w:color w:val="auto"/>
          <w:sz w:val="19"/>
          <w:szCs w:val="19"/>
          <w:lang w:eastAsia="en-US"/>
        </w:rPr>
        <w:t>in particular</w:t>
      </w:r>
      <w:r w:rsidR="000533F7" w:rsidRPr="00753557">
        <w:rPr>
          <w:rFonts w:asciiTheme="minorHAnsi" w:hAnsiTheme="minorHAnsi" w:cstheme="minorHAnsi"/>
          <w:color w:val="auto"/>
          <w:sz w:val="19"/>
          <w:szCs w:val="19"/>
          <w:lang w:eastAsia="en-US"/>
        </w:rPr>
        <w:t xml:space="preserve"> had the highest share in 2014</w:t>
      </w:r>
      <w:r w:rsidR="003E69A6" w:rsidRPr="00753557">
        <w:rPr>
          <w:rFonts w:asciiTheme="minorHAnsi" w:hAnsiTheme="minorHAnsi" w:cstheme="minorHAnsi"/>
          <w:color w:val="auto"/>
          <w:sz w:val="19"/>
          <w:szCs w:val="19"/>
          <w:lang w:eastAsia="en-US"/>
        </w:rPr>
        <w:t>, accounting</w:t>
      </w:r>
      <w:r w:rsidRPr="00753557">
        <w:rPr>
          <w:rFonts w:asciiTheme="minorHAnsi" w:hAnsiTheme="minorHAnsi" w:cstheme="minorHAnsi"/>
          <w:color w:val="auto"/>
          <w:sz w:val="19"/>
          <w:szCs w:val="19"/>
          <w:lang w:eastAsia="en-US"/>
        </w:rPr>
        <w:t xml:space="preserve"> for 22</w:t>
      </w:r>
      <w:r w:rsidR="002D77AF">
        <w:rPr>
          <w:rFonts w:asciiTheme="minorHAnsi" w:hAnsiTheme="minorHAnsi" w:cstheme="minorHAnsi"/>
          <w:color w:val="auto"/>
          <w:sz w:val="19"/>
          <w:szCs w:val="19"/>
          <w:lang w:eastAsia="en-US"/>
        </w:rPr>
        <w:t xml:space="preserve"> per cent </w:t>
      </w:r>
      <w:r w:rsidRPr="00753557">
        <w:rPr>
          <w:rFonts w:asciiTheme="minorHAnsi" w:hAnsiTheme="minorHAnsi" w:cstheme="minorHAnsi"/>
          <w:color w:val="auto"/>
          <w:sz w:val="19"/>
          <w:szCs w:val="19"/>
          <w:lang w:eastAsia="en-US"/>
        </w:rPr>
        <w:t>of i</w:t>
      </w:r>
      <w:r w:rsidR="002D04FA" w:rsidRPr="00753557">
        <w:rPr>
          <w:rFonts w:asciiTheme="minorHAnsi" w:hAnsiTheme="minorHAnsi" w:cstheme="minorHAnsi"/>
          <w:color w:val="auto"/>
          <w:sz w:val="19"/>
          <w:szCs w:val="19"/>
          <w:lang w:eastAsia="en-US"/>
        </w:rPr>
        <w:t xml:space="preserve">nternational </w:t>
      </w:r>
      <w:r w:rsidR="00F33ED7">
        <w:rPr>
          <w:rFonts w:asciiTheme="minorHAnsi" w:hAnsiTheme="minorHAnsi" w:cstheme="minorHAnsi"/>
          <w:color w:val="auto"/>
          <w:sz w:val="19"/>
          <w:szCs w:val="19"/>
          <w:lang w:eastAsia="en-US"/>
        </w:rPr>
        <w:t>post</w:t>
      </w:r>
      <w:r w:rsidR="006672AA" w:rsidRPr="00753557">
        <w:rPr>
          <w:rFonts w:asciiTheme="minorHAnsi" w:hAnsiTheme="minorHAnsi" w:cstheme="minorHAnsi"/>
          <w:color w:val="auto"/>
          <w:sz w:val="19"/>
          <w:szCs w:val="19"/>
          <w:lang w:eastAsia="en-US"/>
        </w:rPr>
        <w:t xml:space="preserve">graduate </w:t>
      </w:r>
      <w:r w:rsidR="002D04FA" w:rsidRPr="00753557">
        <w:rPr>
          <w:rFonts w:asciiTheme="minorHAnsi" w:hAnsiTheme="minorHAnsi" w:cstheme="minorHAnsi"/>
          <w:color w:val="auto"/>
          <w:sz w:val="19"/>
          <w:szCs w:val="19"/>
          <w:lang w:eastAsia="en-US"/>
        </w:rPr>
        <w:t>tertiary students</w:t>
      </w:r>
      <w:r w:rsidR="006672AA">
        <w:rPr>
          <w:rFonts w:asciiTheme="minorHAnsi" w:hAnsiTheme="minorHAnsi" w:cstheme="minorHAnsi"/>
          <w:color w:val="auto"/>
          <w:sz w:val="19"/>
          <w:szCs w:val="19"/>
          <w:lang w:eastAsia="en-US"/>
        </w:rPr>
        <w:t xml:space="preserve">, </w:t>
      </w:r>
      <w:r w:rsidR="00D01331" w:rsidRPr="00753557">
        <w:rPr>
          <w:rFonts w:asciiTheme="minorHAnsi" w:hAnsiTheme="minorHAnsi" w:cstheme="minorHAnsi"/>
          <w:color w:val="auto"/>
          <w:sz w:val="19"/>
          <w:szCs w:val="19"/>
          <w:lang w:eastAsia="en-US"/>
        </w:rPr>
        <w:t xml:space="preserve">followed by </w:t>
      </w:r>
      <w:r w:rsidR="000533F7" w:rsidRPr="00753557">
        <w:rPr>
          <w:rFonts w:asciiTheme="minorHAnsi" w:hAnsiTheme="minorHAnsi" w:cstheme="minorHAnsi"/>
          <w:color w:val="auto"/>
          <w:sz w:val="19"/>
          <w:szCs w:val="19"/>
          <w:lang w:eastAsia="en-US"/>
        </w:rPr>
        <w:t>Germa</w:t>
      </w:r>
      <w:r w:rsidR="00895748" w:rsidRPr="00753557">
        <w:rPr>
          <w:rFonts w:asciiTheme="minorHAnsi" w:hAnsiTheme="minorHAnsi" w:cstheme="minorHAnsi"/>
          <w:color w:val="auto"/>
          <w:sz w:val="19"/>
          <w:szCs w:val="19"/>
          <w:lang w:eastAsia="en-US"/>
        </w:rPr>
        <w:t>ny</w:t>
      </w:r>
      <w:r w:rsidR="00D01331" w:rsidRPr="00753557">
        <w:rPr>
          <w:rFonts w:asciiTheme="minorHAnsi" w:hAnsiTheme="minorHAnsi" w:cstheme="minorHAnsi"/>
          <w:color w:val="auto"/>
          <w:sz w:val="19"/>
          <w:szCs w:val="19"/>
          <w:lang w:eastAsia="en-US"/>
        </w:rPr>
        <w:t xml:space="preserve"> (</w:t>
      </w:r>
      <w:r w:rsidR="000A3838">
        <w:rPr>
          <w:rFonts w:asciiTheme="minorHAnsi" w:hAnsiTheme="minorHAnsi" w:cstheme="minorHAnsi"/>
          <w:color w:val="auto"/>
          <w:sz w:val="19"/>
          <w:szCs w:val="19"/>
          <w:lang w:eastAsia="en-US"/>
        </w:rPr>
        <w:t>4</w:t>
      </w:r>
      <w:r w:rsidR="00D01331" w:rsidRPr="00753557">
        <w:rPr>
          <w:rFonts w:asciiTheme="minorHAnsi" w:hAnsiTheme="minorHAnsi" w:cstheme="minorHAnsi"/>
          <w:color w:val="auto"/>
          <w:sz w:val="19"/>
          <w:szCs w:val="19"/>
          <w:lang w:eastAsia="en-US"/>
        </w:rPr>
        <w:t>%)</w:t>
      </w:r>
      <w:r w:rsidRPr="00753557">
        <w:rPr>
          <w:rFonts w:asciiTheme="minorHAnsi" w:hAnsiTheme="minorHAnsi" w:cstheme="minorHAnsi"/>
          <w:color w:val="auto"/>
          <w:sz w:val="19"/>
          <w:szCs w:val="19"/>
          <w:lang w:eastAsia="en-US"/>
        </w:rPr>
        <w:t>.</w:t>
      </w:r>
      <w:r w:rsidR="00B93355" w:rsidRPr="00753557">
        <w:rPr>
          <w:rFonts w:asciiTheme="minorHAnsi" w:hAnsiTheme="minorHAnsi" w:cstheme="minorHAnsi"/>
          <w:color w:val="auto"/>
          <w:sz w:val="19"/>
          <w:szCs w:val="19"/>
          <w:lang w:eastAsia="en-US"/>
        </w:rPr>
        <w:t xml:space="preserve"> </w:t>
      </w:r>
    </w:p>
    <w:p w:rsidR="008B61B7" w:rsidRDefault="008B61B7">
      <w:pPr>
        <w:pStyle w:val="Default"/>
        <w:tabs>
          <w:tab w:val="left" w:pos="5812"/>
          <w:tab w:val="left" w:pos="5954"/>
        </w:tabs>
        <w:jc w:val="both"/>
        <w:rPr>
          <w:rFonts w:asciiTheme="minorHAnsi" w:hAnsiTheme="minorHAnsi" w:cstheme="minorHAnsi"/>
          <w:color w:val="000000" w:themeColor="text1"/>
          <w:sz w:val="19"/>
          <w:szCs w:val="19"/>
        </w:rPr>
      </w:pPr>
    </w:p>
    <w:p w:rsidR="008628D3" w:rsidRPr="00753557" w:rsidRDefault="006672AA">
      <w:pPr>
        <w:pStyle w:val="Default"/>
        <w:tabs>
          <w:tab w:val="left" w:pos="5812"/>
          <w:tab w:val="left" w:pos="5954"/>
        </w:tabs>
        <w:jc w:val="both"/>
        <w:rPr>
          <w:rFonts w:asciiTheme="minorHAnsi" w:hAnsiTheme="minorHAnsi" w:cstheme="minorHAnsi"/>
          <w:color w:val="auto"/>
          <w:sz w:val="19"/>
          <w:szCs w:val="19"/>
          <w:lang w:eastAsia="en-US"/>
        </w:rPr>
      </w:pPr>
      <w:r>
        <w:rPr>
          <w:rFonts w:asciiTheme="minorHAnsi" w:hAnsiTheme="minorHAnsi" w:cstheme="minorHAnsi"/>
          <w:color w:val="000000" w:themeColor="text1"/>
          <w:sz w:val="19"/>
          <w:szCs w:val="19"/>
        </w:rPr>
        <w:t>Across all</w:t>
      </w:r>
      <w:r w:rsidR="00753557" w:rsidRPr="00753557">
        <w:rPr>
          <w:rFonts w:asciiTheme="minorHAnsi" w:hAnsiTheme="minorHAnsi" w:cstheme="minorHAnsi"/>
          <w:color w:val="000000" w:themeColor="text1"/>
          <w:sz w:val="19"/>
          <w:szCs w:val="19"/>
        </w:rPr>
        <w:t xml:space="preserve"> OECD countries, </w:t>
      </w:r>
      <w:r w:rsidR="00F33ED7">
        <w:rPr>
          <w:rFonts w:asciiTheme="minorHAnsi" w:hAnsiTheme="minorHAnsi" w:cstheme="minorHAnsi"/>
          <w:color w:val="000000" w:themeColor="text1"/>
          <w:sz w:val="19"/>
          <w:szCs w:val="19"/>
        </w:rPr>
        <w:t xml:space="preserve">an average of </w:t>
      </w:r>
      <w:r w:rsidR="00F33ED7" w:rsidRPr="00753557">
        <w:rPr>
          <w:rFonts w:asciiTheme="minorHAnsi" w:hAnsiTheme="minorHAnsi" w:cstheme="minorHAnsi"/>
          <w:color w:val="000000" w:themeColor="text1"/>
          <w:sz w:val="19"/>
          <w:szCs w:val="19"/>
        </w:rPr>
        <w:t>6</w:t>
      </w:r>
      <w:r w:rsidR="00F33ED7">
        <w:rPr>
          <w:rFonts w:asciiTheme="minorHAnsi" w:hAnsiTheme="minorHAnsi" w:cstheme="minorHAnsi"/>
          <w:color w:val="000000" w:themeColor="text1"/>
          <w:sz w:val="19"/>
          <w:szCs w:val="19"/>
        </w:rPr>
        <w:t xml:space="preserve"> per cent </w:t>
      </w:r>
      <w:r w:rsidR="00F33ED7" w:rsidRPr="00753557">
        <w:rPr>
          <w:rFonts w:asciiTheme="minorHAnsi" w:hAnsiTheme="minorHAnsi" w:cstheme="minorHAnsi"/>
          <w:color w:val="000000" w:themeColor="text1"/>
          <w:sz w:val="19"/>
          <w:szCs w:val="19"/>
        </w:rPr>
        <w:t xml:space="preserve">of tertiary </w:t>
      </w:r>
      <w:r w:rsidR="00F33ED7">
        <w:rPr>
          <w:rFonts w:asciiTheme="minorHAnsi" w:hAnsiTheme="minorHAnsi" w:cstheme="minorHAnsi"/>
          <w:color w:val="000000" w:themeColor="text1"/>
          <w:sz w:val="19"/>
          <w:szCs w:val="19"/>
        </w:rPr>
        <w:t>students were</w:t>
      </w:r>
      <w:r w:rsidR="00753557" w:rsidRPr="00753557">
        <w:rPr>
          <w:rFonts w:asciiTheme="minorHAnsi" w:hAnsiTheme="minorHAnsi" w:cstheme="minorHAnsi"/>
          <w:color w:val="000000" w:themeColor="text1"/>
          <w:sz w:val="19"/>
          <w:szCs w:val="19"/>
        </w:rPr>
        <w:t xml:space="preserve"> international students</w:t>
      </w:r>
      <w:r>
        <w:rPr>
          <w:rFonts w:asciiTheme="minorHAnsi" w:hAnsiTheme="minorHAnsi" w:cstheme="minorHAnsi"/>
          <w:color w:val="000000" w:themeColor="text1"/>
          <w:sz w:val="19"/>
          <w:szCs w:val="19"/>
        </w:rPr>
        <w:t xml:space="preserve"> in 2014</w:t>
      </w:r>
      <w:r w:rsidR="00751224">
        <w:rPr>
          <w:rFonts w:asciiTheme="minorHAnsi" w:hAnsiTheme="minorHAnsi" w:cstheme="minorHAnsi"/>
          <w:color w:val="000000" w:themeColor="text1"/>
          <w:sz w:val="19"/>
          <w:szCs w:val="19"/>
        </w:rPr>
        <w:t xml:space="preserve">. </w:t>
      </w:r>
      <w:r w:rsidR="00AC1DC3">
        <w:rPr>
          <w:rFonts w:asciiTheme="minorHAnsi" w:hAnsiTheme="minorHAnsi" w:cstheme="minorHAnsi"/>
          <w:color w:val="000000" w:themeColor="text1"/>
          <w:sz w:val="19"/>
          <w:szCs w:val="19"/>
        </w:rPr>
        <w:t xml:space="preserve">The OECD reported </w:t>
      </w:r>
      <w:r>
        <w:rPr>
          <w:rFonts w:asciiTheme="minorHAnsi" w:hAnsiTheme="minorHAnsi" w:cstheme="minorHAnsi"/>
          <w:color w:val="000000" w:themeColor="text1"/>
          <w:sz w:val="19"/>
          <w:szCs w:val="19"/>
        </w:rPr>
        <w:t xml:space="preserve">Australia </w:t>
      </w:r>
      <w:r w:rsidR="00D00C9E">
        <w:rPr>
          <w:rFonts w:asciiTheme="minorHAnsi" w:hAnsiTheme="minorHAnsi" w:cstheme="minorHAnsi"/>
          <w:color w:val="000000" w:themeColor="text1"/>
          <w:sz w:val="19"/>
          <w:szCs w:val="19"/>
        </w:rPr>
        <w:t>as</w:t>
      </w:r>
      <w:r w:rsidR="00751224">
        <w:rPr>
          <w:rFonts w:asciiTheme="minorHAnsi" w:hAnsiTheme="minorHAnsi" w:cstheme="minorHAnsi"/>
          <w:color w:val="000000" w:themeColor="text1"/>
          <w:sz w:val="19"/>
          <w:szCs w:val="19"/>
        </w:rPr>
        <w:t xml:space="preserve"> hav</w:t>
      </w:r>
      <w:r w:rsidR="00AC1DC3">
        <w:rPr>
          <w:rFonts w:asciiTheme="minorHAnsi" w:hAnsiTheme="minorHAnsi" w:cstheme="minorHAnsi"/>
          <w:color w:val="000000" w:themeColor="text1"/>
          <w:sz w:val="19"/>
          <w:szCs w:val="19"/>
        </w:rPr>
        <w:t xml:space="preserve">ing </w:t>
      </w:r>
      <w:r w:rsidRPr="00753557">
        <w:rPr>
          <w:rFonts w:asciiTheme="minorHAnsi" w:hAnsiTheme="minorHAnsi" w:cstheme="minorHAnsi"/>
          <w:color w:val="000000" w:themeColor="text1"/>
          <w:sz w:val="19"/>
          <w:szCs w:val="19"/>
        </w:rPr>
        <w:t xml:space="preserve">the third highest </w:t>
      </w:r>
      <w:r w:rsidR="00753557" w:rsidRPr="00753557">
        <w:rPr>
          <w:rFonts w:asciiTheme="minorHAnsi" w:hAnsiTheme="minorHAnsi" w:cstheme="minorHAnsi"/>
          <w:color w:val="000000" w:themeColor="text1"/>
          <w:sz w:val="19"/>
          <w:szCs w:val="19"/>
        </w:rPr>
        <w:t xml:space="preserve">proportion (18%) behind Luxembourg (44%) and New Zealand (19%) (Figure </w:t>
      </w:r>
      <w:r w:rsidR="00753557">
        <w:rPr>
          <w:rFonts w:asciiTheme="minorHAnsi" w:hAnsiTheme="minorHAnsi" w:cstheme="minorHAnsi"/>
          <w:color w:val="000000" w:themeColor="text1"/>
          <w:sz w:val="19"/>
          <w:szCs w:val="19"/>
        </w:rPr>
        <w:t>3</w:t>
      </w:r>
      <w:r w:rsidR="00753557" w:rsidRPr="00753557">
        <w:rPr>
          <w:rFonts w:asciiTheme="minorHAnsi" w:hAnsiTheme="minorHAnsi" w:cstheme="minorHAnsi"/>
          <w:color w:val="000000" w:themeColor="text1"/>
          <w:sz w:val="19"/>
          <w:szCs w:val="19"/>
        </w:rPr>
        <w:t>)</w:t>
      </w:r>
      <w:r w:rsidR="00753557">
        <w:rPr>
          <w:rFonts w:asciiTheme="minorHAnsi" w:hAnsiTheme="minorHAnsi" w:cstheme="minorHAnsi"/>
          <w:color w:val="000000" w:themeColor="text1"/>
          <w:sz w:val="19"/>
          <w:szCs w:val="19"/>
        </w:rPr>
        <w:t>.</w:t>
      </w:r>
    </w:p>
    <w:sectPr w:rsidR="008628D3" w:rsidRPr="00753557" w:rsidSect="00A5677C">
      <w:footerReference w:type="default" r:id="rId13"/>
      <w:pgSz w:w="11906" w:h="16838" w:code="9"/>
      <w:pgMar w:top="238" w:right="567" w:bottom="249" w:left="567" w:header="567" w:footer="10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1C" w:rsidRDefault="00385F1C">
      <w:r>
        <w:separator/>
      </w:r>
    </w:p>
  </w:endnote>
  <w:endnote w:type="continuationSeparator" w:id="0">
    <w:p w:rsidR="00385F1C" w:rsidRDefault="0038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C9" w:rsidRPr="00101A1B" w:rsidRDefault="00101A1B" w:rsidP="00AE4429">
    <w:pPr>
      <w:rPr>
        <w:rFonts w:asciiTheme="minorHAnsi" w:hAnsiTheme="minorHAnsi" w:cstheme="minorHAnsi"/>
        <w:sz w:val="16"/>
        <w:szCs w:val="16"/>
      </w:rPr>
    </w:pPr>
    <w:r>
      <w:rPr>
        <w:rFonts w:asciiTheme="minorHAnsi" w:hAnsiTheme="minorHAnsi" w:cstheme="minorHAnsi"/>
        <w:color w:val="000000"/>
        <w:sz w:val="16"/>
        <w:szCs w:val="16"/>
      </w:rPr>
      <w:t>F</w:t>
    </w:r>
    <w:r w:rsidR="00F662C9" w:rsidRPr="00101A1B">
      <w:rPr>
        <w:rFonts w:asciiTheme="minorHAnsi" w:hAnsiTheme="minorHAnsi" w:cstheme="minorHAnsi"/>
        <w:color w:val="000000"/>
        <w:sz w:val="16"/>
        <w:szCs w:val="16"/>
      </w:rPr>
      <w:t xml:space="preserve">or further information about this research Snapshot Series contact the International Research and Analysis Unit by email: </w:t>
    </w:r>
    <w:hyperlink r:id="rId1" w:history="1">
      <w:r w:rsidR="002D031D" w:rsidRPr="00101A1B">
        <w:rPr>
          <w:rStyle w:val="Hyperlink"/>
          <w:rFonts w:asciiTheme="minorHAnsi" w:hAnsiTheme="minorHAnsi" w:cstheme="minorHAnsi"/>
          <w:sz w:val="16"/>
          <w:szCs w:val="16"/>
        </w:rPr>
        <w:t>IEResearch@education.gov.au</w:t>
      </w:r>
    </w:hyperlink>
    <w:r w:rsidR="002D031D" w:rsidRPr="00101A1B">
      <w:rPr>
        <w:rFonts w:asciiTheme="minorHAnsi" w:hAnsiTheme="minorHAnsi" w:cstheme="minorHAnsi"/>
        <w:sz w:val="16"/>
        <w:szCs w:val="16"/>
      </w:rPr>
      <w:t xml:space="preserve">. </w:t>
    </w:r>
  </w:p>
  <w:p w:rsidR="00E7314D" w:rsidRPr="00101A1B" w:rsidRDefault="002D031D" w:rsidP="00AE4429">
    <w:pPr>
      <w:rPr>
        <w:rStyle w:val="Hyperlink"/>
        <w:rFonts w:cs="Arial"/>
        <w:i/>
        <w:iCs/>
        <w:color w:val="000000"/>
        <w:sz w:val="16"/>
        <w:szCs w:val="16"/>
        <w:u w:val="none"/>
        <w:lang w:eastAsia="en-AU"/>
      </w:rPr>
    </w:pPr>
    <w:r w:rsidRPr="00101A1B">
      <w:rPr>
        <w:rFonts w:asciiTheme="minorHAnsi" w:hAnsiTheme="minorHAnsi" w:cstheme="minorHAnsi"/>
        <w:sz w:val="16"/>
        <w:szCs w:val="16"/>
      </w:rPr>
      <w:t xml:space="preserve">The Research Snapshot series can be accessed from </w:t>
    </w:r>
    <w:hyperlink r:id="rId2" w:history="1">
      <w:r w:rsidRPr="00101A1B">
        <w:rPr>
          <w:rStyle w:val="Hyperlink"/>
          <w:rFonts w:asciiTheme="minorHAnsi" w:hAnsiTheme="minorHAnsi" w:cstheme="minorHAnsi"/>
          <w:sz w:val="16"/>
          <w:szCs w:val="16"/>
        </w:rPr>
        <w:t>https://internationaleducation.gov.au/research/research-snapshots/pages/default.aspx</w:t>
      </w:r>
    </w:hyperlink>
    <w:r w:rsidR="00A4529C">
      <w:rPr>
        <w:rStyle w:val="Hyperlink"/>
        <w:rFonts w:asciiTheme="minorHAnsi" w:hAnsiTheme="minorHAnsi" w:cs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1C" w:rsidRPr="00C72684" w:rsidRDefault="00385F1C" w:rsidP="00C72684">
      <w:pPr>
        <w:pStyle w:val="Footer"/>
      </w:pPr>
    </w:p>
  </w:footnote>
  <w:footnote w:type="continuationSeparator" w:id="0">
    <w:p w:rsidR="00385F1C" w:rsidRDefault="00385F1C">
      <w:r>
        <w:continuationSeparator/>
      </w:r>
    </w:p>
  </w:footnote>
  <w:footnote w:id="1">
    <w:p w:rsidR="00347E13" w:rsidRPr="008B61B7" w:rsidRDefault="00347E13">
      <w:pPr>
        <w:pStyle w:val="FootnoteText"/>
        <w:rPr>
          <w:sz w:val="12"/>
          <w:szCs w:val="12"/>
        </w:rPr>
      </w:pPr>
      <w:r w:rsidRPr="008B61B7">
        <w:rPr>
          <w:rStyle w:val="FootnoteReference"/>
          <w:sz w:val="12"/>
          <w:szCs w:val="12"/>
        </w:rPr>
        <w:footnoteRef/>
      </w:r>
      <w:r w:rsidRPr="008B61B7">
        <w:rPr>
          <w:sz w:val="12"/>
          <w:szCs w:val="12"/>
        </w:rPr>
        <w:t xml:space="preserve"> </w:t>
      </w:r>
      <w:proofErr w:type="spellStart"/>
      <w:r w:rsidRPr="008B61B7">
        <w:rPr>
          <w:sz w:val="12"/>
          <w:szCs w:val="12"/>
        </w:rPr>
        <w:t>ICEF</w:t>
      </w:r>
      <w:proofErr w:type="spellEnd"/>
      <w:r w:rsidRPr="008B61B7">
        <w:rPr>
          <w:sz w:val="12"/>
          <w:szCs w:val="12"/>
        </w:rPr>
        <w:t xml:space="preserve"> Monitor: </w:t>
      </w:r>
      <w:hyperlink r:id="rId1" w:history="1">
        <w:r w:rsidRPr="008B61B7">
          <w:rPr>
            <w:rStyle w:val="Hyperlink"/>
            <w:sz w:val="12"/>
            <w:szCs w:val="12"/>
          </w:rPr>
          <w:t>http://monitor.icef.com/2016/11/four-megatrends-changing-competitive-landscape-international-education/</w:t>
        </w:r>
      </w:hyperlink>
      <w:r w:rsidRPr="008B61B7">
        <w:rPr>
          <w:sz w:val="12"/>
          <w:szCs w:val="12"/>
        </w:rPr>
        <w:t xml:space="preserve"> </w:t>
      </w:r>
    </w:p>
  </w:footnote>
  <w:footnote w:id="2">
    <w:p w:rsidR="00347E13" w:rsidRPr="008B61B7" w:rsidRDefault="00347E13">
      <w:pPr>
        <w:pStyle w:val="FootnoteText"/>
        <w:rPr>
          <w:sz w:val="12"/>
          <w:szCs w:val="12"/>
        </w:rPr>
      </w:pPr>
      <w:r w:rsidRPr="008B61B7">
        <w:rPr>
          <w:rStyle w:val="FootnoteReference"/>
          <w:sz w:val="12"/>
          <w:szCs w:val="12"/>
        </w:rPr>
        <w:footnoteRef/>
      </w:r>
      <w:r w:rsidRPr="008B61B7">
        <w:rPr>
          <w:sz w:val="12"/>
          <w:szCs w:val="12"/>
        </w:rPr>
        <w:t xml:space="preserve"> </w:t>
      </w:r>
      <w:r w:rsidR="00964D72">
        <w:rPr>
          <w:sz w:val="12"/>
          <w:szCs w:val="12"/>
        </w:rPr>
        <w:t>The OECD report ‘</w:t>
      </w:r>
      <w:r w:rsidRPr="008B61B7">
        <w:rPr>
          <w:sz w:val="12"/>
          <w:szCs w:val="12"/>
        </w:rPr>
        <w:t>Education at a Glance 2016</w:t>
      </w:r>
      <w:r w:rsidR="00964D72">
        <w:rPr>
          <w:sz w:val="12"/>
          <w:szCs w:val="12"/>
        </w:rPr>
        <w:t xml:space="preserve">’ </w:t>
      </w:r>
      <w:r w:rsidR="00DC47C2">
        <w:rPr>
          <w:sz w:val="12"/>
          <w:szCs w:val="12"/>
        </w:rPr>
        <w:t>is available at:</w:t>
      </w:r>
      <w:r w:rsidR="00964D72">
        <w:rPr>
          <w:sz w:val="12"/>
          <w:szCs w:val="12"/>
        </w:rPr>
        <w:t xml:space="preserve"> </w:t>
      </w:r>
      <w:hyperlink r:id="rId2" w:history="1">
        <w:r w:rsidR="00964D72" w:rsidRPr="00E97FCF">
          <w:rPr>
            <w:rStyle w:val="Hyperlink"/>
            <w:sz w:val="12"/>
            <w:szCs w:val="12"/>
          </w:rPr>
          <w:t>http://www.oecd.org/edu/education-at-a-glance-19991487.htm</w:t>
        </w:r>
      </w:hyperlink>
      <w:r w:rsidR="00964D72">
        <w:rPr>
          <w:sz w:val="12"/>
          <w:szCs w:val="12"/>
        </w:rPr>
        <w:t xml:space="preserve">. </w:t>
      </w:r>
      <w:r w:rsidR="006F1B56" w:rsidRPr="008B61B7">
        <w:rPr>
          <w:sz w:val="12"/>
          <w:szCs w:val="12"/>
        </w:rPr>
        <w:t>The OECD term 'international student' refers to those students who have left their country of origin for the purpose of study and ‘foreign student' refers to students who are not citizens of the countries in which they are enrolled, but may be long-term residents or were born in that country. The data do not include students enrolled in countries that did not report international or foreign students to the OECD or to the UNESCO Institute for Statistics</w:t>
      </w:r>
    </w:p>
  </w:footnote>
  <w:footnote w:id="3">
    <w:p w:rsidR="003730AC" w:rsidRDefault="006F1B56" w:rsidP="003730AC">
      <w:pPr>
        <w:rPr>
          <w:color w:val="1F497D"/>
        </w:rPr>
      </w:pPr>
      <w:r w:rsidRPr="008B61B7">
        <w:rPr>
          <w:rStyle w:val="FootnoteReference"/>
          <w:sz w:val="12"/>
          <w:szCs w:val="12"/>
        </w:rPr>
        <w:footnoteRef/>
      </w:r>
      <w:r w:rsidRPr="008B61B7">
        <w:rPr>
          <w:sz w:val="12"/>
          <w:szCs w:val="12"/>
        </w:rPr>
        <w:t xml:space="preserve"> Enrolment of international students by country of origin</w:t>
      </w:r>
      <w:r w:rsidR="000B4C13">
        <w:rPr>
          <w:sz w:val="12"/>
          <w:szCs w:val="12"/>
        </w:rPr>
        <w:t xml:space="preserve"> obtained from:</w:t>
      </w:r>
      <w:r w:rsidRPr="008B61B7">
        <w:rPr>
          <w:sz w:val="12"/>
          <w:szCs w:val="12"/>
        </w:rPr>
        <w:t xml:space="preserve"> </w:t>
      </w:r>
      <w:hyperlink r:id="rId3" w:history="1">
        <w:r w:rsidR="003730AC" w:rsidRPr="003730AC">
          <w:rPr>
            <w:rStyle w:val="Hyperlink"/>
            <w:sz w:val="12"/>
            <w:szCs w:val="12"/>
          </w:rPr>
          <w:t>http://stats.oecd.org/</w:t>
        </w:r>
      </w:hyperlink>
    </w:p>
    <w:p w:rsidR="006F1B56" w:rsidRPr="008B61B7" w:rsidRDefault="006F1B56">
      <w:pPr>
        <w:pStyle w:val="FootnoteText"/>
        <w:rPr>
          <w:sz w:val="12"/>
          <w:szCs w:val="12"/>
        </w:rPr>
      </w:pPr>
    </w:p>
    <w:p w:rsidR="006F1B56" w:rsidRPr="008B61B7" w:rsidRDefault="006F1B56">
      <w:pPr>
        <w:pStyle w:val="FootnoteText"/>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0780"/>
    <w:multiLevelType w:val="hybridMultilevel"/>
    <w:tmpl w:val="B5563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334DCB"/>
    <w:multiLevelType w:val="hybridMultilevel"/>
    <w:tmpl w:val="198C6E4A"/>
    <w:lvl w:ilvl="0" w:tplc="1510490E">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B7"/>
    <w:rsid w:val="0000134E"/>
    <w:rsid w:val="00002666"/>
    <w:rsid w:val="00006D7A"/>
    <w:rsid w:val="000076C9"/>
    <w:rsid w:val="00010D51"/>
    <w:rsid w:val="00015C60"/>
    <w:rsid w:val="00015D21"/>
    <w:rsid w:val="00016FA6"/>
    <w:rsid w:val="00025F80"/>
    <w:rsid w:val="00031338"/>
    <w:rsid w:val="000313C9"/>
    <w:rsid w:val="000324C0"/>
    <w:rsid w:val="00033829"/>
    <w:rsid w:val="000342D5"/>
    <w:rsid w:val="00034F54"/>
    <w:rsid w:val="00035FE5"/>
    <w:rsid w:val="0003779B"/>
    <w:rsid w:val="00040D90"/>
    <w:rsid w:val="00041B86"/>
    <w:rsid w:val="00042EED"/>
    <w:rsid w:val="0004376A"/>
    <w:rsid w:val="00050720"/>
    <w:rsid w:val="00052C4B"/>
    <w:rsid w:val="000533F7"/>
    <w:rsid w:val="000559F5"/>
    <w:rsid w:val="00056D7B"/>
    <w:rsid w:val="00056E16"/>
    <w:rsid w:val="000579A6"/>
    <w:rsid w:val="00061DFB"/>
    <w:rsid w:val="0006363D"/>
    <w:rsid w:val="00064849"/>
    <w:rsid w:val="00065418"/>
    <w:rsid w:val="00065AB2"/>
    <w:rsid w:val="000668AE"/>
    <w:rsid w:val="000715AE"/>
    <w:rsid w:val="00074272"/>
    <w:rsid w:val="00074C0C"/>
    <w:rsid w:val="00074D35"/>
    <w:rsid w:val="00083860"/>
    <w:rsid w:val="00083E7B"/>
    <w:rsid w:val="000860A7"/>
    <w:rsid w:val="00090DB0"/>
    <w:rsid w:val="000941CE"/>
    <w:rsid w:val="000941F3"/>
    <w:rsid w:val="0009571B"/>
    <w:rsid w:val="0009572B"/>
    <w:rsid w:val="00096E42"/>
    <w:rsid w:val="000A06FE"/>
    <w:rsid w:val="000A3838"/>
    <w:rsid w:val="000A3FE8"/>
    <w:rsid w:val="000B005D"/>
    <w:rsid w:val="000B3A2D"/>
    <w:rsid w:val="000B3BE6"/>
    <w:rsid w:val="000B4C13"/>
    <w:rsid w:val="000C2E42"/>
    <w:rsid w:val="000D12E2"/>
    <w:rsid w:val="000D1A0F"/>
    <w:rsid w:val="000D26AD"/>
    <w:rsid w:val="000D5513"/>
    <w:rsid w:val="000D667E"/>
    <w:rsid w:val="000D6715"/>
    <w:rsid w:val="000D7D65"/>
    <w:rsid w:val="000E083D"/>
    <w:rsid w:val="000E2B20"/>
    <w:rsid w:val="000E427C"/>
    <w:rsid w:val="000E5FAB"/>
    <w:rsid w:val="000E7111"/>
    <w:rsid w:val="000E7E67"/>
    <w:rsid w:val="000F1E61"/>
    <w:rsid w:val="000F2A82"/>
    <w:rsid w:val="000F549D"/>
    <w:rsid w:val="000F61E8"/>
    <w:rsid w:val="000F6496"/>
    <w:rsid w:val="000F6E15"/>
    <w:rsid w:val="000F76D0"/>
    <w:rsid w:val="00101A1B"/>
    <w:rsid w:val="00103020"/>
    <w:rsid w:val="001030C3"/>
    <w:rsid w:val="00105062"/>
    <w:rsid w:val="0010547B"/>
    <w:rsid w:val="00105D93"/>
    <w:rsid w:val="00110952"/>
    <w:rsid w:val="001166F1"/>
    <w:rsid w:val="00116985"/>
    <w:rsid w:val="001169B5"/>
    <w:rsid w:val="00116C2B"/>
    <w:rsid w:val="00120C87"/>
    <w:rsid w:val="001218CA"/>
    <w:rsid w:val="00124E7A"/>
    <w:rsid w:val="00124EFA"/>
    <w:rsid w:val="00127E38"/>
    <w:rsid w:val="00131D4C"/>
    <w:rsid w:val="001367F8"/>
    <w:rsid w:val="00136AE8"/>
    <w:rsid w:val="00136D62"/>
    <w:rsid w:val="001413F8"/>
    <w:rsid w:val="00141E0F"/>
    <w:rsid w:val="00142036"/>
    <w:rsid w:val="00142132"/>
    <w:rsid w:val="00142837"/>
    <w:rsid w:val="0014444A"/>
    <w:rsid w:val="00146391"/>
    <w:rsid w:val="00150F17"/>
    <w:rsid w:val="0015484D"/>
    <w:rsid w:val="001621C9"/>
    <w:rsid w:val="001632C2"/>
    <w:rsid w:val="00163E49"/>
    <w:rsid w:val="00167405"/>
    <w:rsid w:val="00170567"/>
    <w:rsid w:val="00171815"/>
    <w:rsid w:val="001727A2"/>
    <w:rsid w:val="00172C42"/>
    <w:rsid w:val="001735B2"/>
    <w:rsid w:val="0017472E"/>
    <w:rsid w:val="001757A4"/>
    <w:rsid w:val="00176503"/>
    <w:rsid w:val="001775B3"/>
    <w:rsid w:val="00184D7C"/>
    <w:rsid w:val="001873C7"/>
    <w:rsid w:val="0019380E"/>
    <w:rsid w:val="00194B44"/>
    <w:rsid w:val="00195F6E"/>
    <w:rsid w:val="001973D7"/>
    <w:rsid w:val="00197F6D"/>
    <w:rsid w:val="001A081F"/>
    <w:rsid w:val="001A09A1"/>
    <w:rsid w:val="001A19C4"/>
    <w:rsid w:val="001A1A7B"/>
    <w:rsid w:val="001A5293"/>
    <w:rsid w:val="001A597E"/>
    <w:rsid w:val="001A59F6"/>
    <w:rsid w:val="001A67DA"/>
    <w:rsid w:val="001B15C2"/>
    <w:rsid w:val="001B2C93"/>
    <w:rsid w:val="001B3114"/>
    <w:rsid w:val="001B3657"/>
    <w:rsid w:val="001B46ED"/>
    <w:rsid w:val="001C7434"/>
    <w:rsid w:val="001C77DF"/>
    <w:rsid w:val="001C7F41"/>
    <w:rsid w:val="001D0D5A"/>
    <w:rsid w:val="001D250B"/>
    <w:rsid w:val="001D2BBC"/>
    <w:rsid w:val="001D60E0"/>
    <w:rsid w:val="001E3F14"/>
    <w:rsid w:val="001E4409"/>
    <w:rsid w:val="001E59B3"/>
    <w:rsid w:val="001E7993"/>
    <w:rsid w:val="001F0592"/>
    <w:rsid w:val="001F0AA6"/>
    <w:rsid w:val="002011FE"/>
    <w:rsid w:val="002029F8"/>
    <w:rsid w:val="002049E4"/>
    <w:rsid w:val="00205882"/>
    <w:rsid w:val="00210EA6"/>
    <w:rsid w:val="002141F9"/>
    <w:rsid w:val="00217475"/>
    <w:rsid w:val="00220553"/>
    <w:rsid w:val="00221FE0"/>
    <w:rsid w:val="002222FA"/>
    <w:rsid w:val="00225063"/>
    <w:rsid w:val="002272BE"/>
    <w:rsid w:val="0023282F"/>
    <w:rsid w:val="00232CB1"/>
    <w:rsid w:val="002366D5"/>
    <w:rsid w:val="002369F4"/>
    <w:rsid w:val="002373AC"/>
    <w:rsid w:val="0023794B"/>
    <w:rsid w:val="002424F8"/>
    <w:rsid w:val="002470FA"/>
    <w:rsid w:val="002505B3"/>
    <w:rsid w:val="00250DEA"/>
    <w:rsid w:val="00252223"/>
    <w:rsid w:val="00252322"/>
    <w:rsid w:val="00253C56"/>
    <w:rsid w:val="0025460D"/>
    <w:rsid w:val="00254BEC"/>
    <w:rsid w:val="0026026F"/>
    <w:rsid w:val="0026157C"/>
    <w:rsid w:val="00262411"/>
    <w:rsid w:val="00263ECF"/>
    <w:rsid w:val="00264DD5"/>
    <w:rsid w:val="002674E7"/>
    <w:rsid w:val="00273A02"/>
    <w:rsid w:val="00276799"/>
    <w:rsid w:val="002803EA"/>
    <w:rsid w:val="00280D4C"/>
    <w:rsid w:val="00283D41"/>
    <w:rsid w:val="0029065F"/>
    <w:rsid w:val="002911E6"/>
    <w:rsid w:val="002914A7"/>
    <w:rsid w:val="0029290C"/>
    <w:rsid w:val="002943B1"/>
    <w:rsid w:val="0029620B"/>
    <w:rsid w:val="002A2F76"/>
    <w:rsid w:val="002A468E"/>
    <w:rsid w:val="002A57F3"/>
    <w:rsid w:val="002B11C4"/>
    <w:rsid w:val="002B5A00"/>
    <w:rsid w:val="002B634D"/>
    <w:rsid w:val="002B6A6A"/>
    <w:rsid w:val="002B6B23"/>
    <w:rsid w:val="002B7D5B"/>
    <w:rsid w:val="002C181D"/>
    <w:rsid w:val="002D0229"/>
    <w:rsid w:val="002D031D"/>
    <w:rsid w:val="002D04FA"/>
    <w:rsid w:val="002D13BE"/>
    <w:rsid w:val="002D4ADC"/>
    <w:rsid w:val="002D507D"/>
    <w:rsid w:val="002D586C"/>
    <w:rsid w:val="002D656A"/>
    <w:rsid w:val="002D6941"/>
    <w:rsid w:val="002D77AF"/>
    <w:rsid w:val="002D7B5D"/>
    <w:rsid w:val="002E1255"/>
    <w:rsid w:val="002E1E82"/>
    <w:rsid w:val="002E25C3"/>
    <w:rsid w:val="002E433A"/>
    <w:rsid w:val="002F0F47"/>
    <w:rsid w:val="002F262A"/>
    <w:rsid w:val="002F2910"/>
    <w:rsid w:val="002F29DB"/>
    <w:rsid w:val="002F43B3"/>
    <w:rsid w:val="002F6C5A"/>
    <w:rsid w:val="00300C87"/>
    <w:rsid w:val="0030176F"/>
    <w:rsid w:val="00305026"/>
    <w:rsid w:val="0030706E"/>
    <w:rsid w:val="00307E64"/>
    <w:rsid w:val="00310C0C"/>
    <w:rsid w:val="00311A93"/>
    <w:rsid w:val="00311FF5"/>
    <w:rsid w:val="003137A6"/>
    <w:rsid w:val="00313B4D"/>
    <w:rsid w:val="00322C12"/>
    <w:rsid w:val="00323D29"/>
    <w:rsid w:val="00323FEC"/>
    <w:rsid w:val="00325183"/>
    <w:rsid w:val="00325381"/>
    <w:rsid w:val="0032703B"/>
    <w:rsid w:val="00330106"/>
    <w:rsid w:val="0033440D"/>
    <w:rsid w:val="00334E02"/>
    <w:rsid w:val="00335C17"/>
    <w:rsid w:val="00337EF4"/>
    <w:rsid w:val="0034024C"/>
    <w:rsid w:val="003408D4"/>
    <w:rsid w:val="00340EF8"/>
    <w:rsid w:val="0034209B"/>
    <w:rsid w:val="003424F6"/>
    <w:rsid w:val="00342B2E"/>
    <w:rsid w:val="00347AE4"/>
    <w:rsid w:val="00347E13"/>
    <w:rsid w:val="00353993"/>
    <w:rsid w:val="003557A9"/>
    <w:rsid w:val="00357367"/>
    <w:rsid w:val="00357776"/>
    <w:rsid w:val="00362500"/>
    <w:rsid w:val="0036377B"/>
    <w:rsid w:val="00364904"/>
    <w:rsid w:val="00366382"/>
    <w:rsid w:val="003674B1"/>
    <w:rsid w:val="003677E6"/>
    <w:rsid w:val="00370892"/>
    <w:rsid w:val="0037152D"/>
    <w:rsid w:val="003726D7"/>
    <w:rsid w:val="003730AC"/>
    <w:rsid w:val="00377F34"/>
    <w:rsid w:val="00382CA1"/>
    <w:rsid w:val="0038546D"/>
    <w:rsid w:val="00385F1C"/>
    <w:rsid w:val="00386167"/>
    <w:rsid w:val="00386C9E"/>
    <w:rsid w:val="00390937"/>
    <w:rsid w:val="00391124"/>
    <w:rsid w:val="003A02DF"/>
    <w:rsid w:val="003A0551"/>
    <w:rsid w:val="003A1B55"/>
    <w:rsid w:val="003A1D8D"/>
    <w:rsid w:val="003A5BD4"/>
    <w:rsid w:val="003B2EB2"/>
    <w:rsid w:val="003B7FB4"/>
    <w:rsid w:val="003C0D9D"/>
    <w:rsid w:val="003C14D4"/>
    <w:rsid w:val="003C17C7"/>
    <w:rsid w:val="003C322B"/>
    <w:rsid w:val="003C391C"/>
    <w:rsid w:val="003C5188"/>
    <w:rsid w:val="003C560B"/>
    <w:rsid w:val="003C6DF8"/>
    <w:rsid w:val="003C7DA6"/>
    <w:rsid w:val="003D0DD6"/>
    <w:rsid w:val="003D2681"/>
    <w:rsid w:val="003D36DE"/>
    <w:rsid w:val="003D3728"/>
    <w:rsid w:val="003D6094"/>
    <w:rsid w:val="003D7D24"/>
    <w:rsid w:val="003E1CF7"/>
    <w:rsid w:val="003E579B"/>
    <w:rsid w:val="003E5F26"/>
    <w:rsid w:val="003E69A6"/>
    <w:rsid w:val="003F066F"/>
    <w:rsid w:val="003F134A"/>
    <w:rsid w:val="003F31C1"/>
    <w:rsid w:val="003F3BFA"/>
    <w:rsid w:val="003F52C7"/>
    <w:rsid w:val="003F7D2B"/>
    <w:rsid w:val="004008A5"/>
    <w:rsid w:val="00406A43"/>
    <w:rsid w:val="00406CA9"/>
    <w:rsid w:val="00412290"/>
    <w:rsid w:val="00414BCF"/>
    <w:rsid w:val="0041700A"/>
    <w:rsid w:val="00417C5D"/>
    <w:rsid w:val="00422BB5"/>
    <w:rsid w:val="00432A8B"/>
    <w:rsid w:val="00432EB5"/>
    <w:rsid w:val="004361BD"/>
    <w:rsid w:val="00436CDF"/>
    <w:rsid w:val="00440EC2"/>
    <w:rsid w:val="00440FB8"/>
    <w:rsid w:val="00441FC8"/>
    <w:rsid w:val="00444A50"/>
    <w:rsid w:val="00444F7E"/>
    <w:rsid w:val="0045411D"/>
    <w:rsid w:val="0045634D"/>
    <w:rsid w:val="0045661C"/>
    <w:rsid w:val="00457A89"/>
    <w:rsid w:val="00461948"/>
    <w:rsid w:val="004641BE"/>
    <w:rsid w:val="004652B6"/>
    <w:rsid w:val="0046717E"/>
    <w:rsid w:val="004674D4"/>
    <w:rsid w:val="004717D2"/>
    <w:rsid w:val="004723EC"/>
    <w:rsid w:val="004757EE"/>
    <w:rsid w:val="00477620"/>
    <w:rsid w:val="0047777E"/>
    <w:rsid w:val="00483E3F"/>
    <w:rsid w:val="0048450D"/>
    <w:rsid w:val="00485F01"/>
    <w:rsid w:val="00486AFF"/>
    <w:rsid w:val="00490B54"/>
    <w:rsid w:val="00492645"/>
    <w:rsid w:val="00493153"/>
    <w:rsid w:val="0049445B"/>
    <w:rsid w:val="00494B27"/>
    <w:rsid w:val="00494BF7"/>
    <w:rsid w:val="00496F73"/>
    <w:rsid w:val="00497A56"/>
    <w:rsid w:val="004A064E"/>
    <w:rsid w:val="004A3598"/>
    <w:rsid w:val="004B073A"/>
    <w:rsid w:val="004B1B86"/>
    <w:rsid w:val="004B1B94"/>
    <w:rsid w:val="004B1EEB"/>
    <w:rsid w:val="004B3290"/>
    <w:rsid w:val="004B4D62"/>
    <w:rsid w:val="004B6B5A"/>
    <w:rsid w:val="004C1FF6"/>
    <w:rsid w:val="004C3D2B"/>
    <w:rsid w:val="004C61B6"/>
    <w:rsid w:val="004D3512"/>
    <w:rsid w:val="004D5C7D"/>
    <w:rsid w:val="004D6179"/>
    <w:rsid w:val="004E017A"/>
    <w:rsid w:val="004E04B5"/>
    <w:rsid w:val="004E1E63"/>
    <w:rsid w:val="004E36DC"/>
    <w:rsid w:val="004E5CEE"/>
    <w:rsid w:val="004E70D9"/>
    <w:rsid w:val="004F126E"/>
    <w:rsid w:val="004F3EE3"/>
    <w:rsid w:val="004F4458"/>
    <w:rsid w:val="004F63D2"/>
    <w:rsid w:val="00500B2A"/>
    <w:rsid w:val="0050414A"/>
    <w:rsid w:val="00511DA3"/>
    <w:rsid w:val="005138AF"/>
    <w:rsid w:val="00513D78"/>
    <w:rsid w:val="005141AF"/>
    <w:rsid w:val="005143C1"/>
    <w:rsid w:val="00514B66"/>
    <w:rsid w:val="0051607D"/>
    <w:rsid w:val="005162A2"/>
    <w:rsid w:val="00520616"/>
    <w:rsid w:val="00522136"/>
    <w:rsid w:val="005240C9"/>
    <w:rsid w:val="00525582"/>
    <w:rsid w:val="0052579E"/>
    <w:rsid w:val="00525DF7"/>
    <w:rsid w:val="00525E6F"/>
    <w:rsid w:val="005262E9"/>
    <w:rsid w:val="00532ABD"/>
    <w:rsid w:val="00542278"/>
    <w:rsid w:val="0054317E"/>
    <w:rsid w:val="00544260"/>
    <w:rsid w:val="00544D96"/>
    <w:rsid w:val="00545C0B"/>
    <w:rsid w:val="00545F1A"/>
    <w:rsid w:val="005471AB"/>
    <w:rsid w:val="0054756E"/>
    <w:rsid w:val="005500A2"/>
    <w:rsid w:val="005502B1"/>
    <w:rsid w:val="00555653"/>
    <w:rsid w:val="005557A9"/>
    <w:rsid w:val="005661DF"/>
    <w:rsid w:val="005668B5"/>
    <w:rsid w:val="005751E5"/>
    <w:rsid w:val="0057673C"/>
    <w:rsid w:val="00576B0E"/>
    <w:rsid w:val="00581495"/>
    <w:rsid w:val="0058295E"/>
    <w:rsid w:val="00583450"/>
    <w:rsid w:val="00583726"/>
    <w:rsid w:val="00590839"/>
    <w:rsid w:val="00591E8C"/>
    <w:rsid w:val="005921E6"/>
    <w:rsid w:val="00594FA2"/>
    <w:rsid w:val="005965AD"/>
    <w:rsid w:val="00596C11"/>
    <w:rsid w:val="005978DB"/>
    <w:rsid w:val="005A1885"/>
    <w:rsid w:val="005A18FE"/>
    <w:rsid w:val="005A2D8C"/>
    <w:rsid w:val="005A3326"/>
    <w:rsid w:val="005A37AF"/>
    <w:rsid w:val="005A6A78"/>
    <w:rsid w:val="005A793B"/>
    <w:rsid w:val="005B0E1F"/>
    <w:rsid w:val="005B29FD"/>
    <w:rsid w:val="005B2A4C"/>
    <w:rsid w:val="005B583C"/>
    <w:rsid w:val="005B688C"/>
    <w:rsid w:val="005B764C"/>
    <w:rsid w:val="005C1016"/>
    <w:rsid w:val="005C176C"/>
    <w:rsid w:val="005C5639"/>
    <w:rsid w:val="005C6BE7"/>
    <w:rsid w:val="005C7040"/>
    <w:rsid w:val="005D236C"/>
    <w:rsid w:val="005D2B3C"/>
    <w:rsid w:val="005D420D"/>
    <w:rsid w:val="005D6B0D"/>
    <w:rsid w:val="005E1F8D"/>
    <w:rsid w:val="005E29DD"/>
    <w:rsid w:val="005E35AF"/>
    <w:rsid w:val="005E44AC"/>
    <w:rsid w:val="005E5517"/>
    <w:rsid w:val="005E5E3A"/>
    <w:rsid w:val="005F0695"/>
    <w:rsid w:val="005F44A1"/>
    <w:rsid w:val="005F4DEC"/>
    <w:rsid w:val="005F7571"/>
    <w:rsid w:val="005F76A2"/>
    <w:rsid w:val="005F7BAD"/>
    <w:rsid w:val="006005AD"/>
    <w:rsid w:val="006029F4"/>
    <w:rsid w:val="00602CFA"/>
    <w:rsid w:val="006044F8"/>
    <w:rsid w:val="00604E7B"/>
    <w:rsid w:val="00607840"/>
    <w:rsid w:val="00607E56"/>
    <w:rsid w:val="006107F3"/>
    <w:rsid w:val="00610964"/>
    <w:rsid w:val="00610A7B"/>
    <w:rsid w:val="006113FB"/>
    <w:rsid w:val="006116CC"/>
    <w:rsid w:val="00611973"/>
    <w:rsid w:val="006170D3"/>
    <w:rsid w:val="00617C9B"/>
    <w:rsid w:val="0062095C"/>
    <w:rsid w:val="0062226F"/>
    <w:rsid w:val="00625CC1"/>
    <w:rsid w:val="00625D3E"/>
    <w:rsid w:val="00626723"/>
    <w:rsid w:val="00630018"/>
    <w:rsid w:val="0063009F"/>
    <w:rsid w:val="006318FA"/>
    <w:rsid w:val="00634E4A"/>
    <w:rsid w:val="006359C7"/>
    <w:rsid w:val="00636364"/>
    <w:rsid w:val="0063761C"/>
    <w:rsid w:val="00637726"/>
    <w:rsid w:val="0064174B"/>
    <w:rsid w:val="00645ECA"/>
    <w:rsid w:val="00650937"/>
    <w:rsid w:val="00652B52"/>
    <w:rsid w:val="00654BF1"/>
    <w:rsid w:val="0066015A"/>
    <w:rsid w:val="00660952"/>
    <w:rsid w:val="00660BB4"/>
    <w:rsid w:val="006672AA"/>
    <w:rsid w:val="0066736A"/>
    <w:rsid w:val="00667455"/>
    <w:rsid w:val="0067067C"/>
    <w:rsid w:val="006721C5"/>
    <w:rsid w:val="00672C6D"/>
    <w:rsid w:val="00673272"/>
    <w:rsid w:val="00675A8A"/>
    <w:rsid w:val="00676110"/>
    <w:rsid w:val="00676A88"/>
    <w:rsid w:val="006806AA"/>
    <w:rsid w:val="0068113D"/>
    <w:rsid w:val="006812D9"/>
    <w:rsid w:val="00681CC4"/>
    <w:rsid w:val="00683086"/>
    <w:rsid w:val="0068311E"/>
    <w:rsid w:val="00683833"/>
    <w:rsid w:val="00683EBD"/>
    <w:rsid w:val="0068604C"/>
    <w:rsid w:val="00686BD5"/>
    <w:rsid w:val="00687798"/>
    <w:rsid w:val="00687D58"/>
    <w:rsid w:val="006913C7"/>
    <w:rsid w:val="0069305A"/>
    <w:rsid w:val="00695A16"/>
    <w:rsid w:val="00695CC3"/>
    <w:rsid w:val="00696828"/>
    <w:rsid w:val="00697988"/>
    <w:rsid w:val="006A0001"/>
    <w:rsid w:val="006A27A2"/>
    <w:rsid w:val="006A38E4"/>
    <w:rsid w:val="006A4788"/>
    <w:rsid w:val="006A4888"/>
    <w:rsid w:val="006A4A5B"/>
    <w:rsid w:val="006A6D01"/>
    <w:rsid w:val="006A740B"/>
    <w:rsid w:val="006B01B1"/>
    <w:rsid w:val="006B0D3B"/>
    <w:rsid w:val="006B36DD"/>
    <w:rsid w:val="006B3AAB"/>
    <w:rsid w:val="006B4B87"/>
    <w:rsid w:val="006B7853"/>
    <w:rsid w:val="006C1365"/>
    <w:rsid w:val="006C4306"/>
    <w:rsid w:val="006C4659"/>
    <w:rsid w:val="006C657A"/>
    <w:rsid w:val="006D0B98"/>
    <w:rsid w:val="006D2F6F"/>
    <w:rsid w:val="006D3C80"/>
    <w:rsid w:val="006D4395"/>
    <w:rsid w:val="006D56FA"/>
    <w:rsid w:val="006D5DEF"/>
    <w:rsid w:val="006D7A55"/>
    <w:rsid w:val="006E2195"/>
    <w:rsid w:val="006E2B37"/>
    <w:rsid w:val="006E4372"/>
    <w:rsid w:val="006E49AE"/>
    <w:rsid w:val="006E7462"/>
    <w:rsid w:val="006F1B56"/>
    <w:rsid w:val="006F4CC1"/>
    <w:rsid w:val="0070470A"/>
    <w:rsid w:val="007065BA"/>
    <w:rsid w:val="007072A5"/>
    <w:rsid w:val="00707FB2"/>
    <w:rsid w:val="00710E5E"/>
    <w:rsid w:val="007123D4"/>
    <w:rsid w:val="0071482C"/>
    <w:rsid w:val="00716F7A"/>
    <w:rsid w:val="00723413"/>
    <w:rsid w:val="00724F16"/>
    <w:rsid w:val="00726470"/>
    <w:rsid w:val="00727E5F"/>
    <w:rsid w:val="00730B16"/>
    <w:rsid w:val="00730C7C"/>
    <w:rsid w:val="00732AD8"/>
    <w:rsid w:val="00733232"/>
    <w:rsid w:val="00733589"/>
    <w:rsid w:val="00736DCA"/>
    <w:rsid w:val="00737AB0"/>
    <w:rsid w:val="007407BF"/>
    <w:rsid w:val="00751224"/>
    <w:rsid w:val="00752669"/>
    <w:rsid w:val="00753557"/>
    <w:rsid w:val="00754E44"/>
    <w:rsid w:val="00755D9C"/>
    <w:rsid w:val="00756D5B"/>
    <w:rsid w:val="0075711C"/>
    <w:rsid w:val="0075751D"/>
    <w:rsid w:val="007620B0"/>
    <w:rsid w:val="00762121"/>
    <w:rsid w:val="00763F9B"/>
    <w:rsid w:val="00764913"/>
    <w:rsid w:val="00765EC1"/>
    <w:rsid w:val="00766523"/>
    <w:rsid w:val="00772D54"/>
    <w:rsid w:val="00772E99"/>
    <w:rsid w:val="007739F9"/>
    <w:rsid w:val="00774231"/>
    <w:rsid w:val="00775F01"/>
    <w:rsid w:val="00777713"/>
    <w:rsid w:val="0078159C"/>
    <w:rsid w:val="0078347B"/>
    <w:rsid w:val="007855A2"/>
    <w:rsid w:val="00785996"/>
    <w:rsid w:val="007859C6"/>
    <w:rsid w:val="007928BF"/>
    <w:rsid w:val="00792963"/>
    <w:rsid w:val="00795EC1"/>
    <w:rsid w:val="00796037"/>
    <w:rsid w:val="0079629A"/>
    <w:rsid w:val="007A6E10"/>
    <w:rsid w:val="007A6F7D"/>
    <w:rsid w:val="007B0DCC"/>
    <w:rsid w:val="007B1D84"/>
    <w:rsid w:val="007B53B7"/>
    <w:rsid w:val="007B5CA0"/>
    <w:rsid w:val="007B71E3"/>
    <w:rsid w:val="007C0099"/>
    <w:rsid w:val="007C1E3C"/>
    <w:rsid w:val="007C2140"/>
    <w:rsid w:val="007C229C"/>
    <w:rsid w:val="007C31E5"/>
    <w:rsid w:val="007C6296"/>
    <w:rsid w:val="007C6A9F"/>
    <w:rsid w:val="007C7029"/>
    <w:rsid w:val="007C7C7D"/>
    <w:rsid w:val="007D2B55"/>
    <w:rsid w:val="007D3D96"/>
    <w:rsid w:val="007D48F4"/>
    <w:rsid w:val="007D5019"/>
    <w:rsid w:val="007E0B88"/>
    <w:rsid w:val="007E10B4"/>
    <w:rsid w:val="007E2751"/>
    <w:rsid w:val="007E616F"/>
    <w:rsid w:val="007F0A9A"/>
    <w:rsid w:val="007F0C61"/>
    <w:rsid w:val="007F1A58"/>
    <w:rsid w:val="007F2A88"/>
    <w:rsid w:val="007F3EBC"/>
    <w:rsid w:val="007F502E"/>
    <w:rsid w:val="007F65D8"/>
    <w:rsid w:val="007F6DC4"/>
    <w:rsid w:val="00803FFC"/>
    <w:rsid w:val="00804A7A"/>
    <w:rsid w:val="008051D2"/>
    <w:rsid w:val="00805DCE"/>
    <w:rsid w:val="00814CC0"/>
    <w:rsid w:val="00815837"/>
    <w:rsid w:val="0081615E"/>
    <w:rsid w:val="0081637F"/>
    <w:rsid w:val="00816769"/>
    <w:rsid w:val="0082174C"/>
    <w:rsid w:val="00823112"/>
    <w:rsid w:val="00824AFA"/>
    <w:rsid w:val="008258C1"/>
    <w:rsid w:val="00827C4D"/>
    <w:rsid w:val="008328F2"/>
    <w:rsid w:val="00834E6C"/>
    <w:rsid w:val="00834F05"/>
    <w:rsid w:val="00837695"/>
    <w:rsid w:val="00843ADD"/>
    <w:rsid w:val="00844283"/>
    <w:rsid w:val="00844D67"/>
    <w:rsid w:val="00846DFF"/>
    <w:rsid w:val="00847E61"/>
    <w:rsid w:val="00850D9A"/>
    <w:rsid w:val="00851FC2"/>
    <w:rsid w:val="00852155"/>
    <w:rsid w:val="00853AC7"/>
    <w:rsid w:val="0085431F"/>
    <w:rsid w:val="00854EF3"/>
    <w:rsid w:val="00857532"/>
    <w:rsid w:val="00860216"/>
    <w:rsid w:val="00860C5B"/>
    <w:rsid w:val="008628D3"/>
    <w:rsid w:val="0086393C"/>
    <w:rsid w:val="00865D94"/>
    <w:rsid w:val="00867846"/>
    <w:rsid w:val="00871471"/>
    <w:rsid w:val="00871C34"/>
    <w:rsid w:val="00871E8F"/>
    <w:rsid w:val="008730D2"/>
    <w:rsid w:val="008743AC"/>
    <w:rsid w:val="008812F9"/>
    <w:rsid w:val="0088551B"/>
    <w:rsid w:val="0088589C"/>
    <w:rsid w:val="008947A9"/>
    <w:rsid w:val="00895748"/>
    <w:rsid w:val="00896DB1"/>
    <w:rsid w:val="008A25B0"/>
    <w:rsid w:val="008A2EC2"/>
    <w:rsid w:val="008A4CAE"/>
    <w:rsid w:val="008A60AC"/>
    <w:rsid w:val="008B159F"/>
    <w:rsid w:val="008B2561"/>
    <w:rsid w:val="008B5B4E"/>
    <w:rsid w:val="008B61B7"/>
    <w:rsid w:val="008C144B"/>
    <w:rsid w:val="008C1DD2"/>
    <w:rsid w:val="008C2BF9"/>
    <w:rsid w:val="008C5294"/>
    <w:rsid w:val="008D1AB0"/>
    <w:rsid w:val="008D1D1C"/>
    <w:rsid w:val="008D38F4"/>
    <w:rsid w:val="008D486D"/>
    <w:rsid w:val="008D63CF"/>
    <w:rsid w:val="008D7644"/>
    <w:rsid w:val="008E066B"/>
    <w:rsid w:val="008E185A"/>
    <w:rsid w:val="008E3C74"/>
    <w:rsid w:val="008E52FE"/>
    <w:rsid w:val="008E74BF"/>
    <w:rsid w:val="008E7A82"/>
    <w:rsid w:val="008F2BD9"/>
    <w:rsid w:val="008F336A"/>
    <w:rsid w:val="008F59C2"/>
    <w:rsid w:val="008F641E"/>
    <w:rsid w:val="00903CE0"/>
    <w:rsid w:val="00906614"/>
    <w:rsid w:val="00906E7A"/>
    <w:rsid w:val="009104A8"/>
    <w:rsid w:val="00911B7D"/>
    <w:rsid w:val="009153DA"/>
    <w:rsid w:val="00923994"/>
    <w:rsid w:val="0092421D"/>
    <w:rsid w:val="00925858"/>
    <w:rsid w:val="00927334"/>
    <w:rsid w:val="00927973"/>
    <w:rsid w:val="009279A0"/>
    <w:rsid w:val="00931D3F"/>
    <w:rsid w:val="00933F56"/>
    <w:rsid w:val="009349A1"/>
    <w:rsid w:val="009414BA"/>
    <w:rsid w:val="00942372"/>
    <w:rsid w:val="00943A74"/>
    <w:rsid w:val="00944A8F"/>
    <w:rsid w:val="00944BA7"/>
    <w:rsid w:val="00945EC3"/>
    <w:rsid w:val="009465ED"/>
    <w:rsid w:val="0095122E"/>
    <w:rsid w:val="00951F6C"/>
    <w:rsid w:val="00953B39"/>
    <w:rsid w:val="00955FA2"/>
    <w:rsid w:val="00956014"/>
    <w:rsid w:val="009628F3"/>
    <w:rsid w:val="00963E39"/>
    <w:rsid w:val="00964D72"/>
    <w:rsid w:val="00965C1F"/>
    <w:rsid w:val="00965FD4"/>
    <w:rsid w:val="009674CA"/>
    <w:rsid w:val="00970C82"/>
    <w:rsid w:val="00974EE4"/>
    <w:rsid w:val="00976383"/>
    <w:rsid w:val="00976A47"/>
    <w:rsid w:val="00976AA0"/>
    <w:rsid w:val="00976EA5"/>
    <w:rsid w:val="009771BA"/>
    <w:rsid w:val="009779F3"/>
    <w:rsid w:val="00977C69"/>
    <w:rsid w:val="0098064F"/>
    <w:rsid w:val="009806CB"/>
    <w:rsid w:val="00983B31"/>
    <w:rsid w:val="0098564F"/>
    <w:rsid w:val="00985C24"/>
    <w:rsid w:val="00986153"/>
    <w:rsid w:val="00986F46"/>
    <w:rsid w:val="00991AB5"/>
    <w:rsid w:val="00992E5B"/>
    <w:rsid w:val="00993CF5"/>
    <w:rsid w:val="00993F75"/>
    <w:rsid w:val="009942B2"/>
    <w:rsid w:val="00995948"/>
    <w:rsid w:val="0099624E"/>
    <w:rsid w:val="00997BBA"/>
    <w:rsid w:val="009A1E73"/>
    <w:rsid w:val="009A4020"/>
    <w:rsid w:val="009A4C87"/>
    <w:rsid w:val="009A565E"/>
    <w:rsid w:val="009B0B47"/>
    <w:rsid w:val="009B10EC"/>
    <w:rsid w:val="009B18B0"/>
    <w:rsid w:val="009B2A57"/>
    <w:rsid w:val="009B4A8F"/>
    <w:rsid w:val="009B4FAC"/>
    <w:rsid w:val="009B67E9"/>
    <w:rsid w:val="009C1F28"/>
    <w:rsid w:val="009C4652"/>
    <w:rsid w:val="009C60E2"/>
    <w:rsid w:val="009C6BF5"/>
    <w:rsid w:val="009C7861"/>
    <w:rsid w:val="009D1FD8"/>
    <w:rsid w:val="009D2D23"/>
    <w:rsid w:val="009D63FC"/>
    <w:rsid w:val="009D6AEF"/>
    <w:rsid w:val="009D75E4"/>
    <w:rsid w:val="009E1D15"/>
    <w:rsid w:val="009E4A5C"/>
    <w:rsid w:val="009E4E19"/>
    <w:rsid w:val="009E7EA3"/>
    <w:rsid w:val="009F0BF1"/>
    <w:rsid w:val="009F0F45"/>
    <w:rsid w:val="009F303A"/>
    <w:rsid w:val="009F65DD"/>
    <w:rsid w:val="00A001EA"/>
    <w:rsid w:val="00A02936"/>
    <w:rsid w:val="00A02BA4"/>
    <w:rsid w:val="00A02CD0"/>
    <w:rsid w:val="00A07994"/>
    <w:rsid w:val="00A07CDB"/>
    <w:rsid w:val="00A13C7E"/>
    <w:rsid w:val="00A16133"/>
    <w:rsid w:val="00A2191C"/>
    <w:rsid w:val="00A21E29"/>
    <w:rsid w:val="00A241C4"/>
    <w:rsid w:val="00A264B9"/>
    <w:rsid w:val="00A330FE"/>
    <w:rsid w:val="00A34D5E"/>
    <w:rsid w:val="00A35BAC"/>
    <w:rsid w:val="00A36A94"/>
    <w:rsid w:val="00A37263"/>
    <w:rsid w:val="00A44B3C"/>
    <w:rsid w:val="00A4529C"/>
    <w:rsid w:val="00A469CD"/>
    <w:rsid w:val="00A560BE"/>
    <w:rsid w:val="00A563A2"/>
    <w:rsid w:val="00A5677C"/>
    <w:rsid w:val="00A56780"/>
    <w:rsid w:val="00A6018D"/>
    <w:rsid w:val="00A6068D"/>
    <w:rsid w:val="00A61869"/>
    <w:rsid w:val="00A62E87"/>
    <w:rsid w:val="00A62FD1"/>
    <w:rsid w:val="00A65756"/>
    <w:rsid w:val="00A66161"/>
    <w:rsid w:val="00A71668"/>
    <w:rsid w:val="00A72944"/>
    <w:rsid w:val="00A7330F"/>
    <w:rsid w:val="00A73A1B"/>
    <w:rsid w:val="00A7620D"/>
    <w:rsid w:val="00A767AA"/>
    <w:rsid w:val="00A77B27"/>
    <w:rsid w:val="00A83330"/>
    <w:rsid w:val="00A84D44"/>
    <w:rsid w:val="00A85124"/>
    <w:rsid w:val="00A86028"/>
    <w:rsid w:val="00A92298"/>
    <w:rsid w:val="00A9641E"/>
    <w:rsid w:val="00A973A9"/>
    <w:rsid w:val="00AA2228"/>
    <w:rsid w:val="00AA34A0"/>
    <w:rsid w:val="00AA3FE2"/>
    <w:rsid w:val="00AB22FA"/>
    <w:rsid w:val="00AB2327"/>
    <w:rsid w:val="00AB3989"/>
    <w:rsid w:val="00AB39D3"/>
    <w:rsid w:val="00AB3F25"/>
    <w:rsid w:val="00AB4E58"/>
    <w:rsid w:val="00AB5668"/>
    <w:rsid w:val="00AB785F"/>
    <w:rsid w:val="00AB7D91"/>
    <w:rsid w:val="00AC1DC3"/>
    <w:rsid w:val="00AC2903"/>
    <w:rsid w:val="00AC35D0"/>
    <w:rsid w:val="00AC44FE"/>
    <w:rsid w:val="00AC5969"/>
    <w:rsid w:val="00AC635B"/>
    <w:rsid w:val="00AD1738"/>
    <w:rsid w:val="00AD455C"/>
    <w:rsid w:val="00AD5448"/>
    <w:rsid w:val="00AE0AFC"/>
    <w:rsid w:val="00AE2E2B"/>
    <w:rsid w:val="00AE30FF"/>
    <w:rsid w:val="00AE4429"/>
    <w:rsid w:val="00AE5F33"/>
    <w:rsid w:val="00AE667E"/>
    <w:rsid w:val="00AF32DB"/>
    <w:rsid w:val="00AF3448"/>
    <w:rsid w:val="00AF4207"/>
    <w:rsid w:val="00AF4882"/>
    <w:rsid w:val="00AF5093"/>
    <w:rsid w:val="00AF7717"/>
    <w:rsid w:val="00AF7D2A"/>
    <w:rsid w:val="00B02015"/>
    <w:rsid w:val="00B0209B"/>
    <w:rsid w:val="00B04168"/>
    <w:rsid w:val="00B04A5C"/>
    <w:rsid w:val="00B05976"/>
    <w:rsid w:val="00B070B9"/>
    <w:rsid w:val="00B07895"/>
    <w:rsid w:val="00B07A31"/>
    <w:rsid w:val="00B14782"/>
    <w:rsid w:val="00B15628"/>
    <w:rsid w:val="00B177F5"/>
    <w:rsid w:val="00B2033C"/>
    <w:rsid w:val="00B20B7F"/>
    <w:rsid w:val="00B22004"/>
    <w:rsid w:val="00B22675"/>
    <w:rsid w:val="00B22A5D"/>
    <w:rsid w:val="00B23185"/>
    <w:rsid w:val="00B23282"/>
    <w:rsid w:val="00B27EBE"/>
    <w:rsid w:val="00B3340A"/>
    <w:rsid w:val="00B34867"/>
    <w:rsid w:val="00B4410E"/>
    <w:rsid w:val="00B44DCA"/>
    <w:rsid w:val="00B45305"/>
    <w:rsid w:val="00B457D9"/>
    <w:rsid w:val="00B45C9B"/>
    <w:rsid w:val="00B46329"/>
    <w:rsid w:val="00B47399"/>
    <w:rsid w:val="00B476F0"/>
    <w:rsid w:val="00B50D38"/>
    <w:rsid w:val="00B558B7"/>
    <w:rsid w:val="00B57724"/>
    <w:rsid w:val="00B61BAA"/>
    <w:rsid w:val="00B63618"/>
    <w:rsid w:val="00B6510E"/>
    <w:rsid w:val="00B66B0C"/>
    <w:rsid w:val="00B66B27"/>
    <w:rsid w:val="00B706A7"/>
    <w:rsid w:val="00B748B2"/>
    <w:rsid w:val="00B778FF"/>
    <w:rsid w:val="00B8164B"/>
    <w:rsid w:val="00B81EA4"/>
    <w:rsid w:val="00B83EA1"/>
    <w:rsid w:val="00B85A9D"/>
    <w:rsid w:val="00B864DF"/>
    <w:rsid w:val="00B866A1"/>
    <w:rsid w:val="00B86E76"/>
    <w:rsid w:val="00B90C51"/>
    <w:rsid w:val="00B90F92"/>
    <w:rsid w:val="00B91F5C"/>
    <w:rsid w:val="00B93355"/>
    <w:rsid w:val="00B948FC"/>
    <w:rsid w:val="00B953BE"/>
    <w:rsid w:val="00B970C0"/>
    <w:rsid w:val="00BA30DF"/>
    <w:rsid w:val="00BA4DB0"/>
    <w:rsid w:val="00BA5B05"/>
    <w:rsid w:val="00BA7791"/>
    <w:rsid w:val="00BA7A6A"/>
    <w:rsid w:val="00BA7E86"/>
    <w:rsid w:val="00BB1269"/>
    <w:rsid w:val="00BB13A1"/>
    <w:rsid w:val="00BB2486"/>
    <w:rsid w:val="00BB3BDE"/>
    <w:rsid w:val="00BB67A9"/>
    <w:rsid w:val="00BB74E9"/>
    <w:rsid w:val="00BC2323"/>
    <w:rsid w:val="00BD0BB9"/>
    <w:rsid w:val="00BD0F4D"/>
    <w:rsid w:val="00BD4BEB"/>
    <w:rsid w:val="00BD5F98"/>
    <w:rsid w:val="00BE0EA3"/>
    <w:rsid w:val="00BE18BE"/>
    <w:rsid w:val="00BE3E24"/>
    <w:rsid w:val="00BE65BA"/>
    <w:rsid w:val="00BE7F65"/>
    <w:rsid w:val="00BF09EE"/>
    <w:rsid w:val="00BF713C"/>
    <w:rsid w:val="00C01237"/>
    <w:rsid w:val="00C018A3"/>
    <w:rsid w:val="00C019A9"/>
    <w:rsid w:val="00C02048"/>
    <w:rsid w:val="00C03933"/>
    <w:rsid w:val="00C03C2C"/>
    <w:rsid w:val="00C061C4"/>
    <w:rsid w:val="00C07B60"/>
    <w:rsid w:val="00C17854"/>
    <w:rsid w:val="00C22071"/>
    <w:rsid w:val="00C24021"/>
    <w:rsid w:val="00C2525C"/>
    <w:rsid w:val="00C31DB1"/>
    <w:rsid w:val="00C321C7"/>
    <w:rsid w:val="00C32E7D"/>
    <w:rsid w:val="00C32EDA"/>
    <w:rsid w:val="00C33944"/>
    <w:rsid w:val="00C349D8"/>
    <w:rsid w:val="00C42852"/>
    <w:rsid w:val="00C449FE"/>
    <w:rsid w:val="00C45258"/>
    <w:rsid w:val="00C457CA"/>
    <w:rsid w:val="00C45CEE"/>
    <w:rsid w:val="00C4731C"/>
    <w:rsid w:val="00C511A1"/>
    <w:rsid w:val="00C515EB"/>
    <w:rsid w:val="00C526BF"/>
    <w:rsid w:val="00C6180A"/>
    <w:rsid w:val="00C62325"/>
    <w:rsid w:val="00C62C58"/>
    <w:rsid w:val="00C63937"/>
    <w:rsid w:val="00C6455C"/>
    <w:rsid w:val="00C647DA"/>
    <w:rsid w:val="00C66440"/>
    <w:rsid w:val="00C67A2B"/>
    <w:rsid w:val="00C71BC7"/>
    <w:rsid w:val="00C72684"/>
    <w:rsid w:val="00C73ACF"/>
    <w:rsid w:val="00C7401C"/>
    <w:rsid w:val="00C75E24"/>
    <w:rsid w:val="00C80D8A"/>
    <w:rsid w:val="00C83F16"/>
    <w:rsid w:val="00C873DF"/>
    <w:rsid w:val="00C879C7"/>
    <w:rsid w:val="00C9099E"/>
    <w:rsid w:val="00C915FD"/>
    <w:rsid w:val="00C942E5"/>
    <w:rsid w:val="00C956E1"/>
    <w:rsid w:val="00C96248"/>
    <w:rsid w:val="00C966D0"/>
    <w:rsid w:val="00C97395"/>
    <w:rsid w:val="00CA299E"/>
    <w:rsid w:val="00CA3C4E"/>
    <w:rsid w:val="00CA4A6C"/>
    <w:rsid w:val="00CA703F"/>
    <w:rsid w:val="00CB0DCE"/>
    <w:rsid w:val="00CB4FBE"/>
    <w:rsid w:val="00CB657C"/>
    <w:rsid w:val="00CC0135"/>
    <w:rsid w:val="00CC0343"/>
    <w:rsid w:val="00CC23FD"/>
    <w:rsid w:val="00CC2939"/>
    <w:rsid w:val="00CC2C01"/>
    <w:rsid w:val="00CC50F1"/>
    <w:rsid w:val="00CD14FC"/>
    <w:rsid w:val="00CD3F40"/>
    <w:rsid w:val="00CD459F"/>
    <w:rsid w:val="00CE0B53"/>
    <w:rsid w:val="00CF3B4D"/>
    <w:rsid w:val="00CF4872"/>
    <w:rsid w:val="00CF5494"/>
    <w:rsid w:val="00CF7F82"/>
    <w:rsid w:val="00D00C9E"/>
    <w:rsid w:val="00D01331"/>
    <w:rsid w:val="00D01384"/>
    <w:rsid w:val="00D0156A"/>
    <w:rsid w:val="00D0545E"/>
    <w:rsid w:val="00D05C68"/>
    <w:rsid w:val="00D12A6A"/>
    <w:rsid w:val="00D13196"/>
    <w:rsid w:val="00D16342"/>
    <w:rsid w:val="00D17E18"/>
    <w:rsid w:val="00D22BF0"/>
    <w:rsid w:val="00D2784E"/>
    <w:rsid w:val="00D30B77"/>
    <w:rsid w:val="00D377A3"/>
    <w:rsid w:val="00D42025"/>
    <w:rsid w:val="00D437A6"/>
    <w:rsid w:val="00D46E5E"/>
    <w:rsid w:val="00D50B59"/>
    <w:rsid w:val="00D5216D"/>
    <w:rsid w:val="00D5300B"/>
    <w:rsid w:val="00D54AC5"/>
    <w:rsid w:val="00D5622F"/>
    <w:rsid w:val="00D572DD"/>
    <w:rsid w:val="00D6466B"/>
    <w:rsid w:val="00D7068C"/>
    <w:rsid w:val="00D719ED"/>
    <w:rsid w:val="00D7475C"/>
    <w:rsid w:val="00D76778"/>
    <w:rsid w:val="00D771E7"/>
    <w:rsid w:val="00D7777F"/>
    <w:rsid w:val="00D814F3"/>
    <w:rsid w:val="00D82913"/>
    <w:rsid w:val="00D8412C"/>
    <w:rsid w:val="00D95289"/>
    <w:rsid w:val="00D95BA6"/>
    <w:rsid w:val="00D95C69"/>
    <w:rsid w:val="00D9667E"/>
    <w:rsid w:val="00D9786A"/>
    <w:rsid w:val="00DA049A"/>
    <w:rsid w:val="00DA08B4"/>
    <w:rsid w:val="00DA105A"/>
    <w:rsid w:val="00DA15D1"/>
    <w:rsid w:val="00DA2043"/>
    <w:rsid w:val="00DA3600"/>
    <w:rsid w:val="00DA5F09"/>
    <w:rsid w:val="00DA6B7A"/>
    <w:rsid w:val="00DB13D5"/>
    <w:rsid w:val="00DB1767"/>
    <w:rsid w:val="00DB2939"/>
    <w:rsid w:val="00DB3C4A"/>
    <w:rsid w:val="00DB3EE2"/>
    <w:rsid w:val="00DB4F18"/>
    <w:rsid w:val="00DB5988"/>
    <w:rsid w:val="00DB7D25"/>
    <w:rsid w:val="00DC4777"/>
    <w:rsid w:val="00DC47C2"/>
    <w:rsid w:val="00DC48D8"/>
    <w:rsid w:val="00DC61F9"/>
    <w:rsid w:val="00DC669C"/>
    <w:rsid w:val="00DD1CCC"/>
    <w:rsid w:val="00DD2EB2"/>
    <w:rsid w:val="00DD2ECF"/>
    <w:rsid w:val="00DD4070"/>
    <w:rsid w:val="00DD482B"/>
    <w:rsid w:val="00DD5BFA"/>
    <w:rsid w:val="00DD63DC"/>
    <w:rsid w:val="00DD649F"/>
    <w:rsid w:val="00DD7C3B"/>
    <w:rsid w:val="00DE0972"/>
    <w:rsid w:val="00DE1983"/>
    <w:rsid w:val="00DE2EFD"/>
    <w:rsid w:val="00DE4177"/>
    <w:rsid w:val="00DE497E"/>
    <w:rsid w:val="00DE507D"/>
    <w:rsid w:val="00DE6C69"/>
    <w:rsid w:val="00DE6F86"/>
    <w:rsid w:val="00DE781B"/>
    <w:rsid w:val="00DF0C21"/>
    <w:rsid w:val="00DF14D6"/>
    <w:rsid w:val="00DF4131"/>
    <w:rsid w:val="00DF64CE"/>
    <w:rsid w:val="00DF6BEC"/>
    <w:rsid w:val="00E012CF"/>
    <w:rsid w:val="00E02A36"/>
    <w:rsid w:val="00E03B91"/>
    <w:rsid w:val="00E04569"/>
    <w:rsid w:val="00E0569B"/>
    <w:rsid w:val="00E10B84"/>
    <w:rsid w:val="00E1146F"/>
    <w:rsid w:val="00E119C6"/>
    <w:rsid w:val="00E119E9"/>
    <w:rsid w:val="00E13063"/>
    <w:rsid w:val="00E139D8"/>
    <w:rsid w:val="00E156EA"/>
    <w:rsid w:val="00E172BD"/>
    <w:rsid w:val="00E2022A"/>
    <w:rsid w:val="00E25C19"/>
    <w:rsid w:val="00E25FCA"/>
    <w:rsid w:val="00E34D30"/>
    <w:rsid w:val="00E3770A"/>
    <w:rsid w:val="00E37B65"/>
    <w:rsid w:val="00E41271"/>
    <w:rsid w:val="00E420C5"/>
    <w:rsid w:val="00E42763"/>
    <w:rsid w:val="00E42D18"/>
    <w:rsid w:val="00E442CA"/>
    <w:rsid w:val="00E46559"/>
    <w:rsid w:val="00E4657E"/>
    <w:rsid w:val="00E46F1E"/>
    <w:rsid w:val="00E47A61"/>
    <w:rsid w:val="00E51A99"/>
    <w:rsid w:val="00E51B02"/>
    <w:rsid w:val="00E522AD"/>
    <w:rsid w:val="00E52A83"/>
    <w:rsid w:val="00E52DDC"/>
    <w:rsid w:val="00E53290"/>
    <w:rsid w:val="00E5354D"/>
    <w:rsid w:val="00E5384C"/>
    <w:rsid w:val="00E53DD2"/>
    <w:rsid w:val="00E54E28"/>
    <w:rsid w:val="00E6074F"/>
    <w:rsid w:val="00E625E0"/>
    <w:rsid w:val="00E63F5B"/>
    <w:rsid w:val="00E6496A"/>
    <w:rsid w:val="00E65DE5"/>
    <w:rsid w:val="00E66297"/>
    <w:rsid w:val="00E700E2"/>
    <w:rsid w:val="00E71636"/>
    <w:rsid w:val="00E73005"/>
    <w:rsid w:val="00E7314D"/>
    <w:rsid w:val="00E73448"/>
    <w:rsid w:val="00E73FC0"/>
    <w:rsid w:val="00E7457E"/>
    <w:rsid w:val="00E77898"/>
    <w:rsid w:val="00E8018A"/>
    <w:rsid w:val="00E81109"/>
    <w:rsid w:val="00E86995"/>
    <w:rsid w:val="00E913E5"/>
    <w:rsid w:val="00E92C58"/>
    <w:rsid w:val="00E95E1C"/>
    <w:rsid w:val="00E96E2B"/>
    <w:rsid w:val="00E979D1"/>
    <w:rsid w:val="00EA0E43"/>
    <w:rsid w:val="00EA301C"/>
    <w:rsid w:val="00EA5592"/>
    <w:rsid w:val="00EC127B"/>
    <w:rsid w:val="00EC6572"/>
    <w:rsid w:val="00EC6B22"/>
    <w:rsid w:val="00ED0304"/>
    <w:rsid w:val="00ED6204"/>
    <w:rsid w:val="00EE0E2B"/>
    <w:rsid w:val="00EE18D4"/>
    <w:rsid w:val="00EE3371"/>
    <w:rsid w:val="00EE3D50"/>
    <w:rsid w:val="00EE5919"/>
    <w:rsid w:val="00EE5B09"/>
    <w:rsid w:val="00EE5DC5"/>
    <w:rsid w:val="00EF3B05"/>
    <w:rsid w:val="00EF3E83"/>
    <w:rsid w:val="00EF7FAF"/>
    <w:rsid w:val="00F03B3C"/>
    <w:rsid w:val="00F041F3"/>
    <w:rsid w:val="00F06EF5"/>
    <w:rsid w:val="00F0711F"/>
    <w:rsid w:val="00F1017A"/>
    <w:rsid w:val="00F117AF"/>
    <w:rsid w:val="00F13F55"/>
    <w:rsid w:val="00F1645A"/>
    <w:rsid w:val="00F173D1"/>
    <w:rsid w:val="00F174B2"/>
    <w:rsid w:val="00F17E5F"/>
    <w:rsid w:val="00F21166"/>
    <w:rsid w:val="00F21DD6"/>
    <w:rsid w:val="00F22AFA"/>
    <w:rsid w:val="00F2579B"/>
    <w:rsid w:val="00F304D8"/>
    <w:rsid w:val="00F30823"/>
    <w:rsid w:val="00F3092B"/>
    <w:rsid w:val="00F33ED7"/>
    <w:rsid w:val="00F33EDD"/>
    <w:rsid w:val="00F41D9F"/>
    <w:rsid w:val="00F4556D"/>
    <w:rsid w:val="00F47901"/>
    <w:rsid w:val="00F501EB"/>
    <w:rsid w:val="00F51BFA"/>
    <w:rsid w:val="00F54BED"/>
    <w:rsid w:val="00F54FAF"/>
    <w:rsid w:val="00F55E6C"/>
    <w:rsid w:val="00F564C8"/>
    <w:rsid w:val="00F568CA"/>
    <w:rsid w:val="00F573E0"/>
    <w:rsid w:val="00F57E19"/>
    <w:rsid w:val="00F57F4D"/>
    <w:rsid w:val="00F60743"/>
    <w:rsid w:val="00F662C9"/>
    <w:rsid w:val="00F66B7F"/>
    <w:rsid w:val="00F66E88"/>
    <w:rsid w:val="00F6769A"/>
    <w:rsid w:val="00F679DF"/>
    <w:rsid w:val="00F72599"/>
    <w:rsid w:val="00F73A1D"/>
    <w:rsid w:val="00F7453E"/>
    <w:rsid w:val="00F7500A"/>
    <w:rsid w:val="00F76C82"/>
    <w:rsid w:val="00F76EDB"/>
    <w:rsid w:val="00F772BE"/>
    <w:rsid w:val="00F77581"/>
    <w:rsid w:val="00F847F8"/>
    <w:rsid w:val="00F859D5"/>
    <w:rsid w:val="00F876B7"/>
    <w:rsid w:val="00F9206E"/>
    <w:rsid w:val="00F94572"/>
    <w:rsid w:val="00F954A3"/>
    <w:rsid w:val="00F95D9A"/>
    <w:rsid w:val="00F970EB"/>
    <w:rsid w:val="00FA2657"/>
    <w:rsid w:val="00FA34AF"/>
    <w:rsid w:val="00FA4B88"/>
    <w:rsid w:val="00FA6322"/>
    <w:rsid w:val="00FA73C3"/>
    <w:rsid w:val="00FB01D1"/>
    <w:rsid w:val="00FB148B"/>
    <w:rsid w:val="00FB45AA"/>
    <w:rsid w:val="00FB4F6D"/>
    <w:rsid w:val="00FB7B23"/>
    <w:rsid w:val="00FC00D6"/>
    <w:rsid w:val="00FC1AD8"/>
    <w:rsid w:val="00FC1BB7"/>
    <w:rsid w:val="00FC35D7"/>
    <w:rsid w:val="00FC6ABD"/>
    <w:rsid w:val="00FC73F5"/>
    <w:rsid w:val="00FD16BC"/>
    <w:rsid w:val="00FD643F"/>
    <w:rsid w:val="00FE2D67"/>
    <w:rsid w:val="00FE4E8F"/>
    <w:rsid w:val="00FE5DEB"/>
    <w:rsid w:val="00FE7398"/>
    <w:rsid w:val="00FF169E"/>
    <w:rsid w:val="00FF4026"/>
    <w:rsid w:val="00FF72B1"/>
    <w:rsid w:val="00FF761A"/>
    <w:rsid w:val="00FF7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7E"/>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__heading 1"/>
    <w:basedOn w:val="Normal"/>
    <w:rsid w:val="00AB22FA"/>
    <w:pPr>
      <w:jc w:val="center"/>
    </w:pPr>
    <w:rPr>
      <w:rFonts w:cs="Arial"/>
      <w:b/>
      <w:color w:val="333399"/>
      <w:sz w:val="32"/>
      <w:szCs w:val="32"/>
      <w:lang w:eastAsia="en-AU"/>
    </w:rPr>
  </w:style>
  <w:style w:type="character" w:styleId="Hyperlink">
    <w:name w:val="Hyperlink"/>
    <w:basedOn w:val="DefaultParagraphFont"/>
    <w:rsid w:val="00CF5494"/>
    <w:rPr>
      <w:color w:val="0000FF"/>
      <w:u w:val="single"/>
    </w:rPr>
  </w:style>
  <w:style w:type="paragraph" w:customStyle="1" w:styleId="Tableheading">
    <w:name w:val="Table heading"/>
    <w:basedOn w:val="Normal"/>
    <w:rsid w:val="007F1A58"/>
    <w:pPr>
      <w:spacing w:before="60" w:after="120"/>
    </w:pPr>
    <w:rPr>
      <w:rFonts w:ascii="Book Antiqua" w:hAnsi="Book Antiqua"/>
      <w:b/>
    </w:rPr>
  </w:style>
  <w:style w:type="paragraph" w:styleId="Header">
    <w:name w:val="header"/>
    <w:basedOn w:val="Normal"/>
    <w:rsid w:val="00CF5494"/>
    <w:pPr>
      <w:tabs>
        <w:tab w:val="center" w:pos="4153"/>
        <w:tab w:val="right" w:pos="8306"/>
      </w:tabs>
    </w:pPr>
  </w:style>
  <w:style w:type="paragraph" w:styleId="Footer">
    <w:name w:val="footer"/>
    <w:basedOn w:val="Normal"/>
    <w:rsid w:val="00CF5494"/>
    <w:pPr>
      <w:tabs>
        <w:tab w:val="center" w:pos="4153"/>
        <w:tab w:val="right" w:pos="8306"/>
      </w:tabs>
    </w:pPr>
  </w:style>
  <w:style w:type="paragraph" w:styleId="BalloonText">
    <w:name w:val="Balloon Text"/>
    <w:basedOn w:val="Normal"/>
    <w:semiHidden/>
    <w:rsid w:val="00687D58"/>
    <w:rPr>
      <w:rFonts w:ascii="Tahoma" w:hAnsi="Tahoma" w:cs="Tahoma"/>
      <w:sz w:val="16"/>
      <w:szCs w:val="16"/>
    </w:rPr>
  </w:style>
  <w:style w:type="paragraph" w:styleId="FootnoteText">
    <w:name w:val="footnote text"/>
    <w:basedOn w:val="Normal"/>
    <w:link w:val="FootnoteTextChar"/>
    <w:uiPriority w:val="99"/>
    <w:semiHidden/>
    <w:rsid w:val="009674CA"/>
    <w:rPr>
      <w:sz w:val="20"/>
    </w:rPr>
  </w:style>
  <w:style w:type="character" w:styleId="FootnoteReference">
    <w:name w:val="footnote reference"/>
    <w:basedOn w:val="DefaultParagraphFont"/>
    <w:uiPriority w:val="99"/>
    <w:semiHidden/>
    <w:rsid w:val="009674CA"/>
    <w:rPr>
      <w:vertAlign w:val="superscript"/>
    </w:rPr>
  </w:style>
  <w:style w:type="table" w:styleId="TableGrid">
    <w:name w:val="Table Grid"/>
    <w:basedOn w:val="TableNormal"/>
    <w:rsid w:val="0068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5F33"/>
    <w:rPr>
      <w:color w:val="800080"/>
      <w:u w:val="single"/>
    </w:rPr>
  </w:style>
  <w:style w:type="character" w:customStyle="1" w:styleId="EmailStyle251">
    <w:name w:val="EmailStyle251"/>
    <w:basedOn w:val="DefaultParagraphFont"/>
    <w:semiHidden/>
    <w:rsid w:val="00A2191C"/>
    <w:rPr>
      <w:rFonts w:ascii="Arial" w:hAnsi="Arial" w:cs="Arial"/>
      <w:color w:val="auto"/>
      <w:sz w:val="20"/>
      <w:szCs w:val="20"/>
    </w:rPr>
  </w:style>
  <w:style w:type="paragraph" w:styleId="Caption">
    <w:name w:val="caption"/>
    <w:basedOn w:val="Normal"/>
    <w:next w:val="Normal"/>
    <w:unhideWhenUsed/>
    <w:qFormat/>
    <w:rsid w:val="0046717E"/>
    <w:pPr>
      <w:spacing w:after="200"/>
    </w:pPr>
    <w:rPr>
      <w:b/>
      <w:bCs/>
      <w:color w:val="4F81BD" w:themeColor="accent1"/>
      <w:sz w:val="18"/>
      <w:szCs w:val="18"/>
    </w:rPr>
  </w:style>
  <w:style w:type="paragraph" w:customStyle="1" w:styleId="Default">
    <w:name w:val="Default"/>
    <w:rsid w:val="004C3D2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locked/>
    <w:rsid w:val="00A4529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17E"/>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__heading 1"/>
    <w:basedOn w:val="Normal"/>
    <w:rsid w:val="00AB22FA"/>
    <w:pPr>
      <w:jc w:val="center"/>
    </w:pPr>
    <w:rPr>
      <w:rFonts w:cs="Arial"/>
      <w:b/>
      <w:color w:val="333399"/>
      <w:sz w:val="32"/>
      <w:szCs w:val="32"/>
      <w:lang w:eastAsia="en-AU"/>
    </w:rPr>
  </w:style>
  <w:style w:type="character" w:styleId="Hyperlink">
    <w:name w:val="Hyperlink"/>
    <w:basedOn w:val="DefaultParagraphFont"/>
    <w:rsid w:val="00CF5494"/>
    <w:rPr>
      <w:color w:val="0000FF"/>
      <w:u w:val="single"/>
    </w:rPr>
  </w:style>
  <w:style w:type="paragraph" w:customStyle="1" w:styleId="Tableheading">
    <w:name w:val="Table heading"/>
    <w:basedOn w:val="Normal"/>
    <w:rsid w:val="007F1A58"/>
    <w:pPr>
      <w:spacing w:before="60" w:after="120"/>
    </w:pPr>
    <w:rPr>
      <w:rFonts w:ascii="Book Antiqua" w:hAnsi="Book Antiqua"/>
      <w:b/>
    </w:rPr>
  </w:style>
  <w:style w:type="paragraph" w:styleId="Header">
    <w:name w:val="header"/>
    <w:basedOn w:val="Normal"/>
    <w:rsid w:val="00CF5494"/>
    <w:pPr>
      <w:tabs>
        <w:tab w:val="center" w:pos="4153"/>
        <w:tab w:val="right" w:pos="8306"/>
      </w:tabs>
    </w:pPr>
  </w:style>
  <w:style w:type="paragraph" w:styleId="Footer">
    <w:name w:val="footer"/>
    <w:basedOn w:val="Normal"/>
    <w:rsid w:val="00CF5494"/>
    <w:pPr>
      <w:tabs>
        <w:tab w:val="center" w:pos="4153"/>
        <w:tab w:val="right" w:pos="8306"/>
      </w:tabs>
    </w:pPr>
  </w:style>
  <w:style w:type="paragraph" w:styleId="BalloonText">
    <w:name w:val="Balloon Text"/>
    <w:basedOn w:val="Normal"/>
    <w:semiHidden/>
    <w:rsid w:val="00687D58"/>
    <w:rPr>
      <w:rFonts w:ascii="Tahoma" w:hAnsi="Tahoma" w:cs="Tahoma"/>
      <w:sz w:val="16"/>
      <w:szCs w:val="16"/>
    </w:rPr>
  </w:style>
  <w:style w:type="paragraph" w:styleId="FootnoteText">
    <w:name w:val="footnote text"/>
    <w:basedOn w:val="Normal"/>
    <w:link w:val="FootnoteTextChar"/>
    <w:uiPriority w:val="99"/>
    <w:semiHidden/>
    <w:rsid w:val="009674CA"/>
    <w:rPr>
      <w:sz w:val="20"/>
    </w:rPr>
  </w:style>
  <w:style w:type="character" w:styleId="FootnoteReference">
    <w:name w:val="footnote reference"/>
    <w:basedOn w:val="DefaultParagraphFont"/>
    <w:uiPriority w:val="99"/>
    <w:semiHidden/>
    <w:rsid w:val="009674CA"/>
    <w:rPr>
      <w:vertAlign w:val="superscript"/>
    </w:rPr>
  </w:style>
  <w:style w:type="table" w:styleId="TableGrid">
    <w:name w:val="Table Grid"/>
    <w:basedOn w:val="TableNormal"/>
    <w:rsid w:val="0068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5F33"/>
    <w:rPr>
      <w:color w:val="800080"/>
      <w:u w:val="single"/>
    </w:rPr>
  </w:style>
  <w:style w:type="character" w:customStyle="1" w:styleId="EmailStyle251">
    <w:name w:val="EmailStyle251"/>
    <w:basedOn w:val="DefaultParagraphFont"/>
    <w:semiHidden/>
    <w:rsid w:val="00A2191C"/>
    <w:rPr>
      <w:rFonts w:ascii="Arial" w:hAnsi="Arial" w:cs="Arial"/>
      <w:color w:val="auto"/>
      <w:sz w:val="20"/>
      <w:szCs w:val="20"/>
    </w:rPr>
  </w:style>
  <w:style w:type="paragraph" w:styleId="Caption">
    <w:name w:val="caption"/>
    <w:basedOn w:val="Normal"/>
    <w:next w:val="Normal"/>
    <w:unhideWhenUsed/>
    <w:qFormat/>
    <w:rsid w:val="0046717E"/>
    <w:pPr>
      <w:spacing w:after="200"/>
    </w:pPr>
    <w:rPr>
      <w:b/>
      <w:bCs/>
      <w:color w:val="4F81BD" w:themeColor="accent1"/>
      <w:sz w:val="18"/>
      <w:szCs w:val="18"/>
    </w:rPr>
  </w:style>
  <w:style w:type="paragraph" w:customStyle="1" w:styleId="Default">
    <w:name w:val="Default"/>
    <w:rsid w:val="004C3D2B"/>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locked/>
    <w:rsid w:val="00A4529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1368">
      <w:bodyDiv w:val="1"/>
      <w:marLeft w:val="0"/>
      <w:marRight w:val="0"/>
      <w:marTop w:val="0"/>
      <w:marBottom w:val="0"/>
      <w:divBdr>
        <w:top w:val="none" w:sz="0" w:space="0" w:color="auto"/>
        <w:left w:val="none" w:sz="0" w:space="0" w:color="auto"/>
        <w:bottom w:val="none" w:sz="0" w:space="0" w:color="auto"/>
        <w:right w:val="none" w:sz="0" w:space="0" w:color="auto"/>
      </w:divBdr>
    </w:div>
    <w:div w:id="221412431">
      <w:bodyDiv w:val="1"/>
      <w:marLeft w:val="0"/>
      <w:marRight w:val="0"/>
      <w:marTop w:val="0"/>
      <w:marBottom w:val="0"/>
      <w:divBdr>
        <w:top w:val="none" w:sz="0" w:space="0" w:color="auto"/>
        <w:left w:val="none" w:sz="0" w:space="0" w:color="auto"/>
        <w:bottom w:val="none" w:sz="0" w:space="0" w:color="auto"/>
        <w:right w:val="none" w:sz="0" w:space="0" w:color="auto"/>
      </w:divBdr>
    </w:div>
    <w:div w:id="254216131">
      <w:bodyDiv w:val="1"/>
      <w:marLeft w:val="0"/>
      <w:marRight w:val="0"/>
      <w:marTop w:val="0"/>
      <w:marBottom w:val="0"/>
      <w:divBdr>
        <w:top w:val="none" w:sz="0" w:space="0" w:color="auto"/>
        <w:left w:val="none" w:sz="0" w:space="0" w:color="auto"/>
        <w:bottom w:val="none" w:sz="0" w:space="0" w:color="auto"/>
        <w:right w:val="none" w:sz="0" w:space="0" w:color="auto"/>
      </w:divBdr>
    </w:div>
    <w:div w:id="261183585">
      <w:bodyDiv w:val="1"/>
      <w:marLeft w:val="0"/>
      <w:marRight w:val="0"/>
      <w:marTop w:val="0"/>
      <w:marBottom w:val="0"/>
      <w:divBdr>
        <w:top w:val="none" w:sz="0" w:space="0" w:color="auto"/>
        <w:left w:val="none" w:sz="0" w:space="0" w:color="auto"/>
        <w:bottom w:val="none" w:sz="0" w:space="0" w:color="auto"/>
        <w:right w:val="none" w:sz="0" w:space="0" w:color="auto"/>
      </w:divBdr>
    </w:div>
    <w:div w:id="328795759">
      <w:bodyDiv w:val="1"/>
      <w:marLeft w:val="0"/>
      <w:marRight w:val="0"/>
      <w:marTop w:val="0"/>
      <w:marBottom w:val="0"/>
      <w:divBdr>
        <w:top w:val="none" w:sz="0" w:space="0" w:color="auto"/>
        <w:left w:val="none" w:sz="0" w:space="0" w:color="auto"/>
        <w:bottom w:val="none" w:sz="0" w:space="0" w:color="auto"/>
        <w:right w:val="none" w:sz="0" w:space="0" w:color="auto"/>
      </w:divBdr>
    </w:div>
    <w:div w:id="344329031">
      <w:bodyDiv w:val="1"/>
      <w:marLeft w:val="0"/>
      <w:marRight w:val="0"/>
      <w:marTop w:val="0"/>
      <w:marBottom w:val="0"/>
      <w:divBdr>
        <w:top w:val="none" w:sz="0" w:space="0" w:color="auto"/>
        <w:left w:val="none" w:sz="0" w:space="0" w:color="auto"/>
        <w:bottom w:val="none" w:sz="0" w:space="0" w:color="auto"/>
        <w:right w:val="none" w:sz="0" w:space="0" w:color="auto"/>
      </w:divBdr>
    </w:div>
    <w:div w:id="404038723">
      <w:bodyDiv w:val="1"/>
      <w:marLeft w:val="0"/>
      <w:marRight w:val="0"/>
      <w:marTop w:val="0"/>
      <w:marBottom w:val="0"/>
      <w:divBdr>
        <w:top w:val="none" w:sz="0" w:space="0" w:color="auto"/>
        <w:left w:val="none" w:sz="0" w:space="0" w:color="auto"/>
        <w:bottom w:val="none" w:sz="0" w:space="0" w:color="auto"/>
        <w:right w:val="none" w:sz="0" w:space="0" w:color="auto"/>
      </w:divBdr>
    </w:div>
    <w:div w:id="431822037">
      <w:bodyDiv w:val="1"/>
      <w:marLeft w:val="0"/>
      <w:marRight w:val="0"/>
      <w:marTop w:val="0"/>
      <w:marBottom w:val="0"/>
      <w:divBdr>
        <w:top w:val="none" w:sz="0" w:space="0" w:color="auto"/>
        <w:left w:val="none" w:sz="0" w:space="0" w:color="auto"/>
        <w:bottom w:val="none" w:sz="0" w:space="0" w:color="auto"/>
        <w:right w:val="none" w:sz="0" w:space="0" w:color="auto"/>
      </w:divBdr>
    </w:div>
    <w:div w:id="471287742">
      <w:bodyDiv w:val="1"/>
      <w:marLeft w:val="0"/>
      <w:marRight w:val="0"/>
      <w:marTop w:val="0"/>
      <w:marBottom w:val="0"/>
      <w:divBdr>
        <w:top w:val="none" w:sz="0" w:space="0" w:color="auto"/>
        <w:left w:val="none" w:sz="0" w:space="0" w:color="auto"/>
        <w:bottom w:val="none" w:sz="0" w:space="0" w:color="auto"/>
        <w:right w:val="none" w:sz="0" w:space="0" w:color="auto"/>
      </w:divBdr>
    </w:div>
    <w:div w:id="501897746">
      <w:bodyDiv w:val="1"/>
      <w:marLeft w:val="0"/>
      <w:marRight w:val="0"/>
      <w:marTop w:val="0"/>
      <w:marBottom w:val="0"/>
      <w:divBdr>
        <w:top w:val="none" w:sz="0" w:space="0" w:color="auto"/>
        <w:left w:val="none" w:sz="0" w:space="0" w:color="auto"/>
        <w:bottom w:val="none" w:sz="0" w:space="0" w:color="auto"/>
        <w:right w:val="none" w:sz="0" w:space="0" w:color="auto"/>
      </w:divBdr>
    </w:div>
    <w:div w:id="547030401">
      <w:bodyDiv w:val="1"/>
      <w:marLeft w:val="0"/>
      <w:marRight w:val="0"/>
      <w:marTop w:val="0"/>
      <w:marBottom w:val="0"/>
      <w:divBdr>
        <w:top w:val="none" w:sz="0" w:space="0" w:color="auto"/>
        <w:left w:val="none" w:sz="0" w:space="0" w:color="auto"/>
        <w:bottom w:val="none" w:sz="0" w:space="0" w:color="auto"/>
        <w:right w:val="none" w:sz="0" w:space="0" w:color="auto"/>
      </w:divBdr>
    </w:div>
    <w:div w:id="567810170">
      <w:bodyDiv w:val="1"/>
      <w:marLeft w:val="0"/>
      <w:marRight w:val="0"/>
      <w:marTop w:val="0"/>
      <w:marBottom w:val="0"/>
      <w:divBdr>
        <w:top w:val="none" w:sz="0" w:space="0" w:color="auto"/>
        <w:left w:val="none" w:sz="0" w:space="0" w:color="auto"/>
        <w:bottom w:val="none" w:sz="0" w:space="0" w:color="auto"/>
        <w:right w:val="none" w:sz="0" w:space="0" w:color="auto"/>
      </w:divBdr>
    </w:div>
    <w:div w:id="588658807">
      <w:bodyDiv w:val="1"/>
      <w:marLeft w:val="0"/>
      <w:marRight w:val="0"/>
      <w:marTop w:val="0"/>
      <w:marBottom w:val="0"/>
      <w:divBdr>
        <w:top w:val="none" w:sz="0" w:space="0" w:color="auto"/>
        <w:left w:val="none" w:sz="0" w:space="0" w:color="auto"/>
        <w:bottom w:val="none" w:sz="0" w:space="0" w:color="auto"/>
        <w:right w:val="none" w:sz="0" w:space="0" w:color="auto"/>
      </w:divBdr>
    </w:div>
    <w:div w:id="599221041">
      <w:bodyDiv w:val="1"/>
      <w:marLeft w:val="0"/>
      <w:marRight w:val="0"/>
      <w:marTop w:val="0"/>
      <w:marBottom w:val="0"/>
      <w:divBdr>
        <w:top w:val="none" w:sz="0" w:space="0" w:color="auto"/>
        <w:left w:val="none" w:sz="0" w:space="0" w:color="auto"/>
        <w:bottom w:val="none" w:sz="0" w:space="0" w:color="auto"/>
        <w:right w:val="none" w:sz="0" w:space="0" w:color="auto"/>
      </w:divBdr>
    </w:div>
    <w:div w:id="626550234">
      <w:bodyDiv w:val="1"/>
      <w:marLeft w:val="0"/>
      <w:marRight w:val="0"/>
      <w:marTop w:val="0"/>
      <w:marBottom w:val="0"/>
      <w:divBdr>
        <w:top w:val="none" w:sz="0" w:space="0" w:color="auto"/>
        <w:left w:val="none" w:sz="0" w:space="0" w:color="auto"/>
        <w:bottom w:val="none" w:sz="0" w:space="0" w:color="auto"/>
        <w:right w:val="none" w:sz="0" w:space="0" w:color="auto"/>
      </w:divBdr>
    </w:div>
    <w:div w:id="666372673">
      <w:bodyDiv w:val="1"/>
      <w:marLeft w:val="0"/>
      <w:marRight w:val="0"/>
      <w:marTop w:val="0"/>
      <w:marBottom w:val="0"/>
      <w:divBdr>
        <w:top w:val="none" w:sz="0" w:space="0" w:color="auto"/>
        <w:left w:val="none" w:sz="0" w:space="0" w:color="auto"/>
        <w:bottom w:val="none" w:sz="0" w:space="0" w:color="auto"/>
        <w:right w:val="none" w:sz="0" w:space="0" w:color="auto"/>
      </w:divBdr>
    </w:div>
    <w:div w:id="686954665">
      <w:bodyDiv w:val="1"/>
      <w:marLeft w:val="0"/>
      <w:marRight w:val="0"/>
      <w:marTop w:val="0"/>
      <w:marBottom w:val="0"/>
      <w:divBdr>
        <w:top w:val="none" w:sz="0" w:space="0" w:color="auto"/>
        <w:left w:val="none" w:sz="0" w:space="0" w:color="auto"/>
        <w:bottom w:val="none" w:sz="0" w:space="0" w:color="auto"/>
        <w:right w:val="none" w:sz="0" w:space="0" w:color="auto"/>
      </w:divBdr>
    </w:div>
    <w:div w:id="767388684">
      <w:bodyDiv w:val="1"/>
      <w:marLeft w:val="0"/>
      <w:marRight w:val="0"/>
      <w:marTop w:val="0"/>
      <w:marBottom w:val="0"/>
      <w:divBdr>
        <w:top w:val="none" w:sz="0" w:space="0" w:color="auto"/>
        <w:left w:val="none" w:sz="0" w:space="0" w:color="auto"/>
        <w:bottom w:val="none" w:sz="0" w:space="0" w:color="auto"/>
        <w:right w:val="none" w:sz="0" w:space="0" w:color="auto"/>
      </w:divBdr>
    </w:div>
    <w:div w:id="772171898">
      <w:bodyDiv w:val="1"/>
      <w:marLeft w:val="0"/>
      <w:marRight w:val="0"/>
      <w:marTop w:val="0"/>
      <w:marBottom w:val="0"/>
      <w:divBdr>
        <w:top w:val="none" w:sz="0" w:space="0" w:color="auto"/>
        <w:left w:val="none" w:sz="0" w:space="0" w:color="auto"/>
        <w:bottom w:val="none" w:sz="0" w:space="0" w:color="auto"/>
        <w:right w:val="none" w:sz="0" w:space="0" w:color="auto"/>
      </w:divBdr>
    </w:div>
    <w:div w:id="848713281">
      <w:bodyDiv w:val="1"/>
      <w:marLeft w:val="0"/>
      <w:marRight w:val="0"/>
      <w:marTop w:val="0"/>
      <w:marBottom w:val="0"/>
      <w:divBdr>
        <w:top w:val="none" w:sz="0" w:space="0" w:color="auto"/>
        <w:left w:val="none" w:sz="0" w:space="0" w:color="auto"/>
        <w:bottom w:val="none" w:sz="0" w:space="0" w:color="auto"/>
        <w:right w:val="none" w:sz="0" w:space="0" w:color="auto"/>
      </w:divBdr>
    </w:div>
    <w:div w:id="870849397">
      <w:bodyDiv w:val="1"/>
      <w:marLeft w:val="0"/>
      <w:marRight w:val="0"/>
      <w:marTop w:val="0"/>
      <w:marBottom w:val="0"/>
      <w:divBdr>
        <w:top w:val="none" w:sz="0" w:space="0" w:color="auto"/>
        <w:left w:val="none" w:sz="0" w:space="0" w:color="auto"/>
        <w:bottom w:val="none" w:sz="0" w:space="0" w:color="auto"/>
        <w:right w:val="none" w:sz="0" w:space="0" w:color="auto"/>
      </w:divBdr>
    </w:div>
    <w:div w:id="934704530">
      <w:bodyDiv w:val="1"/>
      <w:marLeft w:val="0"/>
      <w:marRight w:val="0"/>
      <w:marTop w:val="0"/>
      <w:marBottom w:val="0"/>
      <w:divBdr>
        <w:top w:val="none" w:sz="0" w:space="0" w:color="auto"/>
        <w:left w:val="none" w:sz="0" w:space="0" w:color="auto"/>
        <w:bottom w:val="none" w:sz="0" w:space="0" w:color="auto"/>
        <w:right w:val="none" w:sz="0" w:space="0" w:color="auto"/>
      </w:divBdr>
    </w:div>
    <w:div w:id="1007288901">
      <w:bodyDiv w:val="1"/>
      <w:marLeft w:val="0"/>
      <w:marRight w:val="0"/>
      <w:marTop w:val="0"/>
      <w:marBottom w:val="0"/>
      <w:divBdr>
        <w:top w:val="none" w:sz="0" w:space="0" w:color="auto"/>
        <w:left w:val="none" w:sz="0" w:space="0" w:color="auto"/>
        <w:bottom w:val="none" w:sz="0" w:space="0" w:color="auto"/>
        <w:right w:val="none" w:sz="0" w:space="0" w:color="auto"/>
      </w:divBdr>
    </w:div>
    <w:div w:id="1099526837">
      <w:bodyDiv w:val="1"/>
      <w:marLeft w:val="0"/>
      <w:marRight w:val="0"/>
      <w:marTop w:val="0"/>
      <w:marBottom w:val="0"/>
      <w:divBdr>
        <w:top w:val="none" w:sz="0" w:space="0" w:color="auto"/>
        <w:left w:val="none" w:sz="0" w:space="0" w:color="auto"/>
        <w:bottom w:val="none" w:sz="0" w:space="0" w:color="auto"/>
        <w:right w:val="none" w:sz="0" w:space="0" w:color="auto"/>
      </w:divBdr>
    </w:div>
    <w:div w:id="1111632582">
      <w:bodyDiv w:val="1"/>
      <w:marLeft w:val="0"/>
      <w:marRight w:val="0"/>
      <w:marTop w:val="0"/>
      <w:marBottom w:val="0"/>
      <w:divBdr>
        <w:top w:val="none" w:sz="0" w:space="0" w:color="auto"/>
        <w:left w:val="none" w:sz="0" w:space="0" w:color="auto"/>
        <w:bottom w:val="none" w:sz="0" w:space="0" w:color="auto"/>
        <w:right w:val="none" w:sz="0" w:space="0" w:color="auto"/>
      </w:divBdr>
    </w:div>
    <w:div w:id="1214149410">
      <w:bodyDiv w:val="1"/>
      <w:marLeft w:val="0"/>
      <w:marRight w:val="0"/>
      <w:marTop w:val="0"/>
      <w:marBottom w:val="0"/>
      <w:divBdr>
        <w:top w:val="none" w:sz="0" w:space="0" w:color="auto"/>
        <w:left w:val="none" w:sz="0" w:space="0" w:color="auto"/>
        <w:bottom w:val="none" w:sz="0" w:space="0" w:color="auto"/>
        <w:right w:val="none" w:sz="0" w:space="0" w:color="auto"/>
      </w:divBdr>
    </w:div>
    <w:div w:id="1407265538">
      <w:bodyDiv w:val="1"/>
      <w:marLeft w:val="0"/>
      <w:marRight w:val="0"/>
      <w:marTop w:val="0"/>
      <w:marBottom w:val="0"/>
      <w:divBdr>
        <w:top w:val="none" w:sz="0" w:space="0" w:color="auto"/>
        <w:left w:val="none" w:sz="0" w:space="0" w:color="auto"/>
        <w:bottom w:val="none" w:sz="0" w:space="0" w:color="auto"/>
        <w:right w:val="none" w:sz="0" w:space="0" w:color="auto"/>
      </w:divBdr>
    </w:div>
    <w:div w:id="1428841807">
      <w:bodyDiv w:val="1"/>
      <w:marLeft w:val="0"/>
      <w:marRight w:val="0"/>
      <w:marTop w:val="0"/>
      <w:marBottom w:val="0"/>
      <w:divBdr>
        <w:top w:val="none" w:sz="0" w:space="0" w:color="auto"/>
        <w:left w:val="none" w:sz="0" w:space="0" w:color="auto"/>
        <w:bottom w:val="none" w:sz="0" w:space="0" w:color="auto"/>
        <w:right w:val="none" w:sz="0" w:space="0" w:color="auto"/>
      </w:divBdr>
    </w:div>
    <w:div w:id="1439451196">
      <w:bodyDiv w:val="1"/>
      <w:marLeft w:val="0"/>
      <w:marRight w:val="0"/>
      <w:marTop w:val="0"/>
      <w:marBottom w:val="0"/>
      <w:divBdr>
        <w:top w:val="none" w:sz="0" w:space="0" w:color="auto"/>
        <w:left w:val="none" w:sz="0" w:space="0" w:color="auto"/>
        <w:bottom w:val="none" w:sz="0" w:space="0" w:color="auto"/>
        <w:right w:val="none" w:sz="0" w:space="0" w:color="auto"/>
      </w:divBdr>
    </w:div>
    <w:div w:id="1474368466">
      <w:bodyDiv w:val="1"/>
      <w:marLeft w:val="0"/>
      <w:marRight w:val="0"/>
      <w:marTop w:val="0"/>
      <w:marBottom w:val="0"/>
      <w:divBdr>
        <w:top w:val="none" w:sz="0" w:space="0" w:color="auto"/>
        <w:left w:val="none" w:sz="0" w:space="0" w:color="auto"/>
        <w:bottom w:val="none" w:sz="0" w:space="0" w:color="auto"/>
        <w:right w:val="none" w:sz="0" w:space="0" w:color="auto"/>
      </w:divBdr>
    </w:div>
    <w:div w:id="1514220900">
      <w:bodyDiv w:val="1"/>
      <w:marLeft w:val="0"/>
      <w:marRight w:val="0"/>
      <w:marTop w:val="0"/>
      <w:marBottom w:val="0"/>
      <w:divBdr>
        <w:top w:val="none" w:sz="0" w:space="0" w:color="auto"/>
        <w:left w:val="none" w:sz="0" w:space="0" w:color="auto"/>
        <w:bottom w:val="none" w:sz="0" w:space="0" w:color="auto"/>
        <w:right w:val="none" w:sz="0" w:space="0" w:color="auto"/>
      </w:divBdr>
    </w:div>
    <w:div w:id="1577014372">
      <w:bodyDiv w:val="1"/>
      <w:marLeft w:val="0"/>
      <w:marRight w:val="0"/>
      <w:marTop w:val="0"/>
      <w:marBottom w:val="0"/>
      <w:divBdr>
        <w:top w:val="none" w:sz="0" w:space="0" w:color="auto"/>
        <w:left w:val="none" w:sz="0" w:space="0" w:color="auto"/>
        <w:bottom w:val="none" w:sz="0" w:space="0" w:color="auto"/>
        <w:right w:val="none" w:sz="0" w:space="0" w:color="auto"/>
      </w:divBdr>
    </w:div>
    <w:div w:id="1594630225">
      <w:bodyDiv w:val="1"/>
      <w:marLeft w:val="0"/>
      <w:marRight w:val="0"/>
      <w:marTop w:val="0"/>
      <w:marBottom w:val="0"/>
      <w:divBdr>
        <w:top w:val="none" w:sz="0" w:space="0" w:color="auto"/>
        <w:left w:val="none" w:sz="0" w:space="0" w:color="auto"/>
        <w:bottom w:val="none" w:sz="0" w:space="0" w:color="auto"/>
        <w:right w:val="none" w:sz="0" w:space="0" w:color="auto"/>
      </w:divBdr>
    </w:div>
    <w:div w:id="1631859210">
      <w:bodyDiv w:val="1"/>
      <w:marLeft w:val="0"/>
      <w:marRight w:val="0"/>
      <w:marTop w:val="0"/>
      <w:marBottom w:val="0"/>
      <w:divBdr>
        <w:top w:val="none" w:sz="0" w:space="0" w:color="auto"/>
        <w:left w:val="none" w:sz="0" w:space="0" w:color="auto"/>
        <w:bottom w:val="none" w:sz="0" w:space="0" w:color="auto"/>
        <w:right w:val="none" w:sz="0" w:space="0" w:color="auto"/>
      </w:divBdr>
    </w:div>
    <w:div w:id="1675111363">
      <w:bodyDiv w:val="1"/>
      <w:marLeft w:val="0"/>
      <w:marRight w:val="0"/>
      <w:marTop w:val="0"/>
      <w:marBottom w:val="0"/>
      <w:divBdr>
        <w:top w:val="none" w:sz="0" w:space="0" w:color="auto"/>
        <w:left w:val="none" w:sz="0" w:space="0" w:color="auto"/>
        <w:bottom w:val="none" w:sz="0" w:space="0" w:color="auto"/>
        <w:right w:val="none" w:sz="0" w:space="0" w:color="auto"/>
      </w:divBdr>
    </w:div>
    <w:div w:id="1700205100">
      <w:bodyDiv w:val="1"/>
      <w:marLeft w:val="0"/>
      <w:marRight w:val="0"/>
      <w:marTop w:val="0"/>
      <w:marBottom w:val="0"/>
      <w:divBdr>
        <w:top w:val="none" w:sz="0" w:space="0" w:color="auto"/>
        <w:left w:val="none" w:sz="0" w:space="0" w:color="auto"/>
        <w:bottom w:val="none" w:sz="0" w:space="0" w:color="auto"/>
        <w:right w:val="none" w:sz="0" w:space="0" w:color="auto"/>
      </w:divBdr>
    </w:div>
    <w:div w:id="1779565936">
      <w:bodyDiv w:val="1"/>
      <w:marLeft w:val="0"/>
      <w:marRight w:val="0"/>
      <w:marTop w:val="0"/>
      <w:marBottom w:val="0"/>
      <w:divBdr>
        <w:top w:val="none" w:sz="0" w:space="0" w:color="auto"/>
        <w:left w:val="none" w:sz="0" w:space="0" w:color="auto"/>
        <w:bottom w:val="none" w:sz="0" w:space="0" w:color="auto"/>
        <w:right w:val="none" w:sz="0" w:space="0" w:color="auto"/>
      </w:divBdr>
    </w:div>
    <w:div w:id="1814327606">
      <w:bodyDiv w:val="1"/>
      <w:marLeft w:val="0"/>
      <w:marRight w:val="0"/>
      <w:marTop w:val="0"/>
      <w:marBottom w:val="0"/>
      <w:divBdr>
        <w:top w:val="none" w:sz="0" w:space="0" w:color="auto"/>
        <w:left w:val="none" w:sz="0" w:space="0" w:color="auto"/>
        <w:bottom w:val="none" w:sz="0" w:space="0" w:color="auto"/>
        <w:right w:val="none" w:sz="0" w:space="0" w:color="auto"/>
      </w:divBdr>
    </w:div>
    <w:div w:id="1898513913">
      <w:bodyDiv w:val="1"/>
      <w:marLeft w:val="0"/>
      <w:marRight w:val="0"/>
      <w:marTop w:val="0"/>
      <w:marBottom w:val="0"/>
      <w:divBdr>
        <w:top w:val="none" w:sz="0" w:space="0" w:color="auto"/>
        <w:left w:val="none" w:sz="0" w:space="0" w:color="auto"/>
        <w:bottom w:val="none" w:sz="0" w:space="0" w:color="auto"/>
        <w:right w:val="none" w:sz="0" w:space="0" w:color="auto"/>
      </w:divBdr>
    </w:div>
    <w:div w:id="1898668126">
      <w:bodyDiv w:val="1"/>
      <w:marLeft w:val="0"/>
      <w:marRight w:val="0"/>
      <w:marTop w:val="0"/>
      <w:marBottom w:val="0"/>
      <w:divBdr>
        <w:top w:val="none" w:sz="0" w:space="0" w:color="auto"/>
        <w:left w:val="none" w:sz="0" w:space="0" w:color="auto"/>
        <w:bottom w:val="none" w:sz="0" w:space="0" w:color="auto"/>
        <w:right w:val="none" w:sz="0" w:space="0" w:color="auto"/>
      </w:divBdr>
    </w:div>
    <w:div w:id="1935017734">
      <w:bodyDiv w:val="1"/>
      <w:marLeft w:val="0"/>
      <w:marRight w:val="0"/>
      <w:marTop w:val="0"/>
      <w:marBottom w:val="0"/>
      <w:divBdr>
        <w:top w:val="none" w:sz="0" w:space="0" w:color="auto"/>
        <w:left w:val="none" w:sz="0" w:space="0" w:color="auto"/>
        <w:bottom w:val="none" w:sz="0" w:space="0" w:color="auto"/>
        <w:right w:val="none" w:sz="0" w:space="0" w:color="auto"/>
      </w:divBdr>
    </w:div>
    <w:div w:id="1943294888">
      <w:bodyDiv w:val="1"/>
      <w:marLeft w:val="0"/>
      <w:marRight w:val="0"/>
      <w:marTop w:val="0"/>
      <w:marBottom w:val="0"/>
      <w:divBdr>
        <w:top w:val="none" w:sz="0" w:space="0" w:color="auto"/>
        <w:left w:val="none" w:sz="0" w:space="0" w:color="auto"/>
        <w:bottom w:val="none" w:sz="0" w:space="0" w:color="auto"/>
        <w:right w:val="none" w:sz="0" w:space="0" w:color="auto"/>
      </w:divBdr>
    </w:div>
    <w:div w:id="2011786570">
      <w:bodyDiv w:val="1"/>
      <w:marLeft w:val="0"/>
      <w:marRight w:val="0"/>
      <w:marTop w:val="0"/>
      <w:marBottom w:val="0"/>
      <w:divBdr>
        <w:top w:val="none" w:sz="0" w:space="0" w:color="auto"/>
        <w:left w:val="none" w:sz="0" w:space="0" w:color="auto"/>
        <w:bottom w:val="none" w:sz="0" w:space="0" w:color="auto"/>
        <w:right w:val="none" w:sz="0" w:space="0" w:color="auto"/>
      </w:divBdr>
    </w:div>
    <w:div w:id="2044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nternationaleducation.gov.au/research/research-snapshots/pages/default.aspx" TargetMode="External"/><Relationship Id="rId1" Type="http://schemas.openxmlformats.org/officeDocument/2006/relationships/hyperlink" Target="mailto:IEResearch@educatio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ts.oecd.org/" TargetMode="External"/><Relationship Id="rId2" Type="http://schemas.openxmlformats.org/officeDocument/2006/relationships/hyperlink" Target="http://www.oecd.org/edu/education-at-a-glance-19991487.htm" TargetMode="External"/><Relationship Id="rId1" Type="http://schemas.openxmlformats.org/officeDocument/2006/relationships/hyperlink" Target="http://monitor.icef.com/2016/11/four-megatrends-changing-competitive-landscape-internation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EC4A1C-06B1-4A52-83F5-8C52423DBD63}"/>
</file>

<file path=customXml/itemProps2.xml><?xml version="1.0" encoding="utf-8"?>
<ds:datastoreItem xmlns:ds="http://schemas.openxmlformats.org/officeDocument/2006/customXml" ds:itemID="{D67D0DD4-F8B4-4671-A84B-26335393C88F}"/>
</file>

<file path=customXml/itemProps3.xml><?xml version="1.0" encoding="utf-8"?>
<ds:datastoreItem xmlns:ds="http://schemas.openxmlformats.org/officeDocument/2006/customXml" ds:itemID="{6AA47237-83E7-43F0-BD30-B4EA24E307CA}"/>
</file>

<file path=customXml/itemProps4.xml><?xml version="1.0" encoding="utf-8"?>
<ds:datastoreItem xmlns:ds="http://schemas.openxmlformats.org/officeDocument/2006/customXml" ds:itemID="{39075B42-5687-46BB-874A-C2E180A43204}"/>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2009 Student Snapshot</vt:lpstr>
    </vt:vector>
  </TitlesOfParts>
  <Company>DEEWR</Company>
  <LinksUpToDate>false</LinksUpToDate>
  <CharactersWithSpaces>2759</CharactersWithSpaces>
  <SharedDoc>false</SharedDoc>
  <HLinks>
    <vt:vector size="12" baseType="variant">
      <vt:variant>
        <vt:i4>7929962</vt:i4>
      </vt:variant>
      <vt:variant>
        <vt:i4>3</vt:i4>
      </vt:variant>
      <vt:variant>
        <vt:i4>0</vt:i4>
      </vt:variant>
      <vt:variant>
        <vt:i4>5</vt:i4>
      </vt:variant>
      <vt:variant>
        <vt:lpwstr>http://aei.gov.au/AEI/PublicationsAndResearch/Snapshots/Default.htm</vt:lpwstr>
      </vt:variant>
      <vt:variant>
        <vt:lpwstr/>
      </vt:variant>
      <vt:variant>
        <vt:i4>2162793</vt:i4>
      </vt:variant>
      <vt:variant>
        <vt:i4>0</vt:i4>
      </vt:variant>
      <vt:variant>
        <vt:i4>0</vt:i4>
      </vt:variant>
      <vt:variant>
        <vt:i4>5</vt:i4>
      </vt:variant>
      <vt:variant>
        <vt:lpwstr>mailto:aei_research@deewr.gov.au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Student Snapshot</dc:title>
  <dc:creator>CI2200</dc:creator>
  <cp:lastModifiedBy>Sereana Vaqewa</cp:lastModifiedBy>
  <cp:revision>3</cp:revision>
  <cp:lastPrinted>2016-11-24T00:40:00Z</cp:lastPrinted>
  <dcterms:created xsi:type="dcterms:W3CDTF">2016-11-24T00:37:00Z</dcterms:created>
  <dcterms:modified xsi:type="dcterms:W3CDTF">2016-11-24T00:41:00Z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y fmtid="{D5CDD505-2E9C-101B-9397-08002B2CF9AE}" pid="7" name="ContentTypeId">
    <vt:lpwstr>0x010100D600AA97F9017A4288665729A97B1723</vt:lpwstr>
  </property>
  <property fmtid="{D5CDD505-2E9C-101B-9397-08002B2CF9AE}" pid="8" name="Order">
    <vt:r8>24900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