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319"/>
      </w:tblGrid>
      <w:tr w:rsidR="007C1CA3" w:rsidTr="00D3643F">
        <w:trPr>
          <w:trHeight w:val="284"/>
        </w:trPr>
        <w:tc>
          <w:tcPr>
            <w:tcW w:w="11319" w:type="dxa"/>
          </w:tcPr>
          <w:p w:rsidR="007C1CA3" w:rsidRDefault="001E3B0C" w:rsidP="00304EF9">
            <w:r>
              <w:rPr>
                <w:noProof/>
              </w:rPr>
              <w:drawing>
                <wp:inline distT="0" distB="0" distL="0" distR="0" wp14:anchorId="7F658313" wp14:editId="74626D1B">
                  <wp:extent cx="7037222" cy="1097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2532"/>
                          <a:stretch/>
                        </pic:blipFill>
                        <pic:spPr bwMode="auto">
                          <a:xfrm>
                            <a:off x="0" y="0"/>
                            <a:ext cx="7042455" cy="1098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CA3" w:rsidTr="00D3643F">
        <w:trPr>
          <w:trHeight w:hRule="exact" w:val="340"/>
        </w:trPr>
        <w:tc>
          <w:tcPr>
            <w:tcW w:w="11319" w:type="dxa"/>
          </w:tcPr>
          <w:p w:rsidR="007C1CA3" w:rsidRPr="001871E9" w:rsidRDefault="00FB7402" w:rsidP="0097508A">
            <w:pPr>
              <w:spacing w:before="80"/>
              <w:ind w:right="57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June</w:t>
            </w:r>
            <w:r w:rsidR="00263025" w:rsidRPr="001871E9">
              <w:rPr>
                <w:b/>
                <w:color w:val="000000"/>
                <w:sz w:val="20"/>
              </w:rPr>
              <w:t xml:space="preserve"> </w:t>
            </w:r>
            <w:r w:rsidR="007C1CA3" w:rsidRPr="001871E9">
              <w:rPr>
                <w:b/>
                <w:color w:val="000000"/>
                <w:sz w:val="20"/>
              </w:rPr>
              <w:t>20</w:t>
            </w:r>
            <w:r w:rsidR="00322227" w:rsidRPr="001871E9">
              <w:rPr>
                <w:b/>
                <w:color w:val="000000"/>
                <w:sz w:val="20"/>
              </w:rPr>
              <w:t>1</w:t>
            </w:r>
            <w:r w:rsidR="0097508A">
              <w:rPr>
                <w:b/>
                <w:color w:val="000000"/>
                <w:sz w:val="20"/>
              </w:rPr>
              <w:t>6</w:t>
            </w:r>
          </w:p>
        </w:tc>
      </w:tr>
      <w:tr w:rsidR="007C1CA3" w:rsidRPr="001871E9" w:rsidTr="001871E9">
        <w:trPr>
          <w:trHeight w:val="263"/>
        </w:trPr>
        <w:tc>
          <w:tcPr>
            <w:tcW w:w="11319" w:type="dxa"/>
          </w:tcPr>
          <w:p w:rsidR="007C1CA3" w:rsidRPr="00AE62CE" w:rsidRDefault="00AF1AC5" w:rsidP="0097508A">
            <w:pPr>
              <w:pStyle w:val="heading10"/>
              <w:rPr>
                <w:rFonts w:asciiTheme="minorHAnsi" w:hAnsiTheme="minorHAnsi" w:cstheme="minorHAnsi"/>
                <w:sz w:val="28"/>
                <w:szCs w:val="28"/>
              </w:rPr>
            </w:pPr>
            <w:r w:rsidRPr="00AE62CE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957076" w:rsidRPr="00AE62CE">
              <w:rPr>
                <w:rFonts w:asciiTheme="minorHAnsi" w:hAnsiTheme="minorHAnsi" w:cstheme="minorHAnsi"/>
                <w:sz w:val="28"/>
                <w:szCs w:val="28"/>
              </w:rPr>
              <w:t>xport i</w:t>
            </w:r>
            <w:r w:rsidR="00C1264E" w:rsidRPr="00AE62CE">
              <w:rPr>
                <w:rFonts w:asciiTheme="minorHAnsi" w:hAnsiTheme="minorHAnsi" w:cstheme="minorHAnsi"/>
                <w:sz w:val="28"/>
                <w:szCs w:val="28"/>
              </w:rPr>
              <w:t>ncome to Australia f</w:t>
            </w:r>
            <w:r w:rsidR="00965CE4" w:rsidRPr="00AE62CE">
              <w:rPr>
                <w:rFonts w:asciiTheme="minorHAnsi" w:hAnsiTheme="minorHAnsi" w:cstheme="minorHAnsi"/>
                <w:sz w:val="28"/>
                <w:szCs w:val="28"/>
              </w:rPr>
              <w:t>rom</w:t>
            </w:r>
            <w:r w:rsidR="00C1264E" w:rsidRPr="00AE62C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64ED4" w:rsidRPr="00AE62CE">
              <w:rPr>
                <w:rFonts w:asciiTheme="minorHAnsi" w:hAnsiTheme="minorHAnsi" w:cstheme="minorHAnsi"/>
                <w:sz w:val="28"/>
                <w:szCs w:val="28"/>
              </w:rPr>
              <w:t>international e</w:t>
            </w:r>
            <w:r w:rsidR="00C1264E" w:rsidRPr="00AE62CE">
              <w:rPr>
                <w:rFonts w:asciiTheme="minorHAnsi" w:hAnsiTheme="minorHAnsi" w:cstheme="minorHAnsi"/>
                <w:sz w:val="28"/>
                <w:szCs w:val="28"/>
              </w:rPr>
              <w:t>ducation</w:t>
            </w:r>
            <w:r w:rsidR="00965CE4" w:rsidRPr="00AE62CE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64ED4" w:rsidRPr="00AE62CE">
              <w:rPr>
                <w:rFonts w:asciiTheme="minorHAnsi" w:hAnsiTheme="minorHAnsi" w:cstheme="minorHAnsi"/>
                <w:sz w:val="28"/>
                <w:szCs w:val="28"/>
              </w:rPr>
              <w:t xml:space="preserve">activity </w:t>
            </w:r>
            <w:r w:rsidR="00E26C3F" w:rsidRPr="00AE62CE">
              <w:rPr>
                <w:rFonts w:asciiTheme="minorHAnsi" w:hAnsiTheme="minorHAnsi" w:cstheme="minorHAnsi"/>
                <w:sz w:val="28"/>
                <w:szCs w:val="28"/>
              </w:rPr>
              <w:t>in 20</w:t>
            </w:r>
            <w:r w:rsidR="003F1548" w:rsidRPr="00AE62C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7508A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</w:tbl>
    <w:p w:rsidR="00022C3C" w:rsidRDefault="00022C3C" w:rsidP="00022C3C">
      <w:pPr>
        <w:spacing w:before="120" w:after="40"/>
        <w:rPr>
          <w:sz w:val="18"/>
          <w:szCs w:val="18"/>
        </w:rPr>
        <w:sectPr w:rsidR="00022C3C" w:rsidSect="00D810B1">
          <w:footerReference w:type="default" r:id="rId10"/>
          <w:footnotePr>
            <w:numFmt w:val="chicago"/>
          </w:footnotePr>
          <w:pgSz w:w="11906" w:h="16838" w:code="9"/>
          <w:pgMar w:top="238" w:right="340" w:bottom="272" w:left="397" w:header="567" w:footer="259" w:gutter="0"/>
          <w:cols w:space="720"/>
          <w:docGrid w:linePitch="272"/>
        </w:sectPr>
      </w:pPr>
    </w:p>
    <w:p w:rsidR="00B4000F" w:rsidRDefault="00F95F58">
      <w:pPr>
        <w:rPr>
          <w:color w:val="C0C0C0"/>
          <w:sz w:val="18"/>
          <w:szCs w:val="18"/>
        </w:rPr>
        <w:sectPr w:rsidR="00B4000F" w:rsidSect="00D810B1">
          <w:footnotePr>
            <w:numFmt w:val="chicago"/>
          </w:footnotePr>
          <w:type w:val="continuous"/>
          <w:pgSz w:w="11906" w:h="16838" w:code="9"/>
          <w:pgMar w:top="238" w:right="340" w:bottom="272" w:left="397" w:header="567" w:footer="259" w:gutter="0"/>
          <w:cols w:num="2" w:space="720" w:equalWidth="0">
            <w:col w:w="5503" w:space="300"/>
            <w:col w:w="5365"/>
          </w:cols>
          <w:docGrid w:linePitch="272"/>
        </w:sectPr>
      </w:pPr>
      <w:r>
        <w:rPr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465048" wp14:editId="3D82C168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3429000" cy="22987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DE" w:rsidRPr="00AE62CE" w:rsidRDefault="004809DE" w:rsidP="00366870">
                            <w:pPr>
                              <w:pStyle w:val="HeadingMajor"/>
                              <w:pageBreakBefore w:val="0"/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spacing w:before="0" w:after="8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snapshot highlights the latest data on international education exports released by the Australian Bureau of Statistics in </w:t>
                            </w:r>
                            <w:r w:rsidR="008A3E55"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its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International Trade in Services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series</w:t>
                            </w:r>
                            <w:r w:rsidRPr="00AE62CE">
                              <w:rPr>
                                <w:rStyle w:val="FootnoteReference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(a)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09DE" w:rsidRPr="00AE62CE" w:rsidRDefault="004809DE" w:rsidP="00366870">
                            <w:pPr>
                              <w:spacing w:after="40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62CE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Size of exports</w:t>
                            </w:r>
                          </w:p>
                          <w:p w:rsidR="00D3643F" w:rsidRPr="0097508A" w:rsidRDefault="00D3643F" w:rsidP="00D3643F">
                            <w:pPr>
                              <w:pStyle w:val="HeadingMajor"/>
                              <w:pageBreakBefore w:val="0"/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spacing w:before="0" w:after="8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International education </w:t>
                            </w:r>
                            <w:proofErr w:type="gramStart"/>
                            <w:r w:rsidR="00B0304C"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activity</w:t>
                            </w:r>
                            <w:r w:rsidR="00B0304C"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b)</w:t>
                            </w:r>
                            <w:r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304C" w:rsidRPr="00AE62CE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arising from international </w:t>
                            </w:r>
                            <w:r w:rsidR="00B0304C" w:rsidRPr="009F3F67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students studying and living in Australia</w:t>
                            </w:r>
                            <w:r w:rsidR="00B0304C" w:rsidRPr="009F3F67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3F67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contributed $</w:t>
                            </w:r>
                            <w:r w:rsidR="00563D4F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18.8</w:t>
                            </w:r>
                            <w:r w:rsidRPr="009F3F67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 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to the economy in 201</w:t>
                            </w:r>
                            <w:r w:rsidR="009F3F67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This is a </w:t>
                            </w:r>
                            <w:r w:rsidR="00563D4F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3.3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% increase from the earnings recorded in </w:t>
                            </w:r>
                            <w:r w:rsidR="00790925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financial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year 201</w:t>
                            </w:r>
                            <w:r w:rsidR="00563D4F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790925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-1</w:t>
                            </w:r>
                            <w:r w:rsidR="00563D4F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563D4F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18.2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</w:t>
                            </w:r>
                            <w:r w:rsidR="00C6537C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7C5810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up </w:t>
                            </w:r>
                            <w:r w:rsidR="004B6B69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10.</w:t>
                            </w:r>
                            <w:r w:rsidR="00B976C6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% on </w:t>
                            </w:r>
                            <w:r w:rsidR="00790925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calendar 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year 201</w:t>
                            </w:r>
                            <w:r w:rsidR="004B6B69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4B6B69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17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793B00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billion)</w:t>
                            </w:r>
                            <w:r w:rsidR="007C5810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up </w:t>
                            </w:r>
                            <w:r w:rsidR="004B6B69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25</w:t>
                            </w:r>
                            <w:r w:rsidR="007C5810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.3% on calendar year 201</w:t>
                            </w:r>
                            <w:r w:rsidR="004B6B69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7C5810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4B6B69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15.0</w:t>
                            </w:r>
                            <w:r w:rsidR="007C5810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billion)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24018E" w:rsidRPr="00AE62CE" w:rsidRDefault="00D3643F" w:rsidP="00D3643F">
                            <w:pPr>
                              <w:pStyle w:val="HeadingMajor"/>
                              <w:pageBreakBefore w:val="0"/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spacing w:before="0" w:after="80" w:line="240" w:lineRule="auto"/>
                              <w:jc w:val="both"/>
                              <w:outlineLvl w:val="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total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export income generated by all international education activity was $</w:t>
                            </w:r>
                            <w:r w:rsidR="004B6B69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19.4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</w:t>
                            </w:r>
                            <w:r w:rsidR="00FB600F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. This comprised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spending by onshore students (</w:t>
                            </w:r>
                            <w:r w:rsidR="00B0304C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ABS uses the term ‘education-related personal travel’ for this item)</w:t>
                            </w:r>
                            <w:r w:rsidR="00B0304C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304C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as well as offshore 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earnings from other educational services</w:t>
                            </w:r>
                            <w:r w:rsidR="00B0304C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royalties</w:t>
                            </w:r>
                            <w:r w:rsidR="00FB600F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which generated an additional $</w:t>
                            </w:r>
                            <w:r w:rsidR="004B6B69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555 </w:t>
                            </w:r>
                            <w:r w:rsidR="00FB600F" w:rsidRPr="004B6B69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18"/>
                              </w:rPr>
                              <w:t>million, as outlined in the table below.</w:t>
                            </w:r>
                          </w:p>
                          <w:p w:rsidR="00EC1625" w:rsidRDefault="00EC1625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1pt;width:270pt;height:1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" stroked="f">
                <v:textbox inset="1mm,0,1mm,0">
                  <w:txbxContent>
                    <w:p w:rsidR="004809DE" w:rsidRPr="00AE62CE" w:rsidRDefault="004809DE" w:rsidP="00366870">
                      <w:pPr>
                        <w:pStyle w:val="HeadingMajor"/>
                        <w:pageBreakBefore w:val="0"/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spacing w:before="0" w:after="80" w:line="240" w:lineRule="auto"/>
                        <w:jc w:val="both"/>
                        <w:outlineLvl w:val="0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This snapshot highlights the latest data on international education exports released by the Australian Bureau of Statistics in </w:t>
                      </w:r>
                      <w:r w:rsidR="008A3E55"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its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i/>
                          <w:color w:val="000000" w:themeColor="text1"/>
                          <w:sz w:val="18"/>
                          <w:szCs w:val="18"/>
                        </w:rPr>
                        <w:t>International Trade in Services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series</w:t>
                      </w:r>
                      <w:r w:rsidRPr="00AE62CE">
                        <w:rPr>
                          <w:rStyle w:val="FootnoteReference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(a)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4809DE" w:rsidRPr="00AE62CE" w:rsidRDefault="004809DE" w:rsidP="00366870">
                      <w:pPr>
                        <w:spacing w:after="40"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E62CE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Size of exports</w:t>
                      </w:r>
                    </w:p>
                    <w:p w:rsidR="00D3643F" w:rsidRPr="0097508A" w:rsidRDefault="00D3643F" w:rsidP="00D3643F">
                      <w:pPr>
                        <w:pStyle w:val="HeadingMajor"/>
                        <w:pageBreakBefore w:val="0"/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spacing w:before="0" w:after="80" w:line="240" w:lineRule="auto"/>
                        <w:jc w:val="both"/>
                        <w:outlineLvl w:val="0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International education </w:t>
                      </w:r>
                      <w:proofErr w:type="gramStart"/>
                      <w:r w:rsidR="00B0304C"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activity</w:t>
                      </w:r>
                      <w:r w:rsidR="00B0304C"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(</w:t>
                      </w:r>
                      <w:proofErr w:type="gramEnd"/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b)</w:t>
                      </w:r>
                      <w:r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0304C" w:rsidRPr="00AE62CE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arising from international </w:t>
                      </w:r>
                      <w:r w:rsidR="00B0304C" w:rsidRPr="009F3F67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students studying and living in Australia</w:t>
                      </w:r>
                      <w:r w:rsidR="00B0304C" w:rsidRPr="009F3F67">
                        <w:rPr>
                          <w:rFonts w:ascii="Arial" w:hAnsi="Arial" w:cs="Arial"/>
                          <w:b w:val="0"/>
                          <w:bCs w:val="0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F3F67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contributed $</w:t>
                      </w:r>
                      <w:r w:rsidR="00563D4F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18.8</w:t>
                      </w:r>
                      <w:r w:rsidRPr="009F3F67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billion 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to the economy in 201</w:t>
                      </w:r>
                      <w:r w:rsidR="009F3F67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. This is a </w:t>
                      </w:r>
                      <w:r w:rsidR="00563D4F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3.3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% increase from the earnings recorded in </w:t>
                      </w:r>
                      <w:r w:rsidR="00790925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financial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year 201</w:t>
                      </w:r>
                      <w:r w:rsidR="00563D4F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790925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-1</w:t>
                      </w:r>
                      <w:r w:rsidR="00563D4F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563D4F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18.2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billio</w:t>
                      </w:r>
                      <w:r w:rsidR="00C6537C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7C5810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up </w:t>
                      </w:r>
                      <w:r w:rsidR="004B6B69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10.</w:t>
                      </w:r>
                      <w:r w:rsidR="00B976C6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% on </w:t>
                      </w:r>
                      <w:r w:rsidR="00790925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calendar 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year 201</w:t>
                      </w:r>
                      <w:r w:rsidR="004B6B69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4B6B69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17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793B00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billion)</w:t>
                      </w:r>
                      <w:r w:rsidR="007C5810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and up </w:t>
                      </w:r>
                      <w:r w:rsidR="004B6B69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25</w:t>
                      </w:r>
                      <w:r w:rsidR="007C5810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.3% on calendar year 201</w:t>
                      </w:r>
                      <w:r w:rsidR="004B6B69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7C5810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4B6B69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15.0</w:t>
                      </w:r>
                      <w:r w:rsidR="007C5810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billion)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24018E" w:rsidRPr="00AE62CE" w:rsidRDefault="00D3643F" w:rsidP="00D3643F">
                      <w:pPr>
                        <w:pStyle w:val="HeadingMajor"/>
                        <w:pageBreakBefore w:val="0"/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spacing w:before="0" w:after="80" w:line="240" w:lineRule="auto"/>
                        <w:jc w:val="both"/>
                        <w:outlineLvl w:val="0"/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i/>
                          <w:color w:val="000000" w:themeColor="text1"/>
                          <w:sz w:val="18"/>
                          <w:szCs w:val="18"/>
                        </w:rPr>
                        <w:t>total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export income generated by all international education activity was $</w:t>
                      </w:r>
                      <w:r w:rsidR="004B6B69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19.4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billion</w:t>
                      </w:r>
                      <w:r w:rsidR="00FB600F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. This comprised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spending by onshore students (</w:t>
                      </w:r>
                      <w:r w:rsidR="00B0304C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ABS uses the term ‘education-related personal travel’ for this item)</w:t>
                      </w:r>
                      <w:r w:rsidR="00B0304C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0304C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as well as offshore 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earnings from other educational services</w:t>
                      </w:r>
                      <w:r w:rsidR="00B0304C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and </w:t>
                      </w:r>
                      <w:r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royalties</w:t>
                      </w:r>
                      <w:r w:rsidR="00FB600F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 which generated an additional $</w:t>
                      </w:r>
                      <w:r w:rsidR="004B6B69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 xml:space="preserve">555 </w:t>
                      </w:r>
                      <w:r w:rsidR="00FB600F" w:rsidRPr="004B6B69">
                        <w:rPr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18"/>
                          <w:szCs w:val="18"/>
                        </w:rPr>
                        <w:t>million, as outlined in the table below.</w:t>
                      </w:r>
                    </w:p>
                    <w:p w:rsidR="00EC1625" w:rsidRDefault="00EC1625"/>
                  </w:txbxContent>
                </v:textbox>
              </v:shape>
            </w:pict>
          </mc:Fallback>
        </mc:AlternateContent>
      </w: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429828" wp14:editId="01D42D86">
                <wp:simplePos x="0" y="0"/>
                <wp:positionH relativeFrom="column">
                  <wp:posOffset>3556000</wp:posOffset>
                </wp:positionH>
                <wp:positionV relativeFrom="paragraph">
                  <wp:posOffset>62865</wp:posOffset>
                </wp:positionV>
                <wp:extent cx="3492500" cy="1739900"/>
                <wp:effectExtent l="3175" t="0" r="0" b="0"/>
                <wp:wrapNone/>
                <wp:docPr id="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DE" w:rsidRPr="0097508A" w:rsidRDefault="00EC1625" w:rsidP="000D392D">
                            <w:pPr>
                              <w:spacing w:after="80"/>
                              <w:jc w:val="both"/>
                              <w:rPr>
                                <w:b/>
                                <w:bCs/>
                                <w:color w:val="C0504D" w:themeColor="accent2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4F7227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Education</w:t>
                            </w:r>
                            <w:r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-related </w:t>
                            </w:r>
                            <w:r w:rsidR="001A4C6E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personal </w:t>
                            </w:r>
                            <w:r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travel is Australia’s </w:t>
                            </w:r>
                            <w:r w:rsidR="009F3F67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9F3F67" w:rsidRPr="004F722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largest export </w:t>
                            </w:r>
                            <w:r w:rsidR="00431A54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after iron ore</w:t>
                            </w:r>
                            <w:r w:rsidR="000D392D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F72B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49.0</w:t>
                            </w:r>
                            <w:r w:rsidR="000D392D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billion)</w:t>
                            </w:r>
                            <w:r w:rsidR="009F3F67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431A54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coal</w:t>
                            </w:r>
                            <w:r w:rsidR="000D392D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F72B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E76B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F72BA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F7519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9F3F67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392D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billion)</w:t>
                            </w:r>
                            <w:r w:rsidR="00431A54" w:rsidRPr="004F722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431A54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It</w:t>
                            </w:r>
                            <w:r w:rsidR="004809DE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</w:t>
                            </w:r>
                            <w:r w:rsidR="000D392D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the</w:t>
                            </w:r>
                            <w:r w:rsidR="004809DE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largest </w:t>
                            </w:r>
                            <w:r w:rsidR="004809DE" w:rsidRPr="00E4034D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services</w:t>
                            </w:r>
                            <w:r w:rsidR="004809DE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export</w:t>
                            </w:r>
                            <w:r w:rsidR="00506CBF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(2</w:t>
                            </w:r>
                            <w:r w:rsidR="00CF527B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506CBF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% of total services exports)</w:t>
                            </w:r>
                            <w:r w:rsidR="00247793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4809DE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ahead of other personal travel services ($</w:t>
                            </w:r>
                            <w:r w:rsidR="00CF527B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F7519F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CF527B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E76B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4809DE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billion); and </w:t>
                            </w:r>
                            <w:r w:rsidR="00036794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34736B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rofessional and management consulting services</w:t>
                            </w:r>
                            <w:r w:rsidR="004809DE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($</w:t>
                            </w:r>
                            <w:r w:rsidR="00F7519F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="004B5143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7F4D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="004809DE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billion).</w:t>
                            </w:r>
                          </w:p>
                          <w:p w:rsidR="004809DE" w:rsidRPr="004F7227" w:rsidRDefault="004809DE" w:rsidP="00366870">
                            <w:pPr>
                              <w:spacing w:after="40"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7227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Education sector</w:t>
                            </w:r>
                            <w:r w:rsidRPr="004F722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="00C6537C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c</w:t>
                            </w:r>
                            <w:r w:rsidRPr="004F7227">
                              <w:rPr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4809DE" w:rsidRPr="00790925" w:rsidRDefault="004809DE" w:rsidP="009305EA">
                            <w:pPr>
                              <w:jc w:val="both"/>
                              <w:rPr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  <w:r w:rsidRPr="004F7227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In 20</w:t>
                            </w:r>
                            <w:r w:rsidR="00936EA8" w:rsidRPr="004F7227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1</w:t>
                            </w:r>
                            <w:r w:rsidR="004F7227" w:rsidRPr="004F7227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5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, the higher education sector generated $</w:t>
                            </w:r>
                            <w:r w:rsidR="009807F9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1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2</w:t>
                            </w:r>
                            <w:r w:rsidR="009807F9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9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billion in export income (</w:t>
                            </w:r>
                            <w:r w:rsidR="009807F9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68.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6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% of total on-shore earnings). VET was the second largest, generating $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3</w:t>
                            </w:r>
                            <w:r w:rsidR="00895C19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1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 billion in earnings (</w:t>
                            </w:r>
                            <w:r w:rsidR="009807F9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1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6</w:t>
                            </w:r>
                            <w:r w:rsidR="009807F9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>4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  <w:lang w:eastAsia="zh-CN"/>
                              </w:rPr>
                              <w:t xml:space="preserve">%). 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Export income from ELICOS was $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1.0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illion (</w:t>
                            </w:r>
                            <w:r w:rsidR="009807F9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5.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%); schools, $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728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million (</w:t>
                            </w:r>
                            <w:r w:rsidR="009807F9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3.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%); and non-award, $</w:t>
                            </w:r>
                            <w:r w:rsidR="00C45525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6</w:t>
                            </w:r>
                            <w:r w:rsidR="00F81658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98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million (</w:t>
                            </w:r>
                            <w:r w:rsidR="00E4034D"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3.7</w:t>
                            </w:r>
                            <w:r w:rsidRPr="00E403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%).</w:t>
                            </w:r>
                            <w:r w:rsidRPr="00790925">
                              <w:rPr>
                                <w:color w:val="C0504D" w:themeColor="accent2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809DE" w:rsidRPr="00B246CA" w:rsidRDefault="004809DE" w:rsidP="00EC1625">
                            <w:pPr>
                              <w:spacing w:before="12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246CA">
                              <w:rPr>
                                <w:b/>
                                <w:sz w:val="18"/>
                                <w:szCs w:val="18"/>
                              </w:rPr>
                              <w:t>Export income by state and territory, 201</w:t>
                            </w:r>
                            <w:r w:rsidR="004F7227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7" type="#_x0000_t202" style="position:absolute;margin-left:280pt;margin-top:4.95pt;width:275pt;height:1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" stroked="f">
                <v:textbox inset="1mm,0,1mm,0">
                  <w:txbxContent>
                    <w:p w:rsidR="004809DE" w:rsidRPr="0097508A" w:rsidRDefault="00EC1625" w:rsidP="000D392D">
                      <w:pPr>
                        <w:spacing w:after="80"/>
                        <w:jc w:val="both"/>
                        <w:rPr>
                          <w:b/>
                          <w:bCs/>
                          <w:color w:val="C0504D" w:themeColor="accent2"/>
                          <w:sz w:val="18"/>
                          <w:szCs w:val="18"/>
                          <w:highlight w:val="yellow"/>
                        </w:rPr>
                      </w:pPr>
                      <w:r w:rsidRPr="004F7227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Education</w:t>
                      </w:r>
                      <w:r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-related </w:t>
                      </w:r>
                      <w:r w:rsidR="001A4C6E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personal </w:t>
                      </w:r>
                      <w:r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travel is Australia’s </w:t>
                      </w:r>
                      <w:r w:rsidR="009F3F67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9F3F67" w:rsidRPr="004F722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largest export </w:t>
                      </w:r>
                      <w:r w:rsidR="00431A54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>after iron ore</w:t>
                      </w:r>
                      <w:r w:rsidR="000D392D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F72BA9">
                        <w:rPr>
                          <w:color w:val="000000" w:themeColor="text1"/>
                          <w:sz w:val="18"/>
                          <w:szCs w:val="18"/>
                        </w:rPr>
                        <w:t>49.0</w:t>
                      </w:r>
                      <w:r w:rsidR="000D392D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billion)</w:t>
                      </w:r>
                      <w:r w:rsidR="009F3F67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</w:t>
                      </w:r>
                      <w:r w:rsidR="00431A54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coal</w:t>
                      </w:r>
                      <w:r w:rsidR="000D392D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F72BA9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E76B39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F72BA9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F7519F">
                        <w:rPr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9F3F67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D392D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>billion)</w:t>
                      </w:r>
                      <w:r w:rsidR="00431A54" w:rsidRPr="004F722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431A54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It</w:t>
                      </w:r>
                      <w:r w:rsidR="004809DE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is </w:t>
                      </w:r>
                      <w:r w:rsidR="000D392D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the</w:t>
                      </w:r>
                      <w:r w:rsidR="004809DE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largest </w:t>
                      </w:r>
                      <w:r w:rsidR="004809DE" w:rsidRPr="00E4034D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services</w:t>
                      </w:r>
                      <w:r w:rsidR="004809DE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export</w:t>
                      </w:r>
                      <w:r w:rsidR="00506CBF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(2</w:t>
                      </w:r>
                      <w:r w:rsidR="00CF527B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506CBF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% of total services exports)</w:t>
                      </w:r>
                      <w:r w:rsidR="00247793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4809DE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ahead of other personal travel services ($</w:t>
                      </w:r>
                      <w:r w:rsidR="00CF527B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="00F7519F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CF527B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E76B39"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4809DE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billion); and </w:t>
                      </w:r>
                      <w:r w:rsidR="00036794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34736B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rofessional and management consulting services</w:t>
                      </w:r>
                      <w:r w:rsidR="004809DE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($</w:t>
                      </w:r>
                      <w:r w:rsidR="00F7519F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="004B5143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7F4D46">
                        <w:rPr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="004809DE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billion).</w:t>
                      </w:r>
                    </w:p>
                    <w:p w:rsidR="004809DE" w:rsidRPr="004F7227" w:rsidRDefault="004809DE" w:rsidP="00366870">
                      <w:pPr>
                        <w:spacing w:after="40"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4F7227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Education sector</w:t>
                      </w:r>
                      <w:r w:rsidRPr="004F722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="00C6537C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c</w:t>
                      </w:r>
                      <w:r w:rsidRPr="004F7227">
                        <w:rPr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4809DE" w:rsidRPr="00790925" w:rsidRDefault="004809DE" w:rsidP="009305EA">
                      <w:pPr>
                        <w:jc w:val="both"/>
                        <w:rPr>
                          <w:color w:val="C0504D" w:themeColor="accent2"/>
                          <w:sz w:val="18"/>
                          <w:szCs w:val="18"/>
                        </w:rPr>
                      </w:pPr>
                      <w:r w:rsidRPr="004F7227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In 20</w:t>
                      </w:r>
                      <w:r w:rsidR="00936EA8" w:rsidRPr="004F7227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1</w:t>
                      </w:r>
                      <w:r w:rsidR="004F7227" w:rsidRPr="004F7227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5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, the higher education sector generated $</w:t>
                      </w:r>
                      <w:r w:rsidR="009807F9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1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2</w:t>
                      </w:r>
                      <w:r w:rsidR="009807F9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.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9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billion in export income (</w:t>
                      </w:r>
                      <w:r w:rsidR="009807F9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68.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6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% of total on-shore earnings). VET was the second largest, generating $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3</w:t>
                      </w:r>
                      <w:r w:rsidR="00895C19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.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1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 billion in earnings (</w:t>
                      </w:r>
                      <w:r w:rsidR="009807F9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1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6</w:t>
                      </w:r>
                      <w:r w:rsidR="009807F9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.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>4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  <w:lang w:eastAsia="zh-CN"/>
                        </w:rPr>
                        <w:t xml:space="preserve">%). 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Export income from ELICOS was $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1.0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b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illion (</w:t>
                      </w:r>
                      <w:r w:rsidR="009807F9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5.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%); schools, $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728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million (</w:t>
                      </w:r>
                      <w:r w:rsidR="009807F9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3.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%); and non-award, $</w:t>
                      </w:r>
                      <w:r w:rsidR="00C45525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6</w:t>
                      </w:r>
                      <w:r w:rsidR="00F81658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98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million (</w:t>
                      </w:r>
                      <w:r w:rsidR="00E4034D"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3.7</w:t>
                      </w:r>
                      <w:r w:rsidRPr="00E4034D">
                        <w:rPr>
                          <w:color w:val="000000" w:themeColor="text1"/>
                          <w:sz w:val="18"/>
                          <w:szCs w:val="18"/>
                        </w:rPr>
                        <w:t>%).</w:t>
                      </w:r>
                      <w:r w:rsidRPr="00790925">
                        <w:rPr>
                          <w:color w:val="C0504D" w:themeColor="accent2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4809DE" w:rsidRPr="00B246CA" w:rsidRDefault="004809DE" w:rsidP="00EC1625">
                      <w:pPr>
                        <w:spacing w:before="120"/>
                        <w:jc w:val="center"/>
                        <w:rPr>
                          <w:b/>
                          <w:sz w:val="18"/>
                          <w:szCs w:val="18"/>
                          <w:lang w:eastAsia="zh-CN"/>
                        </w:rPr>
                      </w:pPr>
                      <w:r w:rsidRPr="00B246CA">
                        <w:rPr>
                          <w:b/>
                          <w:sz w:val="18"/>
                          <w:szCs w:val="18"/>
                        </w:rPr>
                        <w:t>Export income by state and territory, 201</w:t>
                      </w:r>
                      <w:r w:rsidR="004F7227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81069" w:rsidRDefault="00F95F58">
      <w:pPr>
        <w:rPr>
          <w:sz w:val="14"/>
          <w:szCs w:val="14"/>
        </w:rPr>
      </w:pPr>
      <w:r>
        <w:rPr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43E30BE0" wp14:editId="784B71EE">
                <wp:simplePos x="0" y="0"/>
                <wp:positionH relativeFrom="page">
                  <wp:posOffset>433705</wp:posOffset>
                </wp:positionH>
                <wp:positionV relativeFrom="page">
                  <wp:posOffset>9663430</wp:posOffset>
                </wp:positionV>
                <wp:extent cx="6858000" cy="636270"/>
                <wp:effectExtent l="0" t="0" r="4445" b="0"/>
                <wp:wrapTight wrapText="left">
                  <wp:wrapPolygon edited="0">
                    <wp:start x="-32" y="0"/>
                    <wp:lineTo x="-32" y="21126"/>
                    <wp:lineTo x="21600" y="21126"/>
                    <wp:lineTo x="21600" y="0"/>
                    <wp:lineTo x="-32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DE" w:rsidRPr="00AE62CE" w:rsidRDefault="004809DE" w:rsidP="00BD717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E62C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(a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)</w:t>
                            </w:r>
                            <w:bookmarkStart w:id="2" w:name="OLE_LINK4"/>
                            <w:bookmarkStart w:id="3" w:name="OLE_LINK5"/>
                            <w:r w:rsidRPr="00563D4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Sourced from the Australian Bureau of Statistics’ publication 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International Trade in Services, by Country, by State and by Detailed Services 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Category, </w:t>
                            </w:r>
                            <w:r w:rsidR="002E514A" w:rsidRPr="00563D4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Calendar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Year, </w:t>
                            </w:r>
                            <w:r w:rsidR="00EB1CE8" w:rsidRPr="00563D4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2015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(ABS Catalogue no. 5368.0.55.00</w:t>
                            </w:r>
                            <w:r w:rsidR="00790925"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24018E"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published on </w:t>
                            </w:r>
                            <w:r w:rsidR="00EB1CE8"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23 May </w:t>
                            </w:r>
                            <w:r w:rsidR="0024018E"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EB1CE8"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bookmarkEnd w:id="2"/>
                            <w:bookmarkEnd w:id="3"/>
                            <w:r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(b) Includes international students studying onshore on student visas only.</w:t>
                            </w:r>
                            <w:r w:rsidR="0024018E" w:rsidRPr="00563D4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53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(c</w:t>
                            </w:r>
                            <w:r w:rsidR="0078614E"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3E4253"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International students from New Zealand and those on </w:t>
                            </w:r>
                            <w:r w:rsidR="00AE62CE"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Department of Foreign Affairs and Trade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/Defence scholarships contributed an additional $</w:t>
                            </w:r>
                            <w:proofErr w:type="spellStart"/>
                            <w:r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E4034D"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57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$</w:t>
                            </w:r>
                            <w:proofErr w:type="spellStart"/>
                            <w:r w:rsidR="00EA091C"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="00E4034D"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40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proofErr w:type="spellEnd"/>
                            <w:r w:rsidRPr="00E4034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respectively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E4253" w:rsidRPr="00E403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C6537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) Export income </w:t>
                            </w:r>
                            <w:r w:rsidR="00C6537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reported by the ABS 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does not include income generated </w:t>
                            </w:r>
                            <w:r w:rsidR="00BE244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through offshore tuition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244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provided by</w:t>
                            </w:r>
                            <w:r w:rsidRPr="00E4034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Australian institutions.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4.15pt;margin-top:760.9pt;width:540pt;height:50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" stroked="f">
                <v:textbox inset="1.5mm,0,1.5mm,0">
                  <w:txbxContent>
                    <w:p w:rsidR="004809DE" w:rsidRPr="00AE62CE" w:rsidRDefault="004809DE" w:rsidP="00BD717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E62C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(a</w:t>
                      </w:r>
                      <w:r w:rsidRPr="00563D4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)</w:t>
                      </w:r>
                      <w:bookmarkStart w:id="2" w:name="OLE_LINK4"/>
                      <w:bookmarkStart w:id="3" w:name="OLE_LINK5"/>
                      <w:r w:rsidRPr="00563D4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563D4F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Sourced from the Australian Bureau of Statistics’ publication </w:t>
                      </w:r>
                      <w:r w:rsidRPr="00563D4F">
                        <w:rPr>
                          <w:rFonts w:asciiTheme="minorHAnsi" w:hAnsiTheme="minorHAnsi" w:cstheme="minorHAnsi"/>
                          <w:i/>
                          <w:color w:val="000000"/>
                          <w:sz w:val="16"/>
                          <w:szCs w:val="16"/>
                        </w:rPr>
                        <w:t xml:space="preserve">International Trade in Services, by Country, by State and by Detailed Services </w:t>
                      </w:r>
                      <w:r w:rsidRPr="00563D4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Category, </w:t>
                      </w:r>
                      <w:r w:rsidR="002E514A" w:rsidRPr="00563D4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Calendar</w:t>
                      </w:r>
                      <w:r w:rsidRPr="00563D4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Year, </w:t>
                      </w:r>
                      <w:r w:rsidR="00EB1CE8" w:rsidRPr="00563D4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2015</w:t>
                      </w:r>
                      <w:r w:rsidRPr="00563D4F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(ABS Catalogue no. 5368.0.55.00</w:t>
                      </w:r>
                      <w:r w:rsidR="00790925"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24018E"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published on </w:t>
                      </w:r>
                      <w:r w:rsidR="00EB1CE8"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23 May </w:t>
                      </w:r>
                      <w:r w:rsidR="0024018E"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201</w:t>
                      </w:r>
                      <w:r w:rsidR="00EB1CE8"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bookmarkEnd w:id="2"/>
                      <w:bookmarkEnd w:id="3"/>
                      <w:r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 (b) Includes international students studying onshore on student visas only.</w:t>
                      </w:r>
                      <w:r w:rsidR="0024018E" w:rsidRPr="00563D4F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6537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(c</w:t>
                      </w:r>
                      <w:r w:rsidR="0078614E"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3E4253"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International students from New Zealand and those on </w:t>
                      </w:r>
                      <w:r w:rsidR="00AE62CE"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Department of Foreign Affairs and Trade</w:t>
                      </w:r>
                      <w:r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/Defence scholarships contributed an additional $</w:t>
                      </w:r>
                      <w:proofErr w:type="spellStart"/>
                      <w:r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E4034D"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57</w:t>
                      </w:r>
                      <w:r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and $</w:t>
                      </w:r>
                      <w:proofErr w:type="spellStart"/>
                      <w:r w:rsidR="00EA091C"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="00E4034D"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40</w:t>
                      </w:r>
                      <w:r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proofErr w:type="spellEnd"/>
                      <w:r w:rsidRPr="00E4034D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 respectively</w:t>
                      </w:r>
                      <w:r w:rsidRPr="00E403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3E4253" w:rsidRPr="00E403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E403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(</w:t>
                      </w:r>
                      <w:r w:rsidR="00C6537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</w:t>
                      </w:r>
                      <w:r w:rsidRPr="00E403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) Export income </w:t>
                      </w:r>
                      <w:r w:rsidR="00C6537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reported by the ABS </w:t>
                      </w:r>
                      <w:r w:rsidRPr="00E403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does not include income generated </w:t>
                      </w:r>
                      <w:r w:rsidR="00BE244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through offshore tuition</w:t>
                      </w:r>
                      <w:r w:rsidRPr="00E403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BE244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provided by</w:t>
                      </w:r>
                      <w:r w:rsidRPr="00E4034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Australian institutions.</w:t>
                      </w:r>
                    </w:p>
                  </w:txbxContent>
                </v:textbox>
                <w10:wrap type="tight" side="left" anchorx="page" anchory="page"/>
                <w10:anchorlock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15EBB57" wp14:editId="2A45A018">
                <wp:simplePos x="0" y="0"/>
                <wp:positionH relativeFrom="column">
                  <wp:posOffset>-3535045</wp:posOffset>
                </wp:positionH>
                <wp:positionV relativeFrom="paragraph">
                  <wp:posOffset>5962015</wp:posOffset>
                </wp:positionV>
                <wp:extent cx="7048500" cy="86360"/>
                <wp:effectExtent l="0" t="0" r="1270" b="0"/>
                <wp:wrapTight wrapText="left">
                  <wp:wrapPolygon edited="0">
                    <wp:start x="-29" y="0"/>
                    <wp:lineTo x="-29" y="21124"/>
                    <wp:lineTo x="21600" y="21124"/>
                    <wp:lineTo x="21600" y="0"/>
                    <wp:lineTo x="-29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DE" w:rsidRPr="00B13A5A" w:rsidRDefault="004809DE" w:rsidP="00B13A5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78.35pt;margin-top:469.45pt;width:555pt;height:6.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" stroked="f" strokecolor="#f60" strokeweight=".25pt">
                <v:textbox>
                  <w:txbxContent>
                    <w:p w:rsidR="004809DE" w:rsidRPr="00B13A5A" w:rsidRDefault="004809DE" w:rsidP="00B13A5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9A3D4E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BD5C69" w:rsidRDefault="001E702C" w:rsidP="00481069">
      <w:pPr>
        <w:rPr>
          <w:noProof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2ACF38D1" wp14:editId="6AC37CDE">
            <wp:simplePos x="0" y="0"/>
            <wp:positionH relativeFrom="column">
              <wp:posOffset>3719830</wp:posOffset>
            </wp:positionH>
            <wp:positionV relativeFrom="paragraph">
              <wp:posOffset>3810</wp:posOffset>
            </wp:positionV>
            <wp:extent cx="3190240" cy="2392045"/>
            <wp:effectExtent l="0" t="0" r="0" b="8255"/>
            <wp:wrapTight wrapText="bothSides">
              <wp:wrapPolygon edited="0">
                <wp:start x="0" y="0"/>
                <wp:lineTo x="0" y="21503"/>
                <wp:lineTo x="21411" y="21503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39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AF2" w:rsidRDefault="005D7AF2" w:rsidP="00481069">
      <w:pPr>
        <w:rPr>
          <w:noProof/>
          <w:sz w:val="14"/>
          <w:szCs w:val="14"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9167EE" w:rsidRDefault="00CF1332" w:rsidP="00481069">
      <w:pPr>
        <w:rPr>
          <w:noProof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3C173C41" wp14:editId="626F6F24">
            <wp:simplePos x="0" y="0"/>
            <wp:positionH relativeFrom="column">
              <wp:posOffset>69215</wp:posOffset>
            </wp:positionH>
            <wp:positionV relativeFrom="paragraph">
              <wp:posOffset>85725</wp:posOffset>
            </wp:positionV>
            <wp:extent cx="3286125" cy="1894205"/>
            <wp:effectExtent l="0" t="0" r="9525" b="0"/>
            <wp:wrapTight wrapText="bothSides">
              <wp:wrapPolygon edited="0">
                <wp:start x="0" y="0"/>
                <wp:lineTo x="0" y="21289"/>
                <wp:lineTo x="21537" y="21289"/>
                <wp:lineTo x="215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9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A6" w:rsidRDefault="00AD67A6" w:rsidP="00481069">
      <w:pPr>
        <w:rPr>
          <w:noProof/>
        </w:rPr>
      </w:pPr>
    </w:p>
    <w:p w:rsidR="00481069" w:rsidRPr="00481069" w:rsidRDefault="00481069" w:rsidP="00481069">
      <w:pPr>
        <w:rPr>
          <w:sz w:val="14"/>
          <w:szCs w:val="14"/>
        </w:rPr>
      </w:pPr>
    </w:p>
    <w:p w:rsidR="003D1882" w:rsidRDefault="003D1882" w:rsidP="00D612CA">
      <w:pPr>
        <w:rPr>
          <w:noProof/>
        </w:rPr>
      </w:pPr>
    </w:p>
    <w:p w:rsidR="00B05C02" w:rsidRDefault="00B05C02" w:rsidP="00CF1332">
      <w:pPr>
        <w:tabs>
          <w:tab w:val="left" w:pos="728"/>
        </w:tabs>
        <w:rPr>
          <w:noProof/>
        </w:rPr>
      </w:pPr>
    </w:p>
    <w:p w:rsidR="00553029" w:rsidRDefault="00553029" w:rsidP="00D612CA">
      <w:pPr>
        <w:rPr>
          <w:noProof/>
        </w:rPr>
      </w:pPr>
    </w:p>
    <w:p w:rsidR="00D27A8F" w:rsidRDefault="00D27A8F" w:rsidP="00D612CA">
      <w:pPr>
        <w:rPr>
          <w:noProof/>
        </w:rPr>
      </w:pPr>
    </w:p>
    <w:p w:rsidR="00CE147A" w:rsidRDefault="00CE147A" w:rsidP="00D612CA">
      <w:pPr>
        <w:rPr>
          <w:noProof/>
          <w:sz w:val="14"/>
          <w:szCs w:val="14"/>
        </w:rPr>
      </w:pPr>
    </w:p>
    <w:p w:rsidR="009167EE" w:rsidRDefault="009167EE" w:rsidP="00D612CA">
      <w:pPr>
        <w:rPr>
          <w:noProof/>
          <w:sz w:val="14"/>
          <w:szCs w:val="14"/>
        </w:rPr>
      </w:pPr>
    </w:p>
    <w:p w:rsidR="00282FF3" w:rsidRDefault="00282FF3" w:rsidP="00D612CA">
      <w:pPr>
        <w:rPr>
          <w:noProof/>
          <w:sz w:val="14"/>
          <w:szCs w:val="14"/>
        </w:rPr>
      </w:pPr>
    </w:p>
    <w:tbl>
      <w:tblPr>
        <w:tblpPr w:leftFromText="180" w:rightFromText="180" w:vertAnchor="text" w:horzAnchor="margin" w:tblpXSpec="center" w:tblpY="1456"/>
        <w:tblW w:w="9464" w:type="dxa"/>
        <w:tblLook w:val="0000" w:firstRow="0" w:lastRow="0" w:firstColumn="0" w:lastColumn="0" w:noHBand="0" w:noVBand="0"/>
      </w:tblPr>
      <w:tblGrid>
        <w:gridCol w:w="3982"/>
        <w:gridCol w:w="993"/>
        <w:gridCol w:w="992"/>
        <w:gridCol w:w="895"/>
        <w:gridCol w:w="1251"/>
        <w:gridCol w:w="1351"/>
      </w:tblGrid>
      <w:tr w:rsidR="003D1882" w:rsidRPr="002C0851" w:rsidTr="003D1882">
        <w:trPr>
          <w:trHeight w:val="277"/>
        </w:trPr>
        <w:tc>
          <w:tcPr>
            <w:tcW w:w="8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882" w:rsidRPr="00043946" w:rsidRDefault="003D1882" w:rsidP="003D1882">
            <w:pPr>
              <w:rPr>
                <w:rFonts w:asciiTheme="minorHAnsi" w:hAnsiTheme="minorHAnsi" w:cstheme="minorHAnsi"/>
                <w:b/>
                <w:bCs/>
              </w:rPr>
            </w:pPr>
            <w:r w:rsidRPr="00043946">
              <w:rPr>
                <w:rFonts w:asciiTheme="minorHAnsi" w:hAnsiTheme="minorHAnsi" w:cstheme="minorHAnsi"/>
                <w:b/>
                <w:bCs/>
              </w:rPr>
              <w:t xml:space="preserve">Australia's </w:t>
            </w:r>
            <w:r>
              <w:rPr>
                <w:rFonts w:asciiTheme="minorHAnsi" w:hAnsiTheme="minorHAnsi" w:cstheme="minorHAnsi"/>
                <w:b/>
                <w:bCs/>
              </w:rPr>
              <w:t>total e</w:t>
            </w:r>
            <w:r w:rsidRPr="00043946">
              <w:rPr>
                <w:rFonts w:asciiTheme="minorHAnsi" w:hAnsiTheme="minorHAnsi" w:cstheme="minorHAnsi"/>
                <w:b/>
                <w:bCs/>
              </w:rPr>
              <w:t xml:space="preserve">xports of </w:t>
            </w: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043946">
              <w:rPr>
                <w:rFonts w:asciiTheme="minorHAnsi" w:hAnsiTheme="minorHAnsi" w:cstheme="minorHAnsi"/>
                <w:b/>
                <w:bCs/>
              </w:rPr>
              <w:t>ducation</w:t>
            </w:r>
            <w:r>
              <w:rPr>
                <w:rFonts w:asciiTheme="minorHAnsi" w:hAnsiTheme="minorHAnsi" w:cstheme="minorHAnsi"/>
                <w:b/>
                <w:bCs/>
              </w:rPr>
              <w:t>-related s</w:t>
            </w:r>
            <w:r w:rsidRPr="00043946">
              <w:rPr>
                <w:rFonts w:asciiTheme="minorHAnsi" w:hAnsiTheme="minorHAnsi" w:cstheme="minorHAnsi"/>
                <w:b/>
                <w:bCs/>
              </w:rPr>
              <w:t>ervices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1882" w:rsidRPr="00110DA7" w:rsidRDefault="003D1882" w:rsidP="003D18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1882" w:rsidRPr="00E600AE" w:rsidTr="003D1882">
        <w:trPr>
          <w:trHeight w:val="98"/>
        </w:trPr>
        <w:tc>
          <w:tcPr>
            <w:tcW w:w="3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882" w:rsidRPr="00110DA7" w:rsidRDefault="003D1882" w:rsidP="003D18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1882" w:rsidRPr="00110DA7" w:rsidRDefault="003D1882" w:rsidP="003D1882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A$ million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D1882" w:rsidRPr="00110DA7" w:rsidRDefault="003D1882" w:rsidP="00E4034D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% share</w:t>
            </w:r>
            <w:r w:rsidRPr="00110DA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br/>
              <w:t xml:space="preserve"> of 201</w:t>
            </w:r>
            <w:r w:rsidR="00E4034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3D1882" w:rsidRPr="00110DA7" w:rsidRDefault="003D1882" w:rsidP="003D1882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% change</w:t>
            </w:r>
          </w:p>
          <w:p w:rsidR="003D1882" w:rsidRPr="00110DA7" w:rsidRDefault="003D1882" w:rsidP="00E4034D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from </w:t>
            </w:r>
            <w:r w:rsidRPr="00110DA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201</w:t>
            </w:r>
            <w:r w:rsidR="00E4034D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E4034D" w:rsidRPr="00E600AE" w:rsidTr="003D1882">
        <w:trPr>
          <w:trHeight w:val="198"/>
        </w:trPr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Pr="00110DA7" w:rsidRDefault="00E4034D" w:rsidP="003D18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2015</w:t>
            </w:r>
          </w:p>
        </w:tc>
        <w:tc>
          <w:tcPr>
            <w:tcW w:w="12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4034D" w:rsidRPr="00110DA7" w:rsidRDefault="00E4034D" w:rsidP="003D188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4034D" w:rsidRPr="00110DA7" w:rsidRDefault="00E4034D" w:rsidP="003D1882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Pr="00110DA7" w:rsidRDefault="00E4034D" w:rsidP="003D1882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Education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110DA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related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personal</w:t>
            </w:r>
            <w:r w:rsidRPr="00110DA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8"/>
                <w:szCs w:val="18"/>
              </w:rPr>
              <w:t>travel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15,010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17,037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18,801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97.1%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10.4%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4,971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25.7%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11.2%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2,148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26.1%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1,016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Republic of Korea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6.3%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Pakistan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14.8%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002EA7">
            <w:pPr>
              <w:ind w:firstLineChars="100" w:firstLine="1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Default="00E4034D" w:rsidP="003D1882">
            <w:pPr>
              <w:ind w:firstLineChars="100" w:firstLine="1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Other countries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5,178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5,703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6,110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31.6%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7.1%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Pr="00110DA7" w:rsidRDefault="00E4034D" w:rsidP="0001541F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Other educational services</w:t>
            </w:r>
            <w:r w:rsidRPr="00BD7176">
              <w:rPr>
                <w:color w:val="000000" w:themeColor="text1"/>
                <w:sz w:val="18"/>
                <w:szCs w:val="18"/>
                <w:vertAlign w:val="superscript"/>
              </w:rPr>
              <w:t>(</w:t>
            </w:r>
            <w:r w:rsidR="00C6537C">
              <w:rPr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BD7176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2.7%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-6.1%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Pr="00110DA7" w:rsidRDefault="00E4034D" w:rsidP="003D1882">
            <w:pPr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sz w:val="18"/>
                <w:szCs w:val="18"/>
              </w:rPr>
              <w:t>Education consultancy services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15.7%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Pr="00110DA7" w:rsidRDefault="00E4034D" w:rsidP="003D1882">
            <w:pPr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sz w:val="18"/>
                <w:szCs w:val="18"/>
              </w:rPr>
              <w:t>Correspondence courses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33.3%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034D" w:rsidRPr="00110DA7" w:rsidRDefault="00E4034D" w:rsidP="003D1882">
            <w:pPr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sz w:val="18"/>
                <w:szCs w:val="18"/>
              </w:rPr>
              <w:t>Services through educational institutions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-17.4%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4034D" w:rsidRPr="00110DA7" w:rsidRDefault="00E4034D" w:rsidP="003D1882">
            <w:pPr>
              <w:ind w:left="105"/>
              <w:rPr>
                <w:rFonts w:asciiTheme="minorHAnsi" w:hAnsiTheme="minorHAnsi" w:cstheme="minorHAnsi"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sz w:val="18"/>
                <w:szCs w:val="18"/>
              </w:rPr>
              <w:t>Other education services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-1.3%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34D" w:rsidRPr="00110DA7" w:rsidRDefault="00E4034D" w:rsidP="003D1882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Royalties on education services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0.0%</w:t>
            </w:r>
          </w:p>
        </w:tc>
      </w:tr>
      <w:tr w:rsidR="00E4034D" w:rsidRPr="00895DAF" w:rsidTr="00BB3CB3">
        <w:trPr>
          <w:trHeight w:val="227"/>
        </w:trPr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34D" w:rsidRPr="00110DA7" w:rsidRDefault="00E4034D" w:rsidP="003D188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0D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 education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110DA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related services exports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17,626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19,356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034D" w:rsidRDefault="00E403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9.8%</w:t>
            </w:r>
          </w:p>
        </w:tc>
      </w:tr>
    </w:tbl>
    <w:p w:rsidR="00897E14" w:rsidRPr="00CE147A" w:rsidRDefault="00897E14" w:rsidP="00D3643F">
      <w:pPr>
        <w:rPr>
          <w:color w:val="C0504D" w:themeColor="accent2"/>
          <w:sz w:val="14"/>
          <w:szCs w:val="14"/>
        </w:rPr>
      </w:pPr>
    </w:p>
    <w:sectPr w:rsidR="00897E14" w:rsidRPr="00CE147A" w:rsidSect="00D810B1">
      <w:footnotePr>
        <w:numFmt w:val="chicago"/>
      </w:footnotePr>
      <w:type w:val="continuous"/>
      <w:pgSz w:w="11906" w:h="16838" w:code="9"/>
      <w:pgMar w:top="238" w:right="340" w:bottom="272" w:left="397" w:header="567" w:footer="2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CD" w:rsidRDefault="00BE6ECD">
      <w:r>
        <w:separator/>
      </w:r>
    </w:p>
  </w:endnote>
  <w:endnote w:type="continuationSeparator" w:id="0">
    <w:p w:rsidR="00BE6ECD" w:rsidRDefault="00BE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B1" w:rsidRDefault="00D810B1" w:rsidP="00B62F7D">
    <w:pPr>
      <w:pStyle w:val="Footer"/>
      <w:ind w:left="400"/>
      <w:rPr>
        <w:sz w:val="12"/>
        <w:szCs w:val="12"/>
      </w:rPr>
    </w:pPr>
  </w:p>
  <w:p w:rsidR="004809DE" w:rsidRPr="00FA6225" w:rsidRDefault="004809DE" w:rsidP="00B62F7D">
    <w:pPr>
      <w:pStyle w:val="Footer"/>
      <w:ind w:left="400"/>
      <w:rPr>
        <w:sz w:val="12"/>
        <w:szCs w:val="12"/>
      </w:rPr>
    </w:pPr>
    <w:r>
      <w:rPr>
        <w:sz w:val="12"/>
        <w:szCs w:val="12"/>
      </w:rPr>
      <w:t>For further information about this Research Snapshot or the Research Snapshot Series contact: International Research and Analysis Unit by email</w:t>
    </w:r>
    <w:r w:rsidR="0054400F">
      <w:rPr>
        <w:sz w:val="12"/>
        <w:szCs w:val="12"/>
      </w:rPr>
      <w:t xml:space="preserve"> at</w:t>
    </w:r>
    <w:r>
      <w:rPr>
        <w:sz w:val="12"/>
        <w:szCs w:val="12"/>
      </w:rPr>
      <w:t xml:space="preserve"> </w:t>
    </w:r>
    <w:hyperlink r:id="rId1" w:history="1">
      <w:r w:rsidR="009248F5" w:rsidRPr="00875B5A">
        <w:rPr>
          <w:rStyle w:val="Hyperlink"/>
          <w:sz w:val="12"/>
          <w:szCs w:val="12"/>
        </w:rPr>
        <w:t>IEResearch@education.gov.au</w:t>
      </w:r>
    </w:hyperlink>
    <w:r>
      <w:rPr>
        <w:sz w:val="12"/>
        <w:szCs w:val="12"/>
      </w:rPr>
      <w:t xml:space="preserve">.  The Research Snapshot Series can be accessed from </w:t>
    </w:r>
    <w:hyperlink r:id="rId2" w:history="1">
      <w:r w:rsidR="00B1371D">
        <w:rPr>
          <w:rStyle w:val="Hyperlink"/>
          <w:sz w:val="12"/>
          <w:szCs w:val="12"/>
        </w:rPr>
        <w:t>https://internationaleducation.gov.au/research/research-snapshots/pages/default.aspx</w:t>
      </w:r>
    </w:hyperlink>
    <w:r w:rsidR="009248F5">
      <w:rPr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CD" w:rsidRDefault="00BE6ECD">
      <w:r>
        <w:separator/>
      </w:r>
    </w:p>
  </w:footnote>
  <w:footnote w:type="continuationSeparator" w:id="0">
    <w:p w:rsidR="00BE6ECD" w:rsidRDefault="00BE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0A6"/>
    <w:multiLevelType w:val="hybridMultilevel"/>
    <w:tmpl w:val="749AD2DA"/>
    <w:lvl w:ilvl="0" w:tplc="C9E0148A">
      <w:start w:val="14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E34E5"/>
    <w:multiLevelType w:val="hybridMultilevel"/>
    <w:tmpl w:val="FB08099A"/>
    <w:lvl w:ilvl="0" w:tplc="A52876BC">
      <w:start w:val="1"/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E"/>
    <w:rsid w:val="00002EA7"/>
    <w:rsid w:val="00004791"/>
    <w:rsid w:val="00005397"/>
    <w:rsid w:val="000056B8"/>
    <w:rsid w:val="00006D7A"/>
    <w:rsid w:val="0000757D"/>
    <w:rsid w:val="000075BD"/>
    <w:rsid w:val="00010BC8"/>
    <w:rsid w:val="00011879"/>
    <w:rsid w:val="00013323"/>
    <w:rsid w:val="000146C8"/>
    <w:rsid w:val="00014CC4"/>
    <w:rsid w:val="000150F0"/>
    <w:rsid w:val="0001541F"/>
    <w:rsid w:val="000226FF"/>
    <w:rsid w:val="00022C3C"/>
    <w:rsid w:val="0002773F"/>
    <w:rsid w:val="00027AC0"/>
    <w:rsid w:val="00030A47"/>
    <w:rsid w:val="00032234"/>
    <w:rsid w:val="00032F20"/>
    <w:rsid w:val="00035B87"/>
    <w:rsid w:val="00036794"/>
    <w:rsid w:val="000371BD"/>
    <w:rsid w:val="0004068C"/>
    <w:rsid w:val="00042206"/>
    <w:rsid w:val="00042A35"/>
    <w:rsid w:val="00043946"/>
    <w:rsid w:val="000555FE"/>
    <w:rsid w:val="00061E54"/>
    <w:rsid w:val="00062FEB"/>
    <w:rsid w:val="00063466"/>
    <w:rsid w:val="0006556B"/>
    <w:rsid w:val="00066628"/>
    <w:rsid w:val="00071231"/>
    <w:rsid w:val="0007323E"/>
    <w:rsid w:val="00084ED3"/>
    <w:rsid w:val="00087C39"/>
    <w:rsid w:val="00092238"/>
    <w:rsid w:val="000A1A29"/>
    <w:rsid w:val="000A3271"/>
    <w:rsid w:val="000A3E72"/>
    <w:rsid w:val="000B402B"/>
    <w:rsid w:val="000B44C9"/>
    <w:rsid w:val="000B55AD"/>
    <w:rsid w:val="000C01E1"/>
    <w:rsid w:val="000C020A"/>
    <w:rsid w:val="000C40B2"/>
    <w:rsid w:val="000C4A8A"/>
    <w:rsid w:val="000C7682"/>
    <w:rsid w:val="000D2D27"/>
    <w:rsid w:val="000D392D"/>
    <w:rsid w:val="000D7924"/>
    <w:rsid w:val="000E51E5"/>
    <w:rsid w:val="000E541B"/>
    <w:rsid w:val="000E62E3"/>
    <w:rsid w:val="000E6B04"/>
    <w:rsid w:val="000F10FE"/>
    <w:rsid w:val="000F286A"/>
    <w:rsid w:val="000F3976"/>
    <w:rsid w:val="000F5583"/>
    <w:rsid w:val="000F7C3B"/>
    <w:rsid w:val="000F7E13"/>
    <w:rsid w:val="00100D8C"/>
    <w:rsid w:val="0010192B"/>
    <w:rsid w:val="00102C54"/>
    <w:rsid w:val="001034C2"/>
    <w:rsid w:val="001036D6"/>
    <w:rsid w:val="001038CA"/>
    <w:rsid w:val="00103A0B"/>
    <w:rsid w:val="00105EF8"/>
    <w:rsid w:val="001064B4"/>
    <w:rsid w:val="001079E5"/>
    <w:rsid w:val="00110A34"/>
    <w:rsid w:val="00110DA7"/>
    <w:rsid w:val="00110E37"/>
    <w:rsid w:val="001113E5"/>
    <w:rsid w:val="001122AF"/>
    <w:rsid w:val="0011275E"/>
    <w:rsid w:val="0011484D"/>
    <w:rsid w:val="00114E4F"/>
    <w:rsid w:val="001158E8"/>
    <w:rsid w:val="001169B5"/>
    <w:rsid w:val="001218CA"/>
    <w:rsid w:val="00121DC0"/>
    <w:rsid w:val="00122D80"/>
    <w:rsid w:val="00124062"/>
    <w:rsid w:val="00127868"/>
    <w:rsid w:val="001357F1"/>
    <w:rsid w:val="00135E1D"/>
    <w:rsid w:val="00136963"/>
    <w:rsid w:val="00140C86"/>
    <w:rsid w:val="00146325"/>
    <w:rsid w:val="001477B9"/>
    <w:rsid w:val="00147F23"/>
    <w:rsid w:val="001511A1"/>
    <w:rsid w:val="00151E78"/>
    <w:rsid w:val="001546AA"/>
    <w:rsid w:val="001577DE"/>
    <w:rsid w:val="00161AD5"/>
    <w:rsid w:val="001633C0"/>
    <w:rsid w:val="00171061"/>
    <w:rsid w:val="001733C9"/>
    <w:rsid w:val="001744ED"/>
    <w:rsid w:val="00182C33"/>
    <w:rsid w:val="001862C8"/>
    <w:rsid w:val="001864B7"/>
    <w:rsid w:val="0018682C"/>
    <w:rsid w:val="00187093"/>
    <w:rsid w:val="001870A9"/>
    <w:rsid w:val="001871E9"/>
    <w:rsid w:val="001873C7"/>
    <w:rsid w:val="0019564C"/>
    <w:rsid w:val="001A0D82"/>
    <w:rsid w:val="001A0DAD"/>
    <w:rsid w:val="001A21BE"/>
    <w:rsid w:val="001A419B"/>
    <w:rsid w:val="001A4C6E"/>
    <w:rsid w:val="001A55B0"/>
    <w:rsid w:val="001B13BE"/>
    <w:rsid w:val="001B5AFF"/>
    <w:rsid w:val="001B7942"/>
    <w:rsid w:val="001C1CCD"/>
    <w:rsid w:val="001C444F"/>
    <w:rsid w:val="001C47D7"/>
    <w:rsid w:val="001C74D8"/>
    <w:rsid w:val="001D08C0"/>
    <w:rsid w:val="001D60FC"/>
    <w:rsid w:val="001E0545"/>
    <w:rsid w:val="001E3B0C"/>
    <w:rsid w:val="001E510B"/>
    <w:rsid w:val="001E66FA"/>
    <w:rsid w:val="001E6C5B"/>
    <w:rsid w:val="001E702C"/>
    <w:rsid w:val="001F2A3E"/>
    <w:rsid w:val="001F43EE"/>
    <w:rsid w:val="001F54C1"/>
    <w:rsid w:val="001F593B"/>
    <w:rsid w:val="001F623F"/>
    <w:rsid w:val="002033AE"/>
    <w:rsid w:val="002056F3"/>
    <w:rsid w:val="002063A1"/>
    <w:rsid w:val="0020760D"/>
    <w:rsid w:val="00213F93"/>
    <w:rsid w:val="002209ED"/>
    <w:rsid w:val="0022123E"/>
    <w:rsid w:val="00227290"/>
    <w:rsid w:val="00231000"/>
    <w:rsid w:val="0023267D"/>
    <w:rsid w:val="00234CF9"/>
    <w:rsid w:val="00235A21"/>
    <w:rsid w:val="002373AC"/>
    <w:rsid w:val="0024018E"/>
    <w:rsid w:val="00243A59"/>
    <w:rsid w:val="00245FB2"/>
    <w:rsid w:val="0024706D"/>
    <w:rsid w:val="002473DB"/>
    <w:rsid w:val="00247793"/>
    <w:rsid w:val="002478DB"/>
    <w:rsid w:val="00247BA0"/>
    <w:rsid w:val="0026157C"/>
    <w:rsid w:val="00262F35"/>
    <w:rsid w:val="00263025"/>
    <w:rsid w:val="00263DFA"/>
    <w:rsid w:val="00264ED4"/>
    <w:rsid w:val="002730F6"/>
    <w:rsid w:val="00273BBB"/>
    <w:rsid w:val="00275063"/>
    <w:rsid w:val="00275424"/>
    <w:rsid w:val="00277078"/>
    <w:rsid w:val="002773FC"/>
    <w:rsid w:val="00282FF3"/>
    <w:rsid w:val="002860C6"/>
    <w:rsid w:val="002875F4"/>
    <w:rsid w:val="002911E6"/>
    <w:rsid w:val="00293AF6"/>
    <w:rsid w:val="00295086"/>
    <w:rsid w:val="00296F05"/>
    <w:rsid w:val="00297F2F"/>
    <w:rsid w:val="002A36BC"/>
    <w:rsid w:val="002A62EF"/>
    <w:rsid w:val="002B64BD"/>
    <w:rsid w:val="002B7297"/>
    <w:rsid w:val="002C0851"/>
    <w:rsid w:val="002C3074"/>
    <w:rsid w:val="002C3534"/>
    <w:rsid w:val="002C755D"/>
    <w:rsid w:val="002D09B3"/>
    <w:rsid w:val="002D0B7F"/>
    <w:rsid w:val="002D305B"/>
    <w:rsid w:val="002D79A2"/>
    <w:rsid w:val="002E0008"/>
    <w:rsid w:val="002E0E40"/>
    <w:rsid w:val="002E13A4"/>
    <w:rsid w:val="002E1D66"/>
    <w:rsid w:val="002E375D"/>
    <w:rsid w:val="002E3B5F"/>
    <w:rsid w:val="002E433A"/>
    <w:rsid w:val="002E514A"/>
    <w:rsid w:val="002E52C6"/>
    <w:rsid w:val="002F1F4D"/>
    <w:rsid w:val="002F2261"/>
    <w:rsid w:val="002F262A"/>
    <w:rsid w:val="002F3C1C"/>
    <w:rsid w:val="002F423F"/>
    <w:rsid w:val="002F5EFD"/>
    <w:rsid w:val="002F7AC6"/>
    <w:rsid w:val="0030251C"/>
    <w:rsid w:val="00304EF9"/>
    <w:rsid w:val="00305513"/>
    <w:rsid w:val="00310381"/>
    <w:rsid w:val="003104A8"/>
    <w:rsid w:val="00313F05"/>
    <w:rsid w:val="0032144F"/>
    <w:rsid w:val="00322227"/>
    <w:rsid w:val="00322887"/>
    <w:rsid w:val="00322C12"/>
    <w:rsid w:val="00323D29"/>
    <w:rsid w:val="003252DC"/>
    <w:rsid w:val="00326D14"/>
    <w:rsid w:val="00340250"/>
    <w:rsid w:val="0034098D"/>
    <w:rsid w:val="00340EF8"/>
    <w:rsid w:val="00341273"/>
    <w:rsid w:val="003424DA"/>
    <w:rsid w:val="0034318B"/>
    <w:rsid w:val="00343494"/>
    <w:rsid w:val="003444ED"/>
    <w:rsid w:val="003468B3"/>
    <w:rsid w:val="0034736B"/>
    <w:rsid w:val="00352716"/>
    <w:rsid w:val="00354494"/>
    <w:rsid w:val="00361681"/>
    <w:rsid w:val="00362AD4"/>
    <w:rsid w:val="00364904"/>
    <w:rsid w:val="00365248"/>
    <w:rsid w:val="00366346"/>
    <w:rsid w:val="00366870"/>
    <w:rsid w:val="00366909"/>
    <w:rsid w:val="00366D34"/>
    <w:rsid w:val="003726D5"/>
    <w:rsid w:val="00384E46"/>
    <w:rsid w:val="0038794D"/>
    <w:rsid w:val="00392B7A"/>
    <w:rsid w:val="003931D6"/>
    <w:rsid w:val="003949B5"/>
    <w:rsid w:val="00395F38"/>
    <w:rsid w:val="003A07DA"/>
    <w:rsid w:val="003A1B55"/>
    <w:rsid w:val="003A3D2E"/>
    <w:rsid w:val="003A554F"/>
    <w:rsid w:val="003A7116"/>
    <w:rsid w:val="003A7EA4"/>
    <w:rsid w:val="003B0329"/>
    <w:rsid w:val="003B1C1E"/>
    <w:rsid w:val="003B289C"/>
    <w:rsid w:val="003B3E9E"/>
    <w:rsid w:val="003B4E19"/>
    <w:rsid w:val="003B5A54"/>
    <w:rsid w:val="003B767E"/>
    <w:rsid w:val="003C115D"/>
    <w:rsid w:val="003C25A7"/>
    <w:rsid w:val="003C2BD0"/>
    <w:rsid w:val="003C2EAF"/>
    <w:rsid w:val="003C3451"/>
    <w:rsid w:val="003C4136"/>
    <w:rsid w:val="003D0DD6"/>
    <w:rsid w:val="003D1882"/>
    <w:rsid w:val="003D284C"/>
    <w:rsid w:val="003D3C7B"/>
    <w:rsid w:val="003D5FC1"/>
    <w:rsid w:val="003D67D7"/>
    <w:rsid w:val="003E4253"/>
    <w:rsid w:val="003E580D"/>
    <w:rsid w:val="003E5A8A"/>
    <w:rsid w:val="003E5F26"/>
    <w:rsid w:val="003E5FE9"/>
    <w:rsid w:val="003E6D82"/>
    <w:rsid w:val="003E739F"/>
    <w:rsid w:val="003E79BC"/>
    <w:rsid w:val="003E7BB2"/>
    <w:rsid w:val="003F1548"/>
    <w:rsid w:val="003F1E5A"/>
    <w:rsid w:val="003F5325"/>
    <w:rsid w:val="003F6A42"/>
    <w:rsid w:val="003F7116"/>
    <w:rsid w:val="003F7768"/>
    <w:rsid w:val="003F7BF6"/>
    <w:rsid w:val="003F7C1B"/>
    <w:rsid w:val="003F7F26"/>
    <w:rsid w:val="00413705"/>
    <w:rsid w:val="004148F0"/>
    <w:rsid w:val="00415ACE"/>
    <w:rsid w:val="00421E48"/>
    <w:rsid w:val="00425D5E"/>
    <w:rsid w:val="00427064"/>
    <w:rsid w:val="00431A54"/>
    <w:rsid w:val="00433071"/>
    <w:rsid w:val="00435CDB"/>
    <w:rsid w:val="00437A19"/>
    <w:rsid w:val="004540A3"/>
    <w:rsid w:val="004556CD"/>
    <w:rsid w:val="004570FB"/>
    <w:rsid w:val="00457155"/>
    <w:rsid w:val="00457269"/>
    <w:rsid w:val="00461948"/>
    <w:rsid w:val="004640DB"/>
    <w:rsid w:val="0046570C"/>
    <w:rsid w:val="004703E8"/>
    <w:rsid w:val="0047065E"/>
    <w:rsid w:val="00477758"/>
    <w:rsid w:val="004809DE"/>
    <w:rsid w:val="00480AB6"/>
    <w:rsid w:val="00481069"/>
    <w:rsid w:val="00482C2D"/>
    <w:rsid w:val="00486F7D"/>
    <w:rsid w:val="00487305"/>
    <w:rsid w:val="00487AC4"/>
    <w:rsid w:val="00491537"/>
    <w:rsid w:val="00491AE2"/>
    <w:rsid w:val="00491B58"/>
    <w:rsid w:val="00492630"/>
    <w:rsid w:val="004945FE"/>
    <w:rsid w:val="00494BF7"/>
    <w:rsid w:val="004A2185"/>
    <w:rsid w:val="004A6693"/>
    <w:rsid w:val="004A70DE"/>
    <w:rsid w:val="004A780C"/>
    <w:rsid w:val="004A7A72"/>
    <w:rsid w:val="004B06FB"/>
    <w:rsid w:val="004B2A52"/>
    <w:rsid w:val="004B33B8"/>
    <w:rsid w:val="004B4E54"/>
    <w:rsid w:val="004B5143"/>
    <w:rsid w:val="004B6B69"/>
    <w:rsid w:val="004B7820"/>
    <w:rsid w:val="004B7D4E"/>
    <w:rsid w:val="004C00A0"/>
    <w:rsid w:val="004C1920"/>
    <w:rsid w:val="004C5688"/>
    <w:rsid w:val="004C6045"/>
    <w:rsid w:val="004C7FA7"/>
    <w:rsid w:val="004D0F6D"/>
    <w:rsid w:val="004D22D7"/>
    <w:rsid w:val="004D4ED7"/>
    <w:rsid w:val="004D6930"/>
    <w:rsid w:val="004D6D6F"/>
    <w:rsid w:val="004D75C8"/>
    <w:rsid w:val="004E04E9"/>
    <w:rsid w:val="004E4800"/>
    <w:rsid w:val="004F217C"/>
    <w:rsid w:val="004F3217"/>
    <w:rsid w:val="004F7227"/>
    <w:rsid w:val="00501DAD"/>
    <w:rsid w:val="00503B21"/>
    <w:rsid w:val="0050415E"/>
    <w:rsid w:val="005053AA"/>
    <w:rsid w:val="00505862"/>
    <w:rsid w:val="00506767"/>
    <w:rsid w:val="00506AF4"/>
    <w:rsid w:val="00506CBF"/>
    <w:rsid w:val="0051065A"/>
    <w:rsid w:val="00511DA3"/>
    <w:rsid w:val="005157AA"/>
    <w:rsid w:val="00516B3D"/>
    <w:rsid w:val="00517D98"/>
    <w:rsid w:val="00523B64"/>
    <w:rsid w:val="00525467"/>
    <w:rsid w:val="00527DA8"/>
    <w:rsid w:val="00531285"/>
    <w:rsid w:val="00531A1D"/>
    <w:rsid w:val="00534709"/>
    <w:rsid w:val="00536C2E"/>
    <w:rsid w:val="005400E7"/>
    <w:rsid w:val="00543440"/>
    <w:rsid w:val="0054400F"/>
    <w:rsid w:val="00544D96"/>
    <w:rsid w:val="005474DC"/>
    <w:rsid w:val="00547DDA"/>
    <w:rsid w:val="00547F35"/>
    <w:rsid w:val="00550505"/>
    <w:rsid w:val="00551709"/>
    <w:rsid w:val="00553029"/>
    <w:rsid w:val="00555979"/>
    <w:rsid w:val="00561CA9"/>
    <w:rsid w:val="00562EE4"/>
    <w:rsid w:val="00563D4F"/>
    <w:rsid w:val="00572359"/>
    <w:rsid w:val="00573445"/>
    <w:rsid w:val="005738CD"/>
    <w:rsid w:val="00574B22"/>
    <w:rsid w:val="0057780A"/>
    <w:rsid w:val="00580DFA"/>
    <w:rsid w:val="00583450"/>
    <w:rsid w:val="005837F1"/>
    <w:rsid w:val="00583921"/>
    <w:rsid w:val="005843CE"/>
    <w:rsid w:val="00584FDE"/>
    <w:rsid w:val="0059160E"/>
    <w:rsid w:val="00591647"/>
    <w:rsid w:val="005941BC"/>
    <w:rsid w:val="005950A9"/>
    <w:rsid w:val="00595393"/>
    <w:rsid w:val="00595920"/>
    <w:rsid w:val="005978DB"/>
    <w:rsid w:val="005A1D85"/>
    <w:rsid w:val="005A3F69"/>
    <w:rsid w:val="005A44E9"/>
    <w:rsid w:val="005B1B65"/>
    <w:rsid w:val="005B6115"/>
    <w:rsid w:val="005B688C"/>
    <w:rsid w:val="005B68E7"/>
    <w:rsid w:val="005B7DA1"/>
    <w:rsid w:val="005C11C1"/>
    <w:rsid w:val="005C68B4"/>
    <w:rsid w:val="005D10BC"/>
    <w:rsid w:val="005D1697"/>
    <w:rsid w:val="005D1770"/>
    <w:rsid w:val="005D1D7E"/>
    <w:rsid w:val="005D236C"/>
    <w:rsid w:val="005D7AF2"/>
    <w:rsid w:val="005E29F4"/>
    <w:rsid w:val="005E6170"/>
    <w:rsid w:val="005F0DDD"/>
    <w:rsid w:val="005F5607"/>
    <w:rsid w:val="00600BEA"/>
    <w:rsid w:val="00602CFC"/>
    <w:rsid w:val="00607515"/>
    <w:rsid w:val="0061091E"/>
    <w:rsid w:val="006113FB"/>
    <w:rsid w:val="0061145F"/>
    <w:rsid w:val="00612926"/>
    <w:rsid w:val="00613075"/>
    <w:rsid w:val="0061565E"/>
    <w:rsid w:val="0061717D"/>
    <w:rsid w:val="00622212"/>
    <w:rsid w:val="0062285D"/>
    <w:rsid w:val="00624A47"/>
    <w:rsid w:val="00626B3C"/>
    <w:rsid w:val="00627046"/>
    <w:rsid w:val="00627C76"/>
    <w:rsid w:val="00632416"/>
    <w:rsid w:val="00635589"/>
    <w:rsid w:val="00636813"/>
    <w:rsid w:val="00636909"/>
    <w:rsid w:val="00637726"/>
    <w:rsid w:val="006431B1"/>
    <w:rsid w:val="006447D5"/>
    <w:rsid w:val="00647E74"/>
    <w:rsid w:val="00647EAF"/>
    <w:rsid w:val="00650F3C"/>
    <w:rsid w:val="006526A7"/>
    <w:rsid w:val="00654311"/>
    <w:rsid w:val="00656A3A"/>
    <w:rsid w:val="006573C8"/>
    <w:rsid w:val="00662DA6"/>
    <w:rsid w:val="00662E69"/>
    <w:rsid w:val="006648C5"/>
    <w:rsid w:val="00665727"/>
    <w:rsid w:val="00665F98"/>
    <w:rsid w:val="00670225"/>
    <w:rsid w:val="00671B77"/>
    <w:rsid w:val="006741F9"/>
    <w:rsid w:val="006746CA"/>
    <w:rsid w:val="00676E57"/>
    <w:rsid w:val="00681226"/>
    <w:rsid w:val="006849AA"/>
    <w:rsid w:val="00691665"/>
    <w:rsid w:val="0069305A"/>
    <w:rsid w:val="006946A7"/>
    <w:rsid w:val="00696647"/>
    <w:rsid w:val="006971FB"/>
    <w:rsid w:val="006A184D"/>
    <w:rsid w:val="006A5B89"/>
    <w:rsid w:val="006A5CD3"/>
    <w:rsid w:val="006A647E"/>
    <w:rsid w:val="006A6C7E"/>
    <w:rsid w:val="006A6E26"/>
    <w:rsid w:val="006B05C3"/>
    <w:rsid w:val="006B1425"/>
    <w:rsid w:val="006B2848"/>
    <w:rsid w:val="006C0ACD"/>
    <w:rsid w:val="006C0DCC"/>
    <w:rsid w:val="006C1184"/>
    <w:rsid w:val="006C28D2"/>
    <w:rsid w:val="006C586E"/>
    <w:rsid w:val="006C64AA"/>
    <w:rsid w:val="006D03A1"/>
    <w:rsid w:val="006D278A"/>
    <w:rsid w:val="006D5684"/>
    <w:rsid w:val="006D7A01"/>
    <w:rsid w:val="006E0936"/>
    <w:rsid w:val="006E3D9F"/>
    <w:rsid w:val="006E44E6"/>
    <w:rsid w:val="006E7F4C"/>
    <w:rsid w:val="006F1649"/>
    <w:rsid w:val="006F440D"/>
    <w:rsid w:val="006F6842"/>
    <w:rsid w:val="007011F1"/>
    <w:rsid w:val="007017D6"/>
    <w:rsid w:val="0070470A"/>
    <w:rsid w:val="00706835"/>
    <w:rsid w:val="0071034F"/>
    <w:rsid w:val="007123CD"/>
    <w:rsid w:val="007130F4"/>
    <w:rsid w:val="00713589"/>
    <w:rsid w:val="007144A3"/>
    <w:rsid w:val="00716E10"/>
    <w:rsid w:val="0071714A"/>
    <w:rsid w:val="0071749F"/>
    <w:rsid w:val="00720508"/>
    <w:rsid w:val="00723413"/>
    <w:rsid w:val="00724A11"/>
    <w:rsid w:val="007270AA"/>
    <w:rsid w:val="00727E5F"/>
    <w:rsid w:val="00730FFA"/>
    <w:rsid w:val="00731829"/>
    <w:rsid w:val="00732565"/>
    <w:rsid w:val="0073259D"/>
    <w:rsid w:val="00732AD8"/>
    <w:rsid w:val="00735664"/>
    <w:rsid w:val="00737AB0"/>
    <w:rsid w:val="00741B95"/>
    <w:rsid w:val="00742219"/>
    <w:rsid w:val="0074258D"/>
    <w:rsid w:val="00742EEE"/>
    <w:rsid w:val="007454C7"/>
    <w:rsid w:val="00745A55"/>
    <w:rsid w:val="00746A86"/>
    <w:rsid w:val="00747281"/>
    <w:rsid w:val="00747695"/>
    <w:rsid w:val="00747F06"/>
    <w:rsid w:val="0075094E"/>
    <w:rsid w:val="00750953"/>
    <w:rsid w:val="0075114F"/>
    <w:rsid w:val="00760404"/>
    <w:rsid w:val="0076089C"/>
    <w:rsid w:val="00763F1C"/>
    <w:rsid w:val="00767488"/>
    <w:rsid w:val="00770325"/>
    <w:rsid w:val="00772CFA"/>
    <w:rsid w:val="00772E99"/>
    <w:rsid w:val="00776919"/>
    <w:rsid w:val="00776AED"/>
    <w:rsid w:val="00784C51"/>
    <w:rsid w:val="00785576"/>
    <w:rsid w:val="0078614E"/>
    <w:rsid w:val="0078702D"/>
    <w:rsid w:val="00787495"/>
    <w:rsid w:val="00790925"/>
    <w:rsid w:val="00790FA6"/>
    <w:rsid w:val="007910BC"/>
    <w:rsid w:val="00793B00"/>
    <w:rsid w:val="0079494F"/>
    <w:rsid w:val="00795A51"/>
    <w:rsid w:val="007A054C"/>
    <w:rsid w:val="007A0775"/>
    <w:rsid w:val="007A125E"/>
    <w:rsid w:val="007A3380"/>
    <w:rsid w:val="007A40E3"/>
    <w:rsid w:val="007A50AF"/>
    <w:rsid w:val="007A6F7D"/>
    <w:rsid w:val="007A77E4"/>
    <w:rsid w:val="007B0120"/>
    <w:rsid w:val="007B0D58"/>
    <w:rsid w:val="007B12F8"/>
    <w:rsid w:val="007B2E85"/>
    <w:rsid w:val="007B71E3"/>
    <w:rsid w:val="007C0917"/>
    <w:rsid w:val="007C17B5"/>
    <w:rsid w:val="007C1CA3"/>
    <w:rsid w:val="007C2A80"/>
    <w:rsid w:val="007C5810"/>
    <w:rsid w:val="007C6077"/>
    <w:rsid w:val="007C7ED4"/>
    <w:rsid w:val="007D2D95"/>
    <w:rsid w:val="007D7A38"/>
    <w:rsid w:val="007E05B6"/>
    <w:rsid w:val="007E1374"/>
    <w:rsid w:val="007E144A"/>
    <w:rsid w:val="007E3F11"/>
    <w:rsid w:val="007E6C2A"/>
    <w:rsid w:val="007E7C4E"/>
    <w:rsid w:val="007F4740"/>
    <w:rsid w:val="007F4D46"/>
    <w:rsid w:val="007F6DC4"/>
    <w:rsid w:val="007F73A6"/>
    <w:rsid w:val="007F7813"/>
    <w:rsid w:val="0080097B"/>
    <w:rsid w:val="008051D2"/>
    <w:rsid w:val="0080685C"/>
    <w:rsid w:val="008219FC"/>
    <w:rsid w:val="00821BC7"/>
    <w:rsid w:val="00821C78"/>
    <w:rsid w:val="00822893"/>
    <w:rsid w:val="00825570"/>
    <w:rsid w:val="00827561"/>
    <w:rsid w:val="00831B80"/>
    <w:rsid w:val="0083485C"/>
    <w:rsid w:val="00835458"/>
    <w:rsid w:val="0083792B"/>
    <w:rsid w:val="00841279"/>
    <w:rsid w:val="00843EC7"/>
    <w:rsid w:val="00846AFD"/>
    <w:rsid w:val="00847307"/>
    <w:rsid w:val="00847833"/>
    <w:rsid w:val="00847D79"/>
    <w:rsid w:val="008513B7"/>
    <w:rsid w:val="00853863"/>
    <w:rsid w:val="00854930"/>
    <w:rsid w:val="008567BD"/>
    <w:rsid w:val="008570F8"/>
    <w:rsid w:val="0087040F"/>
    <w:rsid w:val="00871291"/>
    <w:rsid w:val="008773E2"/>
    <w:rsid w:val="008805B9"/>
    <w:rsid w:val="0088551B"/>
    <w:rsid w:val="00890003"/>
    <w:rsid w:val="00891AE7"/>
    <w:rsid w:val="008936AA"/>
    <w:rsid w:val="008940BD"/>
    <w:rsid w:val="00895C19"/>
    <w:rsid w:val="00895DAF"/>
    <w:rsid w:val="00897E14"/>
    <w:rsid w:val="008A08CB"/>
    <w:rsid w:val="008A0D3E"/>
    <w:rsid w:val="008A3E55"/>
    <w:rsid w:val="008A4C7B"/>
    <w:rsid w:val="008B110A"/>
    <w:rsid w:val="008B259A"/>
    <w:rsid w:val="008B3648"/>
    <w:rsid w:val="008B6861"/>
    <w:rsid w:val="008B78FF"/>
    <w:rsid w:val="008B7BB5"/>
    <w:rsid w:val="008C3923"/>
    <w:rsid w:val="008C5A96"/>
    <w:rsid w:val="008C6A58"/>
    <w:rsid w:val="008D5F73"/>
    <w:rsid w:val="008E50A0"/>
    <w:rsid w:val="008E60B4"/>
    <w:rsid w:val="008E7711"/>
    <w:rsid w:val="008F1025"/>
    <w:rsid w:val="008F496A"/>
    <w:rsid w:val="008F75B6"/>
    <w:rsid w:val="00904926"/>
    <w:rsid w:val="009057DF"/>
    <w:rsid w:val="00906036"/>
    <w:rsid w:val="00910353"/>
    <w:rsid w:val="0091047F"/>
    <w:rsid w:val="009106E9"/>
    <w:rsid w:val="00910DE8"/>
    <w:rsid w:val="00912B07"/>
    <w:rsid w:val="00913FD9"/>
    <w:rsid w:val="00916174"/>
    <w:rsid w:val="0091631B"/>
    <w:rsid w:val="009167EE"/>
    <w:rsid w:val="0092058B"/>
    <w:rsid w:val="00920C68"/>
    <w:rsid w:val="00923452"/>
    <w:rsid w:val="00923994"/>
    <w:rsid w:val="009248F5"/>
    <w:rsid w:val="009305EA"/>
    <w:rsid w:val="00931288"/>
    <w:rsid w:val="009326F1"/>
    <w:rsid w:val="00932E0E"/>
    <w:rsid w:val="00934B79"/>
    <w:rsid w:val="00936EA8"/>
    <w:rsid w:val="00941347"/>
    <w:rsid w:val="0094288C"/>
    <w:rsid w:val="00946813"/>
    <w:rsid w:val="00947151"/>
    <w:rsid w:val="0094766F"/>
    <w:rsid w:val="00947789"/>
    <w:rsid w:val="00952131"/>
    <w:rsid w:val="00955B6A"/>
    <w:rsid w:val="00955FA2"/>
    <w:rsid w:val="009561F3"/>
    <w:rsid w:val="009568CC"/>
    <w:rsid w:val="00957076"/>
    <w:rsid w:val="009600B4"/>
    <w:rsid w:val="009620C0"/>
    <w:rsid w:val="00962118"/>
    <w:rsid w:val="00962AFB"/>
    <w:rsid w:val="00963FE4"/>
    <w:rsid w:val="0096598C"/>
    <w:rsid w:val="00965CE4"/>
    <w:rsid w:val="00965F72"/>
    <w:rsid w:val="00970635"/>
    <w:rsid w:val="0097344E"/>
    <w:rsid w:val="0097508A"/>
    <w:rsid w:val="00975A56"/>
    <w:rsid w:val="009777E6"/>
    <w:rsid w:val="00977C58"/>
    <w:rsid w:val="009807F9"/>
    <w:rsid w:val="009858D4"/>
    <w:rsid w:val="00987066"/>
    <w:rsid w:val="0099247F"/>
    <w:rsid w:val="009930BC"/>
    <w:rsid w:val="009936CA"/>
    <w:rsid w:val="009960EE"/>
    <w:rsid w:val="00997F97"/>
    <w:rsid w:val="009A1247"/>
    <w:rsid w:val="009A1C3B"/>
    <w:rsid w:val="009A3D4E"/>
    <w:rsid w:val="009A6BDB"/>
    <w:rsid w:val="009A736D"/>
    <w:rsid w:val="009B49F0"/>
    <w:rsid w:val="009B5E2D"/>
    <w:rsid w:val="009B7052"/>
    <w:rsid w:val="009B7251"/>
    <w:rsid w:val="009B787C"/>
    <w:rsid w:val="009B7F1A"/>
    <w:rsid w:val="009C010F"/>
    <w:rsid w:val="009C0F24"/>
    <w:rsid w:val="009C1419"/>
    <w:rsid w:val="009C232F"/>
    <w:rsid w:val="009C72C9"/>
    <w:rsid w:val="009D0276"/>
    <w:rsid w:val="009D1FD8"/>
    <w:rsid w:val="009D2CBA"/>
    <w:rsid w:val="009D3576"/>
    <w:rsid w:val="009E3977"/>
    <w:rsid w:val="009E6ECF"/>
    <w:rsid w:val="009E6FDA"/>
    <w:rsid w:val="009F122F"/>
    <w:rsid w:val="009F2692"/>
    <w:rsid w:val="009F377C"/>
    <w:rsid w:val="009F3F67"/>
    <w:rsid w:val="009F42F4"/>
    <w:rsid w:val="00A0008C"/>
    <w:rsid w:val="00A16177"/>
    <w:rsid w:val="00A162A7"/>
    <w:rsid w:val="00A16A08"/>
    <w:rsid w:val="00A22074"/>
    <w:rsid w:val="00A23006"/>
    <w:rsid w:val="00A2369E"/>
    <w:rsid w:val="00A245C7"/>
    <w:rsid w:val="00A252E7"/>
    <w:rsid w:val="00A2577F"/>
    <w:rsid w:val="00A267E7"/>
    <w:rsid w:val="00A3120F"/>
    <w:rsid w:val="00A32085"/>
    <w:rsid w:val="00A32D45"/>
    <w:rsid w:val="00A33E08"/>
    <w:rsid w:val="00A35BAC"/>
    <w:rsid w:val="00A35F05"/>
    <w:rsid w:val="00A411D5"/>
    <w:rsid w:val="00A44C39"/>
    <w:rsid w:val="00A52901"/>
    <w:rsid w:val="00A52A06"/>
    <w:rsid w:val="00A54E12"/>
    <w:rsid w:val="00A551EA"/>
    <w:rsid w:val="00A637C8"/>
    <w:rsid w:val="00A66304"/>
    <w:rsid w:val="00A66AC1"/>
    <w:rsid w:val="00A7121A"/>
    <w:rsid w:val="00A712AC"/>
    <w:rsid w:val="00A742E9"/>
    <w:rsid w:val="00A769D9"/>
    <w:rsid w:val="00A76DFC"/>
    <w:rsid w:val="00A80859"/>
    <w:rsid w:val="00A80B86"/>
    <w:rsid w:val="00A942C3"/>
    <w:rsid w:val="00A94989"/>
    <w:rsid w:val="00A949BE"/>
    <w:rsid w:val="00A95C78"/>
    <w:rsid w:val="00A96274"/>
    <w:rsid w:val="00A96A21"/>
    <w:rsid w:val="00AA09BD"/>
    <w:rsid w:val="00AA2228"/>
    <w:rsid w:val="00AA2D73"/>
    <w:rsid w:val="00AB0E20"/>
    <w:rsid w:val="00AC1FE6"/>
    <w:rsid w:val="00AC3FE0"/>
    <w:rsid w:val="00AC4457"/>
    <w:rsid w:val="00AD2A03"/>
    <w:rsid w:val="00AD455C"/>
    <w:rsid w:val="00AD4EF6"/>
    <w:rsid w:val="00AD5899"/>
    <w:rsid w:val="00AD67A6"/>
    <w:rsid w:val="00AD7313"/>
    <w:rsid w:val="00AD7367"/>
    <w:rsid w:val="00AD7751"/>
    <w:rsid w:val="00AE015E"/>
    <w:rsid w:val="00AE5436"/>
    <w:rsid w:val="00AE62CE"/>
    <w:rsid w:val="00AF19E3"/>
    <w:rsid w:val="00AF1AC5"/>
    <w:rsid w:val="00AF31C6"/>
    <w:rsid w:val="00AF5093"/>
    <w:rsid w:val="00AF57CE"/>
    <w:rsid w:val="00AF6DC8"/>
    <w:rsid w:val="00AF6F04"/>
    <w:rsid w:val="00B02023"/>
    <w:rsid w:val="00B03016"/>
    <w:rsid w:val="00B0304C"/>
    <w:rsid w:val="00B0392D"/>
    <w:rsid w:val="00B04C7A"/>
    <w:rsid w:val="00B05B59"/>
    <w:rsid w:val="00B05C02"/>
    <w:rsid w:val="00B07B04"/>
    <w:rsid w:val="00B1016A"/>
    <w:rsid w:val="00B12829"/>
    <w:rsid w:val="00B1371D"/>
    <w:rsid w:val="00B13A5A"/>
    <w:rsid w:val="00B15875"/>
    <w:rsid w:val="00B1768F"/>
    <w:rsid w:val="00B23185"/>
    <w:rsid w:val="00B246CA"/>
    <w:rsid w:val="00B24F64"/>
    <w:rsid w:val="00B25002"/>
    <w:rsid w:val="00B25AAD"/>
    <w:rsid w:val="00B27525"/>
    <w:rsid w:val="00B3214A"/>
    <w:rsid w:val="00B3238E"/>
    <w:rsid w:val="00B3283D"/>
    <w:rsid w:val="00B36CC0"/>
    <w:rsid w:val="00B37E35"/>
    <w:rsid w:val="00B4000F"/>
    <w:rsid w:val="00B42AB8"/>
    <w:rsid w:val="00B4410E"/>
    <w:rsid w:val="00B61756"/>
    <w:rsid w:val="00B61C81"/>
    <w:rsid w:val="00B62B0C"/>
    <w:rsid w:val="00B62F7D"/>
    <w:rsid w:val="00B654A8"/>
    <w:rsid w:val="00B6624B"/>
    <w:rsid w:val="00B748B2"/>
    <w:rsid w:val="00B75A3F"/>
    <w:rsid w:val="00B75BD9"/>
    <w:rsid w:val="00B80D41"/>
    <w:rsid w:val="00B814AA"/>
    <w:rsid w:val="00B8173C"/>
    <w:rsid w:val="00B86128"/>
    <w:rsid w:val="00B94F37"/>
    <w:rsid w:val="00B95A07"/>
    <w:rsid w:val="00B96DD1"/>
    <w:rsid w:val="00B976C6"/>
    <w:rsid w:val="00B97E7C"/>
    <w:rsid w:val="00BA201F"/>
    <w:rsid w:val="00BA2860"/>
    <w:rsid w:val="00BA2F4B"/>
    <w:rsid w:val="00BA38E7"/>
    <w:rsid w:val="00BA49AB"/>
    <w:rsid w:val="00BA4D18"/>
    <w:rsid w:val="00BA54DD"/>
    <w:rsid w:val="00BA7791"/>
    <w:rsid w:val="00BA7F08"/>
    <w:rsid w:val="00BB1269"/>
    <w:rsid w:val="00BB393C"/>
    <w:rsid w:val="00BB3B95"/>
    <w:rsid w:val="00BB72E4"/>
    <w:rsid w:val="00BC07E9"/>
    <w:rsid w:val="00BC491E"/>
    <w:rsid w:val="00BC4CF2"/>
    <w:rsid w:val="00BC7BBB"/>
    <w:rsid w:val="00BD1080"/>
    <w:rsid w:val="00BD5C69"/>
    <w:rsid w:val="00BD7176"/>
    <w:rsid w:val="00BD7348"/>
    <w:rsid w:val="00BE23DA"/>
    <w:rsid w:val="00BE2441"/>
    <w:rsid w:val="00BE31F7"/>
    <w:rsid w:val="00BE494E"/>
    <w:rsid w:val="00BE60AB"/>
    <w:rsid w:val="00BE6ECD"/>
    <w:rsid w:val="00BF244D"/>
    <w:rsid w:val="00BF2B00"/>
    <w:rsid w:val="00BF41C7"/>
    <w:rsid w:val="00BF735A"/>
    <w:rsid w:val="00BF7BF1"/>
    <w:rsid w:val="00C02048"/>
    <w:rsid w:val="00C061C4"/>
    <w:rsid w:val="00C06713"/>
    <w:rsid w:val="00C1264E"/>
    <w:rsid w:val="00C12AD3"/>
    <w:rsid w:val="00C15530"/>
    <w:rsid w:val="00C156FA"/>
    <w:rsid w:val="00C17C3E"/>
    <w:rsid w:val="00C205FA"/>
    <w:rsid w:val="00C27F86"/>
    <w:rsid w:val="00C325A0"/>
    <w:rsid w:val="00C34E2A"/>
    <w:rsid w:val="00C35DCC"/>
    <w:rsid w:val="00C37BAD"/>
    <w:rsid w:val="00C400D9"/>
    <w:rsid w:val="00C404E1"/>
    <w:rsid w:val="00C41D96"/>
    <w:rsid w:val="00C43827"/>
    <w:rsid w:val="00C4393C"/>
    <w:rsid w:val="00C43B36"/>
    <w:rsid w:val="00C45525"/>
    <w:rsid w:val="00C47857"/>
    <w:rsid w:val="00C52B06"/>
    <w:rsid w:val="00C52E5E"/>
    <w:rsid w:val="00C56265"/>
    <w:rsid w:val="00C619AD"/>
    <w:rsid w:val="00C6537C"/>
    <w:rsid w:val="00C66D44"/>
    <w:rsid w:val="00C70B59"/>
    <w:rsid w:val="00C713E5"/>
    <w:rsid w:val="00C72CCC"/>
    <w:rsid w:val="00C72D7C"/>
    <w:rsid w:val="00C83F16"/>
    <w:rsid w:val="00C84028"/>
    <w:rsid w:val="00C92930"/>
    <w:rsid w:val="00C92BB2"/>
    <w:rsid w:val="00C948AC"/>
    <w:rsid w:val="00C9574D"/>
    <w:rsid w:val="00C96A2A"/>
    <w:rsid w:val="00C977FE"/>
    <w:rsid w:val="00CA4517"/>
    <w:rsid w:val="00CA535A"/>
    <w:rsid w:val="00CA7635"/>
    <w:rsid w:val="00CB12DF"/>
    <w:rsid w:val="00CB197D"/>
    <w:rsid w:val="00CB26A9"/>
    <w:rsid w:val="00CB4C30"/>
    <w:rsid w:val="00CB6C39"/>
    <w:rsid w:val="00CB6CE1"/>
    <w:rsid w:val="00CC20D2"/>
    <w:rsid w:val="00CC4DAE"/>
    <w:rsid w:val="00CC656E"/>
    <w:rsid w:val="00CC6EE2"/>
    <w:rsid w:val="00CC785A"/>
    <w:rsid w:val="00CD047D"/>
    <w:rsid w:val="00CD459F"/>
    <w:rsid w:val="00CD47F2"/>
    <w:rsid w:val="00CD4954"/>
    <w:rsid w:val="00CD7C68"/>
    <w:rsid w:val="00CE147A"/>
    <w:rsid w:val="00CE2C08"/>
    <w:rsid w:val="00CE54AE"/>
    <w:rsid w:val="00CE7FC7"/>
    <w:rsid w:val="00CF1332"/>
    <w:rsid w:val="00CF527B"/>
    <w:rsid w:val="00CF5FAF"/>
    <w:rsid w:val="00CF6D3E"/>
    <w:rsid w:val="00CF728D"/>
    <w:rsid w:val="00CF7D76"/>
    <w:rsid w:val="00D00EC2"/>
    <w:rsid w:val="00D0283B"/>
    <w:rsid w:val="00D032C0"/>
    <w:rsid w:val="00D037B0"/>
    <w:rsid w:val="00D061F4"/>
    <w:rsid w:val="00D10964"/>
    <w:rsid w:val="00D10AB3"/>
    <w:rsid w:val="00D1175B"/>
    <w:rsid w:val="00D1203F"/>
    <w:rsid w:val="00D16742"/>
    <w:rsid w:val="00D22C3F"/>
    <w:rsid w:val="00D22E54"/>
    <w:rsid w:val="00D27A8F"/>
    <w:rsid w:val="00D345A3"/>
    <w:rsid w:val="00D3643F"/>
    <w:rsid w:val="00D36706"/>
    <w:rsid w:val="00D36BE9"/>
    <w:rsid w:val="00D37E3A"/>
    <w:rsid w:val="00D42455"/>
    <w:rsid w:val="00D42A79"/>
    <w:rsid w:val="00D435DF"/>
    <w:rsid w:val="00D4533E"/>
    <w:rsid w:val="00D46D1A"/>
    <w:rsid w:val="00D47227"/>
    <w:rsid w:val="00D5166A"/>
    <w:rsid w:val="00D533AE"/>
    <w:rsid w:val="00D55200"/>
    <w:rsid w:val="00D612CA"/>
    <w:rsid w:val="00D636F6"/>
    <w:rsid w:val="00D64709"/>
    <w:rsid w:val="00D66C7C"/>
    <w:rsid w:val="00D7295A"/>
    <w:rsid w:val="00D7308D"/>
    <w:rsid w:val="00D74BC9"/>
    <w:rsid w:val="00D810B1"/>
    <w:rsid w:val="00D81CED"/>
    <w:rsid w:val="00D84692"/>
    <w:rsid w:val="00D8535E"/>
    <w:rsid w:val="00D85D90"/>
    <w:rsid w:val="00D86161"/>
    <w:rsid w:val="00D87A4A"/>
    <w:rsid w:val="00D87FC4"/>
    <w:rsid w:val="00D90A5D"/>
    <w:rsid w:val="00D95428"/>
    <w:rsid w:val="00DA0188"/>
    <w:rsid w:val="00DA14E2"/>
    <w:rsid w:val="00DA2043"/>
    <w:rsid w:val="00DA3142"/>
    <w:rsid w:val="00DA4862"/>
    <w:rsid w:val="00DA5D11"/>
    <w:rsid w:val="00DB0EDD"/>
    <w:rsid w:val="00DB2A00"/>
    <w:rsid w:val="00DB5CAD"/>
    <w:rsid w:val="00DB718C"/>
    <w:rsid w:val="00DB7DD6"/>
    <w:rsid w:val="00DB7EE7"/>
    <w:rsid w:val="00DC3DE6"/>
    <w:rsid w:val="00DC457D"/>
    <w:rsid w:val="00DC4AA6"/>
    <w:rsid w:val="00DC5D22"/>
    <w:rsid w:val="00DC7E4F"/>
    <w:rsid w:val="00DD17E3"/>
    <w:rsid w:val="00DD6540"/>
    <w:rsid w:val="00DD6E6E"/>
    <w:rsid w:val="00DE0972"/>
    <w:rsid w:val="00DE28E8"/>
    <w:rsid w:val="00DE5CC8"/>
    <w:rsid w:val="00DE65BF"/>
    <w:rsid w:val="00DE666F"/>
    <w:rsid w:val="00DE7709"/>
    <w:rsid w:val="00DE7D26"/>
    <w:rsid w:val="00DF166C"/>
    <w:rsid w:val="00DF4DC1"/>
    <w:rsid w:val="00E01A15"/>
    <w:rsid w:val="00E030A0"/>
    <w:rsid w:val="00E035B4"/>
    <w:rsid w:val="00E04569"/>
    <w:rsid w:val="00E05D22"/>
    <w:rsid w:val="00E0767F"/>
    <w:rsid w:val="00E1101A"/>
    <w:rsid w:val="00E15EC6"/>
    <w:rsid w:val="00E171FD"/>
    <w:rsid w:val="00E21C91"/>
    <w:rsid w:val="00E24EBE"/>
    <w:rsid w:val="00E256FD"/>
    <w:rsid w:val="00E26913"/>
    <w:rsid w:val="00E26C3F"/>
    <w:rsid w:val="00E27BEA"/>
    <w:rsid w:val="00E31D24"/>
    <w:rsid w:val="00E33872"/>
    <w:rsid w:val="00E34956"/>
    <w:rsid w:val="00E34B3F"/>
    <w:rsid w:val="00E366CF"/>
    <w:rsid w:val="00E36B4B"/>
    <w:rsid w:val="00E37B7C"/>
    <w:rsid w:val="00E4034D"/>
    <w:rsid w:val="00E40920"/>
    <w:rsid w:val="00E4128B"/>
    <w:rsid w:val="00E416D2"/>
    <w:rsid w:val="00E42CD8"/>
    <w:rsid w:val="00E43F7F"/>
    <w:rsid w:val="00E465E4"/>
    <w:rsid w:val="00E47CF9"/>
    <w:rsid w:val="00E535B4"/>
    <w:rsid w:val="00E5529A"/>
    <w:rsid w:val="00E557B7"/>
    <w:rsid w:val="00E5657D"/>
    <w:rsid w:val="00E600AE"/>
    <w:rsid w:val="00E622F5"/>
    <w:rsid w:val="00E632CF"/>
    <w:rsid w:val="00E64448"/>
    <w:rsid w:val="00E65DE5"/>
    <w:rsid w:val="00E6629B"/>
    <w:rsid w:val="00E673C3"/>
    <w:rsid w:val="00E73402"/>
    <w:rsid w:val="00E7488A"/>
    <w:rsid w:val="00E76B39"/>
    <w:rsid w:val="00E76C14"/>
    <w:rsid w:val="00E83A62"/>
    <w:rsid w:val="00E85701"/>
    <w:rsid w:val="00E91ED6"/>
    <w:rsid w:val="00E92C58"/>
    <w:rsid w:val="00E94017"/>
    <w:rsid w:val="00E9660B"/>
    <w:rsid w:val="00E96F7A"/>
    <w:rsid w:val="00EA091C"/>
    <w:rsid w:val="00EA1C68"/>
    <w:rsid w:val="00EB1AF9"/>
    <w:rsid w:val="00EB1CE8"/>
    <w:rsid w:val="00EC1625"/>
    <w:rsid w:val="00EC28E4"/>
    <w:rsid w:val="00ED106C"/>
    <w:rsid w:val="00ED1E42"/>
    <w:rsid w:val="00ED1E52"/>
    <w:rsid w:val="00ED2F07"/>
    <w:rsid w:val="00ED53A7"/>
    <w:rsid w:val="00EE07A9"/>
    <w:rsid w:val="00EE0CCA"/>
    <w:rsid w:val="00EE3DD1"/>
    <w:rsid w:val="00EF0607"/>
    <w:rsid w:val="00EF6221"/>
    <w:rsid w:val="00EF647F"/>
    <w:rsid w:val="00EF6B0A"/>
    <w:rsid w:val="00F019FF"/>
    <w:rsid w:val="00F10C00"/>
    <w:rsid w:val="00F169D2"/>
    <w:rsid w:val="00F266A4"/>
    <w:rsid w:val="00F27116"/>
    <w:rsid w:val="00F329D5"/>
    <w:rsid w:val="00F3371D"/>
    <w:rsid w:val="00F3604A"/>
    <w:rsid w:val="00F375E0"/>
    <w:rsid w:val="00F42857"/>
    <w:rsid w:val="00F42895"/>
    <w:rsid w:val="00F43C5F"/>
    <w:rsid w:val="00F461CC"/>
    <w:rsid w:val="00F47901"/>
    <w:rsid w:val="00F51ACF"/>
    <w:rsid w:val="00F568CA"/>
    <w:rsid w:val="00F56D85"/>
    <w:rsid w:val="00F63A76"/>
    <w:rsid w:val="00F63C4C"/>
    <w:rsid w:val="00F66E88"/>
    <w:rsid w:val="00F72BA9"/>
    <w:rsid w:val="00F7519F"/>
    <w:rsid w:val="00F77E0A"/>
    <w:rsid w:val="00F80777"/>
    <w:rsid w:val="00F81658"/>
    <w:rsid w:val="00F816B1"/>
    <w:rsid w:val="00F83E7E"/>
    <w:rsid w:val="00F847F8"/>
    <w:rsid w:val="00F8699A"/>
    <w:rsid w:val="00F86DF9"/>
    <w:rsid w:val="00F87645"/>
    <w:rsid w:val="00F910F2"/>
    <w:rsid w:val="00F93252"/>
    <w:rsid w:val="00F93D95"/>
    <w:rsid w:val="00F94DB5"/>
    <w:rsid w:val="00F9583F"/>
    <w:rsid w:val="00F95F58"/>
    <w:rsid w:val="00F970EB"/>
    <w:rsid w:val="00FA1269"/>
    <w:rsid w:val="00FA3A16"/>
    <w:rsid w:val="00FA3B47"/>
    <w:rsid w:val="00FA5B04"/>
    <w:rsid w:val="00FA6225"/>
    <w:rsid w:val="00FB0B83"/>
    <w:rsid w:val="00FB140A"/>
    <w:rsid w:val="00FB311E"/>
    <w:rsid w:val="00FB3721"/>
    <w:rsid w:val="00FB600F"/>
    <w:rsid w:val="00FB6477"/>
    <w:rsid w:val="00FB7402"/>
    <w:rsid w:val="00FB7B23"/>
    <w:rsid w:val="00FC5B82"/>
    <w:rsid w:val="00FD0624"/>
    <w:rsid w:val="00FD16BC"/>
    <w:rsid w:val="00FD27AE"/>
    <w:rsid w:val="00FD37BF"/>
    <w:rsid w:val="00FD4DB7"/>
    <w:rsid w:val="00FD50D0"/>
    <w:rsid w:val="00FE23C7"/>
    <w:rsid w:val="00FE2EC2"/>
    <w:rsid w:val="00FE3DA2"/>
    <w:rsid w:val="00FE5803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0A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E580D"/>
    <w:rPr>
      <w:sz w:val="20"/>
    </w:rPr>
  </w:style>
  <w:style w:type="character" w:styleId="FootnoteReference">
    <w:name w:val="footnote reference"/>
    <w:basedOn w:val="DefaultParagraphFont"/>
    <w:semiHidden/>
    <w:rsid w:val="003E580D"/>
    <w:rPr>
      <w:vertAlign w:val="superscript"/>
    </w:rPr>
  </w:style>
  <w:style w:type="character" w:styleId="Hyperlink">
    <w:name w:val="Hyperlink"/>
    <w:basedOn w:val="DefaultParagraphFont"/>
    <w:rsid w:val="003E580D"/>
    <w:rPr>
      <w:color w:val="0000FF"/>
      <w:u w:val="single"/>
    </w:rPr>
  </w:style>
  <w:style w:type="paragraph" w:styleId="BalloonText">
    <w:name w:val="Balloon Text"/>
    <w:basedOn w:val="Normal"/>
    <w:semiHidden/>
    <w:rsid w:val="00E0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79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792B"/>
    <w:pPr>
      <w:tabs>
        <w:tab w:val="center" w:pos="4153"/>
        <w:tab w:val="right" w:pos="8306"/>
      </w:tabs>
    </w:pPr>
  </w:style>
  <w:style w:type="paragraph" w:customStyle="1" w:styleId="heading10">
    <w:name w:val="__heading 1"/>
    <w:basedOn w:val="Normal"/>
    <w:rsid w:val="007C1CA3"/>
    <w:pPr>
      <w:jc w:val="center"/>
    </w:pPr>
    <w:rPr>
      <w:b/>
      <w:color w:val="333399"/>
      <w:sz w:val="32"/>
      <w:szCs w:val="32"/>
    </w:rPr>
  </w:style>
  <w:style w:type="paragraph" w:customStyle="1" w:styleId="footnote">
    <w:name w:val="__footnote"/>
    <w:basedOn w:val="Normal"/>
    <w:rsid w:val="00D8535E"/>
    <w:pPr>
      <w:spacing w:line="180" w:lineRule="exact"/>
    </w:pPr>
    <w:rPr>
      <w:sz w:val="12"/>
      <w:szCs w:val="12"/>
    </w:rPr>
  </w:style>
  <w:style w:type="character" w:styleId="FollowedHyperlink">
    <w:name w:val="FollowedHyperlink"/>
    <w:basedOn w:val="DefaultParagraphFont"/>
    <w:rsid w:val="00CB197D"/>
    <w:rPr>
      <w:color w:val="800080"/>
      <w:u w:val="single"/>
    </w:rPr>
  </w:style>
  <w:style w:type="paragraph" w:customStyle="1" w:styleId="HeadingMajor">
    <w:name w:val="Heading Major"/>
    <w:basedOn w:val="Normal"/>
    <w:next w:val="Normal"/>
    <w:rsid w:val="002F5EFD"/>
    <w:pPr>
      <w:pageBreakBefore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0" w:color="auto" w:fill="auto"/>
      <w:spacing w:before="120" w:after="120" w:line="36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0A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E580D"/>
    <w:rPr>
      <w:sz w:val="20"/>
    </w:rPr>
  </w:style>
  <w:style w:type="character" w:styleId="FootnoteReference">
    <w:name w:val="footnote reference"/>
    <w:basedOn w:val="DefaultParagraphFont"/>
    <w:semiHidden/>
    <w:rsid w:val="003E580D"/>
    <w:rPr>
      <w:vertAlign w:val="superscript"/>
    </w:rPr>
  </w:style>
  <w:style w:type="character" w:styleId="Hyperlink">
    <w:name w:val="Hyperlink"/>
    <w:basedOn w:val="DefaultParagraphFont"/>
    <w:rsid w:val="003E580D"/>
    <w:rPr>
      <w:color w:val="0000FF"/>
      <w:u w:val="single"/>
    </w:rPr>
  </w:style>
  <w:style w:type="paragraph" w:styleId="BalloonText">
    <w:name w:val="Balloon Text"/>
    <w:basedOn w:val="Normal"/>
    <w:semiHidden/>
    <w:rsid w:val="00E0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79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792B"/>
    <w:pPr>
      <w:tabs>
        <w:tab w:val="center" w:pos="4153"/>
        <w:tab w:val="right" w:pos="8306"/>
      </w:tabs>
    </w:pPr>
  </w:style>
  <w:style w:type="paragraph" w:customStyle="1" w:styleId="heading10">
    <w:name w:val="__heading 1"/>
    <w:basedOn w:val="Normal"/>
    <w:rsid w:val="007C1CA3"/>
    <w:pPr>
      <w:jc w:val="center"/>
    </w:pPr>
    <w:rPr>
      <w:b/>
      <w:color w:val="333399"/>
      <w:sz w:val="32"/>
      <w:szCs w:val="32"/>
    </w:rPr>
  </w:style>
  <w:style w:type="paragraph" w:customStyle="1" w:styleId="footnote">
    <w:name w:val="__footnote"/>
    <w:basedOn w:val="Normal"/>
    <w:rsid w:val="00D8535E"/>
    <w:pPr>
      <w:spacing w:line="180" w:lineRule="exact"/>
    </w:pPr>
    <w:rPr>
      <w:sz w:val="12"/>
      <w:szCs w:val="12"/>
    </w:rPr>
  </w:style>
  <w:style w:type="character" w:styleId="FollowedHyperlink">
    <w:name w:val="FollowedHyperlink"/>
    <w:basedOn w:val="DefaultParagraphFont"/>
    <w:rsid w:val="00CB197D"/>
    <w:rPr>
      <w:color w:val="800080"/>
      <w:u w:val="single"/>
    </w:rPr>
  </w:style>
  <w:style w:type="paragraph" w:customStyle="1" w:styleId="HeadingMajor">
    <w:name w:val="Heading Major"/>
    <w:basedOn w:val="Normal"/>
    <w:next w:val="Normal"/>
    <w:rsid w:val="002F5EFD"/>
    <w:pPr>
      <w:pageBreakBefore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hd w:val="pct10" w:color="auto" w:fill="auto"/>
      <w:spacing w:before="120" w:after="120" w:line="36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ternationaleducation.gov.au/research/research-snapshots/pages/default.aspx" TargetMode="External"/><Relationship Id="rId1" Type="http://schemas.openxmlformats.org/officeDocument/2006/relationships/hyperlink" Target="mailto:IEResearch@educat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D11B6-F3C6-44C8-8D59-DC81EF735EED}"/>
</file>

<file path=customXml/itemProps2.xml><?xml version="1.0" encoding="utf-8"?>
<ds:datastoreItem xmlns:ds="http://schemas.openxmlformats.org/officeDocument/2006/customXml" ds:itemID="{53FAF4BB-B918-4E80-BC40-E9124A1170FB}"/>
</file>

<file path=customXml/itemProps3.xml><?xml version="1.0" encoding="utf-8"?>
<ds:datastoreItem xmlns:ds="http://schemas.openxmlformats.org/officeDocument/2006/customXml" ds:itemID="{EDC45CAC-35C7-4963-BA26-8A55BB841DE4}"/>
</file>

<file path=customXml/itemProps4.xml><?xml version="1.0" encoding="utf-8"?>
<ds:datastoreItem xmlns:ds="http://schemas.openxmlformats.org/officeDocument/2006/customXml" ds:itemID="{9C37CC2E-009E-4B3F-B0D3-1BB952338E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166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DEST</Company>
  <LinksUpToDate>false</LinksUpToDate>
  <CharactersWithSpaces>1101</CharactersWithSpaces>
  <SharedDoc>false</SharedDoc>
  <HLinks>
    <vt:vector size="6" baseType="variant">
      <vt:variant>
        <vt:i4>5177404</vt:i4>
      </vt:variant>
      <vt:variant>
        <vt:i4>0</vt:i4>
      </vt:variant>
      <vt:variant>
        <vt:i4>0</vt:i4>
      </vt:variant>
      <vt:variant>
        <vt:i4>5</vt:i4>
      </vt:variant>
      <vt:variant>
        <vt:lpwstr>mailto:aeihotline@deewr.gov.au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sk1508</dc:creator>
  <cp:lastModifiedBy>Sereana Vaqewa</cp:lastModifiedBy>
  <cp:revision>12</cp:revision>
  <cp:lastPrinted>2015-06-22T04:30:00Z</cp:lastPrinted>
  <dcterms:created xsi:type="dcterms:W3CDTF">2016-02-05T04:47:00Z</dcterms:created>
  <dcterms:modified xsi:type="dcterms:W3CDTF">2016-06-08T04:52:00Z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21600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