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4C" w:rsidRDefault="00873C9E" w:rsidP="00F253FC">
      <w:pPr>
        <w:jc w:val="right"/>
        <w:rPr>
          <w:b/>
          <w:sz w:val="20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ABF0D9A" wp14:editId="5E79928D">
            <wp:extent cx="6857365" cy="1173489"/>
            <wp:effectExtent l="0" t="0" r="635" b="7620"/>
            <wp:docPr id="1" name="Picture 1" descr="I:\IE\IES\IntResearchAnalysis\Section Publications\Research Snapshots\DET_Research Snapshot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\IES\IntResearchAnalysis\Section Publications\Research Snapshots\DET_Research Snapshot Bann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117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FC" w:rsidRDefault="00F253FC" w:rsidP="00F253FC">
      <w:pPr>
        <w:jc w:val="right"/>
        <w:rPr>
          <w:b/>
          <w:sz w:val="20"/>
        </w:rPr>
      </w:pPr>
    </w:p>
    <w:p w:rsidR="00AB22FA" w:rsidRPr="005471AB" w:rsidRDefault="00BC4BB6" w:rsidP="00DE3183">
      <w:pPr>
        <w:jc w:val="right"/>
        <w:rPr>
          <w:b/>
          <w:sz w:val="20"/>
        </w:rPr>
      </w:pPr>
      <w:r>
        <w:rPr>
          <w:b/>
          <w:sz w:val="20"/>
        </w:rPr>
        <w:t>September</w:t>
      </w:r>
      <w:r w:rsidR="0052579E" w:rsidRPr="005471AB">
        <w:rPr>
          <w:b/>
          <w:sz w:val="20"/>
        </w:rPr>
        <w:t xml:space="preserve"> 201</w:t>
      </w:r>
      <w:r w:rsidR="003C4DC6">
        <w:rPr>
          <w:b/>
          <w:sz w:val="20"/>
        </w:rPr>
        <w:t>6</w:t>
      </w:r>
    </w:p>
    <w:p w:rsidR="00103A78" w:rsidRPr="003C4DC6" w:rsidRDefault="006E023F" w:rsidP="00103A78">
      <w:pPr>
        <w:pStyle w:val="heading10"/>
        <w:spacing w:after="120"/>
        <w:outlineLvl w:val="0"/>
        <w:rPr>
          <w:rFonts w:asciiTheme="minorHAnsi" w:hAnsiTheme="minorHAnsi" w:cstheme="minorHAnsi"/>
          <w:sz w:val="36"/>
          <w:szCs w:val="36"/>
        </w:rPr>
      </w:pPr>
      <w:bookmarkStart w:id="1" w:name="OLE_LINK1"/>
      <w:bookmarkEnd w:id="1"/>
      <w:r w:rsidRPr="003C4DC6">
        <w:rPr>
          <w:rFonts w:asciiTheme="minorHAnsi" w:hAnsiTheme="minorHAnsi" w:cstheme="minorHAnsi"/>
          <w:sz w:val="36"/>
          <w:szCs w:val="36"/>
        </w:rPr>
        <w:t xml:space="preserve">International </w:t>
      </w:r>
      <w:r w:rsidR="00E77808" w:rsidRPr="003C4DC6">
        <w:rPr>
          <w:rFonts w:asciiTheme="minorHAnsi" w:hAnsiTheme="minorHAnsi" w:cstheme="minorHAnsi"/>
          <w:sz w:val="36"/>
          <w:szCs w:val="36"/>
        </w:rPr>
        <w:t>s</w:t>
      </w:r>
      <w:r w:rsidRPr="003C4DC6">
        <w:rPr>
          <w:rFonts w:asciiTheme="minorHAnsi" w:hAnsiTheme="minorHAnsi" w:cstheme="minorHAnsi"/>
          <w:sz w:val="36"/>
          <w:szCs w:val="36"/>
        </w:rPr>
        <w:t xml:space="preserve">tudents in </w:t>
      </w:r>
      <w:r w:rsidR="000D6639" w:rsidRPr="003C4DC6">
        <w:rPr>
          <w:rFonts w:asciiTheme="minorHAnsi" w:hAnsiTheme="minorHAnsi" w:cstheme="minorHAnsi"/>
          <w:sz w:val="36"/>
          <w:szCs w:val="36"/>
        </w:rPr>
        <w:t xml:space="preserve">the </w:t>
      </w:r>
      <w:proofErr w:type="spellStart"/>
      <w:r w:rsidRPr="003C4DC6">
        <w:rPr>
          <w:rFonts w:asciiTheme="minorHAnsi" w:hAnsiTheme="minorHAnsi" w:cstheme="minorHAnsi"/>
          <w:sz w:val="36"/>
          <w:szCs w:val="36"/>
        </w:rPr>
        <w:t>ELICOS</w:t>
      </w:r>
      <w:proofErr w:type="spellEnd"/>
      <w:r w:rsidRPr="003C4DC6">
        <w:rPr>
          <w:rFonts w:asciiTheme="minorHAnsi" w:hAnsiTheme="minorHAnsi" w:cstheme="minorHAnsi"/>
          <w:sz w:val="36"/>
          <w:szCs w:val="36"/>
        </w:rPr>
        <w:t xml:space="preserve"> sector in 20</w:t>
      </w:r>
      <w:r w:rsidR="00E46A7F" w:rsidRPr="003C4DC6">
        <w:rPr>
          <w:rFonts w:asciiTheme="minorHAnsi" w:hAnsiTheme="minorHAnsi" w:cstheme="minorHAnsi"/>
          <w:sz w:val="36"/>
          <w:szCs w:val="36"/>
        </w:rPr>
        <w:t>1</w:t>
      </w:r>
      <w:r w:rsidR="003C4DC6" w:rsidRPr="003C4DC6">
        <w:rPr>
          <w:rFonts w:asciiTheme="minorHAnsi" w:hAnsiTheme="minorHAnsi" w:cstheme="minorHAnsi"/>
          <w:sz w:val="36"/>
          <w:szCs w:val="36"/>
        </w:rPr>
        <w:t>5</w:t>
      </w:r>
    </w:p>
    <w:p w:rsidR="006E023F" w:rsidRPr="003C4DC6" w:rsidRDefault="007852E9" w:rsidP="001D65E4">
      <w:pPr>
        <w:pStyle w:val="heading10"/>
        <w:spacing w:after="120"/>
        <w:jc w:val="both"/>
        <w:outlineLvl w:val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This </w:t>
      </w:r>
      <w:r w:rsidR="006E023F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snapshot provides an overview of international students studying English Language Intensive Courses </w:t>
      </w:r>
      <w:r w:rsidR="00334562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for Overseas Students </w:t>
      </w:r>
      <w:r w:rsidR="006E023F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(ELICOS) in Australia in 201</w:t>
      </w:r>
      <w:r w:rsidR="003C4DC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5</w:t>
      </w:r>
      <w:r w:rsidR="006E023F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  <w:r w:rsidR="0050545D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The Department of Education and Training's international student data on enrolments and commencements relate only to international students</w:t>
      </w:r>
      <w:r w:rsidR="00602D1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studying in </w:t>
      </w:r>
      <w:r w:rsidR="0050545D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Australia on a student visa.</w:t>
      </w:r>
      <w:r w:rsidR="006E023F" w:rsidRPr="008E0EF8">
        <w:rPr>
          <w:rFonts w:asciiTheme="minorHAnsi" w:hAnsiTheme="minorHAnsi" w:cstheme="minorHAnsi"/>
          <w:b w:val="0"/>
          <w:color w:val="FF0000"/>
          <w:sz w:val="20"/>
          <w:szCs w:val="20"/>
        </w:rPr>
        <w:t xml:space="preserve"> </w:t>
      </w:r>
      <w:r w:rsidR="003C4DC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The English Australia (EA) </w:t>
      </w:r>
      <w:r w:rsidR="00AA2C3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</w:t>
      </w:r>
      <w:r w:rsidR="003C4DC6" w:rsidRPr="00AA2C3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urvey of </w:t>
      </w:r>
      <w:r w:rsidR="00AA2C37" w:rsidRPr="00AA2C3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English language studies </w:t>
      </w:r>
      <w:r w:rsidR="003C4DC6" w:rsidRPr="00AA2C3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in 201</w:t>
      </w:r>
      <w:r w:rsidR="00AA2C37" w:rsidRPr="00AA2C37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5</w:t>
      </w:r>
      <w:r w:rsidR="003C4DC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provides informat</w:t>
      </w:r>
      <w:r w:rsidR="00DB1B3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ion </w:t>
      </w:r>
      <w:r w:rsidR="00A7097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about</w:t>
      </w:r>
      <w:r w:rsidR="00DB1B3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proofErr w:type="spellStart"/>
      <w:r w:rsidR="00DB1B3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ELICOS</w:t>
      </w:r>
      <w:proofErr w:type="spellEnd"/>
      <w:r w:rsidR="00DB1B3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students on </w:t>
      </w:r>
      <w:r w:rsidR="00A7097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all temporary </w:t>
      </w:r>
      <w:r w:rsidR="003C4DC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visas</w:t>
      </w:r>
      <w:r w:rsidR="00A7097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, not just </w:t>
      </w:r>
      <w:r w:rsidR="00DB1B35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student visas</w:t>
      </w:r>
      <w:r w:rsidR="003C4DC6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 </w:t>
      </w:r>
      <w:r w:rsidR="00B23A19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F</w:t>
      </w:r>
      <w:r w:rsidR="00CC319F" w:rsidRPr="008E0EF8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indings of the EA survey </w:t>
      </w:r>
      <w:r w:rsidR="00CC319F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are weighted </w:t>
      </w:r>
      <w:r w:rsidR="00DF66BF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against</w:t>
      </w:r>
      <w:r w:rsidR="00CC319F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data</w:t>
      </w:r>
      <w:r w:rsidR="00794505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from the department</w:t>
      </w:r>
      <w:r w:rsidR="00CC319F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</w:t>
      </w:r>
      <w:r w:rsidR="00374973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to provide</w:t>
      </w:r>
      <w:r w:rsidR="00683277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a </w:t>
      </w:r>
      <w:r w:rsidR="00FD3707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useful </w:t>
      </w:r>
      <w:r w:rsidR="00334562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picture of the</w:t>
      </w:r>
      <w:r w:rsidR="00683277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make-up of the total ELICOS student population. </w:t>
      </w:r>
      <w:r w:rsidR="003C4DC6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For a more current count of ELICOS enrolment</w:t>
      </w:r>
      <w:r w:rsidR="00B23A19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s</w:t>
      </w:r>
      <w:r w:rsidR="003C4DC6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by student visa holders, </w:t>
      </w:r>
      <w:r w:rsidR="000B1470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please refer to </w:t>
      </w:r>
      <w:r w:rsidR="00B5590C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the d</w:t>
      </w:r>
      <w:r w:rsidR="004D655A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epartment</w:t>
      </w:r>
      <w:r w:rsidR="00B5590C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's</w:t>
      </w:r>
      <w:r w:rsidR="004D655A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</w:t>
      </w:r>
      <w:r w:rsidR="00683277" w:rsidRPr="008E0EF8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>international student data</w:t>
      </w:r>
      <w:r w:rsidR="00A6704D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>.</w:t>
      </w:r>
      <w:r w:rsidR="00EB0410" w:rsidRPr="003C4DC6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t xml:space="preserve"> </w:t>
      </w:r>
    </w:p>
    <w:p w:rsidR="00F64614" w:rsidRPr="008E0EF8" w:rsidRDefault="001414B6" w:rsidP="008E0EF8">
      <w:pPr>
        <w:tabs>
          <w:tab w:val="left" w:pos="851"/>
        </w:tabs>
        <w:spacing w:after="120"/>
        <w:ind w:right="23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Cs w:val="22"/>
          <w:lang w:eastAsia="en-AU"/>
        </w:rPr>
        <w:drawing>
          <wp:anchor distT="0" distB="0" distL="114300" distR="114300" simplePos="0" relativeHeight="251671552" behindDoc="0" locked="0" layoutInCell="1" allowOverlap="1" wp14:anchorId="4C3EAA48" wp14:editId="1B176493">
            <wp:simplePos x="0" y="0"/>
            <wp:positionH relativeFrom="column">
              <wp:posOffset>3947795</wp:posOffset>
            </wp:positionH>
            <wp:positionV relativeFrom="paragraph">
              <wp:posOffset>75565</wp:posOffset>
            </wp:positionV>
            <wp:extent cx="2898775" cy="2101215"/>
            <wp:effectExtent l="0" t="0" r="0" b="0"/>
            <wp:wrapSquare wrapText="bothSides"/>
            <wp:docPr id="3" name="Picture 3" descr="Pie chart shows data:&#10;&#10;66% of ELICOS students were on Students visa&#10;18% of ELICOS students were on Visitor visa&#10;10% of ELICOS students were on Working holiday visa and &#10;6% of ELCIOS students were on other visas." title="Figure 1. ELICOS students by visa type i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0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FF6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In 201</w:t>
      </w:r>
      <w:r w:rsidR="003C4DC6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5</w:t>
      </w:r>
      <w:r w:rsidR="00204FF6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, t</w:t>
      </w:r>
      <w:r w:rsidR="00FE026E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he EA survey show</w:t>
      </w:r>
      <w:r w:rsidR="0050545D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>ed</w:t>
      </w:r>
      <w:r w:rsidR="00FE026E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that</w:t>
      </w:r>
      <w:r w:rsidR="00263767" w:rsidRPr="008E0EF8">
        <w:rPr>
          <w:rFonts w:asciiTheme="minorHAnsi" w:hAnsiTheme="minorHAnsi" w:cstheme="minorHAnsi"/>
          <w:noProof/>
          <w:color w:val="000000" w:themeColor="text1"/>
          <w:sz w:val="20"/>
          <w:lang w:eastAsia="en-AU"/>
        </w:rPr>
        <w:t xml:space="preserve"> </w:t>
      </w:r>
      <w:proofErr w:type="spellStart"/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A2F33" w:rsidRPr="008E0EF8">
        <w:rPr>
          <w:rFonts w:asciiTheme="minorHAnsi" w:hAnsiTheme="minorHAnsi" w:cstheme="minorHAnsi"/>
          <w:color w:val="000000" w:themeColor="text1"/>
          <w:sz w:val="20"/>
        </w:rPr>
        <w:t xml:space="preserve">student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enrolments </w:t>
      </w:r>
      <w:r w:rsidR="00833D86" w:rsidRPr="008E0EF8">
        <w:rPr>
          <w:rFonts w:asciiTheme="minorHAnsi" w:hAnsiTheme="minorHAnsi" w:cstheme="minorHAnsi"/>
          <w:color w:val="000000" w:themeColor="text1"/>
          <w:sz w:val="20"/>
        </w:rPr>
        <w:t>grew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386BFA">
        <w:rPr>
          <w:rFonts w:asciiTheme="minorHAnsi" w:hAnsiTheme="minorHAnsi" w:cstheme="minorHAnsi"/>
          <w:color w:val="000000" w:themeColor="text1"/>
          <w:sz w:val="20"/>
        </w:rPr>
        <w:t>by</w:t>
      </w:r>
      <w:r w:rsidR="000B1470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4</w:t>
      </w:r>
      <w:r w:rsidR="000B1470">
        <w:rPr>
          <w:rFonts w:asciiTheme="minorHAnsi" w:hAnsiTheme="minorHAnsi" w:cstheme="minorHAnsi"/>
          <w:color w:val="000000" w:themeColor="text1"/>
          <w:sz w:val="20"/>
        </w:rPr>
        <w:t xml:space="preserve"> per 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cent </w:t>
      </w:r>
      <w:r w:rsidR="00643085" w:rsidRPr="008E0EF8">
        <w:rPr>
          <w:rFonts w:asciiTheme="minorHAnsi" w:hAnsiTheme="minorHAnsi" w:cstheme="minorHAnsi"/>
          <w:color w:val="000000" w:themeColor="text1"/>
          <w:sz w:val="20"/>
        </w:rPr>
        <w:t>to</w:t>
      </w:r>
      <w:r w:rsidR="00FE314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170,628</w:t>
      </w:r>
      <w:r w:rsidR="00374973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students (</w:t>
      </w:r>
      <w:r w:rsidR="00FE314F" w:rsidRPr="008E0EF8">
        <w:rPr>
          <w:rFonts w:asciiTheme="minorHAnsi" w:hAnsiTheme="minorHAnsi" w:cstheme="minorHAnsi"/>
          <w:color w:val="000000" w:themeColor="text1"/>
          <w:sz w:val="20"/>
        </w:rPr>
        <w:t>from</w:t>
      </w:r>
      <w:r w:rsidR="00643085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163,542</w:t>
      </w:r>
      <w:r w:rsidR="00FE314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4</w:t>
      </w:r>
      <w:r w:rsidR="00374973" w:rsidRPr="008E0EF8">
        <w:rPr>
          <w:rFonts w:asciiTheme="minorHAnsi" w:hAnsiTheme="minorHAnsi" w:cstheme="minorHAnsi"/>
          <w:color w:val="000000" w:themeColor="text1"/>
          <w:sz w:val="20"/>
        </w:rPr>
        <w:t>)</w:t>
      </w:r>
      <w:r w:rsidR="00204FF6" w:rsidRPr="008E0EF8">
        <w:rPr>
          <w:rFonts w:asciiTheme="minorHAnsi" w:hAnsiTheme="minorHAnsi" w:cstheme="minorHAnsi"/>
          <w:color w:val="000000" w:themeColor="text1"/>
          <w:sz w:val="20"/>
        </w:rPr>
        <w:t xml:space="preserve">. </w:t>
      </w:r>
      <w:r w:rsidR="0050545D" w:rsidRPr="008E0EF8">
        <w:rPr>
          <w:rFonts w:asciiTheme="minorHAnsi" w:hAnsiTheme="minorHAnsi" w:cstheme="minorHAnsi"/>
          <w:color w:val="000000" w:themeColor="text1"/>
          <w:sz w:val="20"/>
        </w:rPr>
        <w:t>The m</w:t>
      </w:r>
      <w:r w:rsidR="005B4E59" w:rsidRPr="008E0EF8">
        <w:rPr>
          <w:rFonts w:asciiTheme="minorHAnsi" w:hAnsiTheme="minorHAnsi" w:cstheme="minorHAnsi"/>
          <w:color w:val="000000" w:themeColor="text1"/>
          <w:sz w:val="20"/>
        </w:rPr>
        <w:t>ajority of the s</w:t>
      </w:r>
      <w:r w:rsidR="00156E7E" w:rsidRPr="008E0EF8">
        <w:rPr>
          <w:rFonts w:asciiTheme="minorHAnsi" w:hAnsiTheme="minorHAnsi" w:cstheme="minorHAnsi"/>
          <w:color w:val="000000" w:themeColor="text1"/>
          <w:sz w:val="20"/>
        </w:rPr>
        <w:t xml:space="preserve">tudents studying </w:t>
      </w:r>
      <w:proofErr w:type="spellStart"/>
      <w:r w:rsidR="00156E7E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156E7E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B4E59" w:rsidRPr="008E0EF8">
        <w:rPr>
          <w:rFonts w:asciiTheme="minorHAnsi" w:hAnsiTheme="minorHAnsi" w:cstheme="minorHAnsi"/>
          <w:color w:val="000000" w:themeColor="text1"/>
          <w:sz w:val="20"/>
        </w:rPr>
        <w:t xml:space="preserve">were </w:t>
      </w:r>
      <w:r w:rsidR="00156E7E" w:rsidRPr="008E0EF8">
        <w:rPr>
          <w:rFonts w:asciiTheme="minorHAnsi" w:hAnsiTheme="minorHAnsi" w:cstheme="minorHAnsi"/>
          <w:color w:val="000000" w:themeColor="text1"/>
          <w:sz w:val="20"/>
        </w:rPr>
        <w:t xml:space="preserve">on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student visa</w:t>
      </w:r>
      <w:r w:rsidR="00374973" w:rsidRPr="008E0EF8">
        <w:rPr>
          <w:rFonts w:asciiTheme="minorHAnsi" w:hAnsiTheme="minorHAnsi" w:cstheme="minorHAnsi"/>
          <w:color w:val="000000" w:themeColor="text1"/>
          <w:sz w:val="20"/>
        </w:rPr>
        <w:t>s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B4E59" w:rsidRPr="008E0EF8">
        <w:rPr>
          <w:rFonts w:asciiTheme="minorHAnsi" w:hAnsiTheme="minorHAnsi" w:cstheme="minorHAnsi"/>
          <w:color w:val="000000" w:themeColor="text1"/>
          <w:sz w:val="20"/>
        </w:rPr>
        <w:t>(</w:t>
      </w:r>
      <w:r w:rsidR="000567CA" w:rsidRPr="008E0EF8">
        <w:rPr>
          <w:rFonts w:asciiTheme="minorHAnsi" w:hAnsiTheme="minorHAnsi" w:cstheme="minorHAnsi"/>
          <w:color w:val="000000" w:themeColor="text1"/>
          <w:sz w:val="20"/>
        </w:rPr>
        <w:t>6</w:t>
      </w:r>
      <w:r w:rsidR="002F3E4A" w:rsidRPr="008E0EF8">
        <w:rPr>
          <w:rFonts w:asciiTheme="minorHAnsi" w:hAnsiTheme="minorHAnsi" w:cstheme="minorHAnsi"/>
          <w:color w:val="000000" w:themeColor="text1"/>
          <w:sz w:val="20"/>
        </w:rPr>
        <w:t>6</w:t>
      </w:r>
      <w:r w:rsidR="00376EBE" w:rsidRPr="008E0EF8">
        <w:rPr>
          <w:rFonts w:asciiTheme="minorHAnsi" w:hAnsiTheme="minorHAnsi" w:cstheme="minorHAnsi"/>
          <w:color w:val="000000" w:themeColor="text1"/>
          <w:sz w:val="20"/>
        </w:rPr>
        <w:t>%</w:t>
      </w:r>
      <w:r w:rsidR="005B4E59" w:rsidRPr="008E0EF8">
        <w:rPr>
          <w:rFonts w:asciiTheme="minorHAnsi" w:hAnsiTheme="minorHAnsi" w:cstheme="minorHAnsi"/>
          <w:color w:val="000000" w:themeColor="text1"/>
          <w:sz w:val="20"/>
        </w:rPr>
        <w:t>)</w:t>
      </w:r>
      <w:r w:rsidR="00B55DCA" w:rsidRPr="008E0EF8">
        <w:rPr>
          <w:rFonts w:asciiTheme="minorHAnsi" w:hAnsiTheme="minorHAnsi" w:cstheme="minorHAnsi"/>
          <w:color w:val="000000" w:themeColor="text1"/>
          <w:sz w:val="20"/>
        </w:rPr>
        <w:t xml:space="preserve"> followed by visitor (</w:t>
      </w:r>
      <w:r w:rsidR="000567CA" w:rsidRPr="008E0EF8">
        <w:rPr>
          <w:rFonts w:asciiTheme="minorHAnsi" w:hAnsiTheme="minorHAnsi" w:cstheme="minorHAnsi"/>
          <w:color w:val="000000" w:themeColor="text1"/>
          <w:sz w:val="20"/>
        </w:rPr>
        <w:t>1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8</w:t>
      </w:r>
      <w:r w:rsidR="00B55DCA" w:rsidRPr="008E0EF8">
        <w:rPr>
          <w:rFonts w:asciiTheme="minorHAnsi" w:hAnsiTheme="minorHAnsi" w:cstheme="minorHAnsi"/>
          <w:color w:val="000000" w:themeColor="text1"/>
          <w:sz w:val="20"/>
        </w:rPr>
        <w:t>%), working holiday (1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0</w:t>
      </w:r>
      <w:r w:rsidR="00B55DCA" w:rsidRPr="008E0EF8">
        <w:rPr>
          <w:rFonts w:asciiTheme="minorHAnsi" w:hAnsiTheme="minorHAnsi" w:cstheme="minorHAnsi"/>
          <w:color w:val="000000" w:themeColor="text1"/>
          <w:sz w:val="20"/>
        </w:rPr>
        <w:t xml:space="preserve">%) and other </w:t>
      </w:r>
      <w:r w:rsidR="00AA2C37">
        <w:rPr>
          <w:rFonts w:asciiTheme="minorHAnsi" w:hAnsiTheme="minorHAnsi" w:cstheme="minorHAnsi"/>
          <w:color w:val="000000" w:themeColor="text1"/>
          <w:sz w:val="20"/>
        </w:rPr>
        <w:t>(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6</w:t>
      </w:r>
      <w:r w:rsidR="00B55DCA" w:rsidRPr="008E0EF8">
        <w:rPr>
          <w:rFonts w:asciiTheme="minorHAnsi" w:hAnsiTheme="minorHAnsi" w:cstheme="minorHAnsi"/>
          <w:color w:val="000000" w:themeColor="text1"/>
          <w:sz w:val="20"/>
        </w:rPr>
        <w:t>%) visas</w:t>
      </w:r>
      <w:r w:rsidR="00E0755A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(Figure 1)</w:t>
      </w:r>
      <w:r w:rsidR="00B97AC1">
        <w:rPr>
          <w:rStyle w:val="FootnoteReference"/>
          <w:rFonts w:asciiTheme="minorHAnsi" w:hAnsiTheme="minorHAnsi"/>
          <w:color w:val="000000" w:themeColor="text1"/>
          <w:sz w:val="20"/>
        </w:rPr>
        <w:footnoteReference w:id="1"/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. In comparison to 201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4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>the nu</w:t>
      </w:r>
      <w:r w:rsidR="00A6704D">
        <w:rPr>
          <w:rFonts w:asciiTheme="minorHAnsi" w:hAnsiTheme="minorHAnsi" w:cstheme="minorHAnsi"/>
          <w:color w:val="000000" w:themeColor="text1"/>
          <w:sz w:val="20"/>
        </w:rPr>
        <w:t xml:space="preserve">mber of students on visitor 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>and working holiday visa</w:t>
      </w:r>
      <w:r w:rsidR="00A6704D">
        <w:rPr>
          <w:rFonts w:asciiTheme="minorHAnsi" w:hAnsiTheme="minorHAnsi" w:cstheme="minorHAnsi"/>
          <w:color w:val="000000" w:themeColor="text1"/>
          <w:sz w:val="20"/>
        </w:rPr>
        <w:t>s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 xml:space="preserve"> declined by 2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 per cent 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>and 0.3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 per cent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 xml:space="preserve"> respectively</w:t>
      </w:r>
      <w:r w:rsidR="008E0EF8">
        <w:rPr>
          <w:rFonts w:asciiTheme="minorHAnsi" w:hAnsiTheme="minorHAnsi" w:cstheme="minorHAnsi"/>
          <w:color w:val="000000" w:themeColor="text1"/>
          <w:sz w:val="20"/>
        </w:rPr>
        <w:t xml:space="preserve"> and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 xml:space="preserve">the number of </w:t>
      </w:r>
      <w:r w:rsidR="000B1470">
        <w:rPr>
          <w:rFonts w:asciiTheme="minorHAnsi" w:hAnsiTheme="minorHAnsi" w:cstheme="minorHAnsi"/>
          <w:color w:val="000000" w:themeColor="text1"/>
          <w:sz w:val="20"/>
        </w:rPr>
        <w:t>people</w:t>
      </w:r>
      <w:r w:rsidR="007011D9" w:rsidRPr="008E0EF8">
        <w:rPr>
          <w:rFonts w:asciiTheme="minorHAnsi" w:hAnsiTheme="minorHAnsi" w:cstheme="minorHAnsi"/>
          <w:color w:val="000000" w:themeColor="text1"/>
          <w:sz w:val="20"/>
        </w:rPr>
        <w:t xml:space="preserve"> on student</w:t>
      </w:r>
      <w:r w:rsidR="00DF2035" w:rsidRPr="008E0EF8">
        <w:rPr>
          <w:rFonts w:asciiTheme="minorHAnsi" w:hAnsiTheme="minorHAnsi" w:cstheme="minorHAnsi"/>
          <w:color w:val="000000" w:themeColor="text1"/>
          <w:sz w:val="20"/>
        </w:rPr>
        <w:t xml:space="preserve"> visa</w:t>
      </w:r>
      <w:r w:rsidR="007011D9" w:rsidRPr="008E0EF8">
        <w:rPr>
          <w:rFonts w:asciiTheme="minorHAnsi" w:hAnsiTheme="minorHAnsi" w:cstheme="minorHAnsi"/>
          <w:color w:val="000000" w:themeColor="text1"/>
          <w:sz w:val="20"/>
        </w:rPr>
        <w:t>s</w:t>
      </w:r>
      <w:r w:rsidR="00DF2035" w:rsidRPr="008E0EF8">
        <w:rPr>
          <w:rFonts w:asciiTheme="minorHAnsi" w:hAnsiTheme="minorHAnsi" w:cstheme="minorHAnsi"/>
          <w:color w:val="000000" w:themeColor="text1"/>
          <w:sz w:val="20"/>
        </w:rPr>
        <w:t xml:space="preserve"> increased by </w:t>
      </w:r>
      <w:r w:rsidR="008526E9" w:rsidRPr="008E0EF8">
        <w:rPr>
          <w:rFonts w:asciiTheme="minorHAnsi" w:hAnsiTheme="minorHAnsi" w:cstheme="minorHAnsi"/>
          <w:color w:val="000000" w:themeColor="text1"/>
          <w:sz w:val="20"/>
        </w:rPr>
        <w:t>4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 per cent</w:t>
      </w:r>
      <w:r w:rsidR="00A6704D">
        <w:rPr>
          <w:rFonts w:asciiTheme="minorHAnsi" w:hAnsiTheme="minorHAnsi" w:cstheme="minorHAnsi"/>
          <w:color w:val="000000" w:themeColor="text1"/>
          <w:sz w:val="20"/>
        </w:rPr>
        <w:t xml:space="preserve">. The small proportion of students on </w:t>
      </w:r>
      <w:proofErr w:type="gramStart"/>
      <w:r w:rsidR="00A6704D">
        <w:rPr>
          <w:rFonts w:asciiTheme="minorHAnsi" w:hAnsiTheme="minorHAnsi" w:cstheme="minorHAnsi"/>
          <w:color w:val="000000" w:themeColor="text1"/>
          <w:sz w:val="20"/>
        </w:rPr>
        <w:t>O</w:t>
      </w:r>
      <w:r w:rsidR="008E0EF8">
        <w:rPr>
          <w:rFonts w:asciiTheme="minorHAnsi" w:hAnsiTheme="minorHAnsi" w:cstheme="minorHAnsi"/>
          <w:color w:val="000000" w:themeColor="text1"/>
          <w:sz w:val="20"/>
        </w:rPr>
        <w:t>ther</w:t>
      </w:r>
      <w:proofErr w:type="gramEnd"/>
      <w:r w:rsidR="008E0EF8">
        <w:rPr>
          <w:rFonts w:asciiTheme="minorHAnsi" w:hAnsiTheme="minorHAnsi" w:cstheme="minorHAnsi"/>
          <w:color w:val="000000" w:themeColor="text1"/>
          <w:sz w:val="20"/>
        </w:rPr>
        <w:t xml:space="preserve"> visas 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increased </w:t>
      </w:r>
      <w:r w:rsidR="008E0EF8">
        <w:rPr>
          <w:rFonts w:asciiTheme="minorHAnsi" w:hAnsiTheme="minorHAnsi" w:cstheme="minorHAnsi"/>
          <w:color w:val="000000" w:themeColor="text1"/>
          <w:sz w:val="20"/>
        </w:rPr>
        <w:t xml:space="preserve">by </w:t>
      </w:r>
      <w:r w:rsidR="00A6704D">
        <w:rPr>
          <w:rFonts w:asciiTheme="minorHAnsi" w:hAnsiTheme="minorHAnsi" w:cstheme="minorHAnsi"/>
          <w:color w:val="000000" w:themeColor="text1"/>
          <w:sz w:val="20"/>
        </w:rPr>
        <w:t>49 per cent</w:t>
      </w:r>
      <w:r w:rsidR="00474447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6E023F" w:rsidRPr="008E0EF8">
        <w:rPr>
          <w:rFonts w:asciiTheme="minorHAnsi" w:hAnsiTheme="minorHAnsi" w:cstheme="minorHAnsi"/>
          <w:color w:val="000000" w:themeColor="text1"/>
          <w:sz w:val="20"/>
        </w:rPr>
        <w:t>(Table 1).</w:t>
      </w:r>
      <w:r w:rsid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63BD2" w:rsidRPr="008E0EF8">
        <w:rPr>
          <w:rFonts w:asciiTheme="minorHAnsi" w:hAnsiTheme="minorHAnsi" w:cstheme="minorHAnsi"/>
          <w:color w:val="000000" w:themeColor="text1"/>
          <w:sz w:val="20"/>
        </w:rPr>
        <w:t>Figure 2 illustrates t</w:t>
      </w:r>
      <w:r w:rsidR="00E177DC" w:rsidRPr="008E0EF8">
        <w:rPr>
          <w:rFonts w:asciiTheme="minorHAnsi" w:hAnsiTheme="minorHAnsi" w:cstheme="minorHAnsi"/>
          <w:color w:val="000000" w:themeColor="text1"/>
          <w:sz w:val="20"/>
        </w:rPr>
        <w:t xml:space="preserve">he 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changing shares</w:t>
      </w:r>
      <w:r w:rsidR="005030B7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21DC5" w:rsidRPr="008E0EF8">
        <w:rPr>
          <w:rFonts w:asciiTheme="minorHAnsi" w:hAnsiTheme="minorHAnsi" w:cstheme="minorHAnsi"/>
          <w:color w:val="000000" w:themeColor="text1"/>
          <w:sz w:val="20"/>
        </w:rPr>
        <w:t xml:space="preserve">of </w:t>
      </w:r>
      <w:proofErr w:type="spellStart"/>
      <w:r w:rsidR="00521DC5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521DC5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student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 xml:space="preserve">s </w:t>
      </w:r>
      <w:r w:rsidR="000949A1" w:rsidRPr="008E0EF8">
        <w:rPr>
          <w:rFonts w:asciiTheme="minorHAnsi" w:hAnsiTheme="minorHAnsi" w:cstheme="minorHAnsi"/>
          <w:color w:val="000000" w:themeColor="text1"/>
          <w:sz w:val="20"/>
        </w:rPr>
        <w:t>on different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 xml:space="preserve"> visa types over the last seven years</w:t>
      </w:r>
      <w:r w:rsidR="00F64614" w:rsidRPr="003C4DC6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EB1EB1" w:rsidRPr="008E0EF8" w:rsidRDefault="007F0A26" w:rsidP="00855088">
      <w:pPr>
        <w:tabs>
          <w:tab w:val="left" w:pos="851"/>
        </w:tabs>
        <w:ind w:right="2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E0EF8">
        <w:rPr>
          <w:rFonts w:asciiTheme="minorHAnsi" w:hAnsiTheme="minorHAnsi" w:cstheme="minorHAnsi"/>
          <w:b/>
          <w:noProof/>
          <w:color w:val="000000" w:themeColor="text1"/>
          <w:sz w:val="20"/>
          <w:lang w:eastAsia="en-AU"/>
        </w:rPr>
        <w:drawing>
          <wp:anchor distT="0" distB="0" distL="114300" distR="114300" simplePos="0" relativeHeight="251673600" behindDoc="0" locked="0" layoutInCell="1" allowOverlap="1" wp14:anchorId="00E6EC16" wp14:editId="35FBB912">
            <wp:simplePos x="0" y="0"/>
            <wp:positionH relativeFrom="column">
              <wp:posOffset>3946525</wp:posOffset>
            </wp:positionH>
            <wp:positionV relativeFrom="paragraph">
              <wp:posOffset>640715</wp:posOffset>
            </wp:positionV>
            <wp:extent cx="2910205" cy="1740535"/>
            <wp:effectExtent l="0" t="0" r="4445" b="0"/>
            <wp:wrapSquare wrapText="bothSides"/>
            <wp:docPr id="13" name="Picture 13" descr="The chart llustrates the changing shares of ELICOS students on different visa types over the last seven years.&#10;These visa chnages impacted on the share of market with student visa remaining stable at 66%, &#10;other visa increasing and &#10;working holiday and visitor declining" title="Figure 2. ELICOS students by visa types 2008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88" w:rsidRPr="008E0EF8">
        <w:rPr>
          <w:rFonts w:asciiTheme="minorHAnsi" w:hAnsiTheme="minorHAnsi" w:cstheme="minorHAnsi"/>
          <w:color w:val="000000" w:themeColor="text1"/>
          <w:sz w:val="20"/>
        </w:rPr>
        <w:t>A</w:t>
      </w:r>
      <w:r w:rsidR="00794505" w:rsidRPr="008E0EF8">
        <w:rPr>
          <w:rFonts w:asciiTheme="minorHAnsi" w:hAnsiTheme="minorHAnsi" w:cstheme="minorHAnsi"/>
          <w:color w:val="000000" w:themeColor="text1"/>
          <w:sz w:val="20"/>
        </w:rPr>
        <w:t>ll states experienced growth in 201</w:t>
      </w:r>
      <w:r w:rsidR="009D3E17" w:rsidRPr="008E0EF8">
        <w:rPr>
          <w:rFonts w:asciiTheme="minorHAnsi" w:hAnsiTheme="minorHAnsi" w:cstheme="minorHAnsi"/>
          <w:color w:val="000000" w:themeColor="text1"/>
          <w:sz w:val="20"/>
        </w:rPr>
        <w:t>5</w:t>
      </w:r>
      <w:r w:rsidR="00794505" w:rsidRPr="008E0EF8">
        <w:rPr>
          <w:rFonts w:asciiTheme="minorHAnsi" w:hAnsiTheme="minorHAnsi" w:cstheme="minorHAnsi"/>
          <w:color w:val="000000" w:themeColor="text1"/>
          <w:sz w:val="20"/>
        </w:rPr>
        <w:t xml:space="preserve"> except Queensland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 where enrolments </w:t>
      </w:r>
      <w:r w:rsidR="009D3E17" w:rsidRPr="008E0EF8">
        <w:rPr>
          <w:rFonts w:asciiTheme="minorHAnsi" w:hAnsiTheme="minorHAnsi" w:cstheme="minorHAnsi"/>
          <w:color w:val="000000" w:themeColor="text1"/>
          <w:sz w:val="20"/>
        </w:rPr>
        <w:t>declined by 2 per cent</w:t>
      </w:r>
      <w:r w:rsidR="00433655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520B14" w:rsidRPr="008E0EF8">
        <w:rPr>
          <w:rFonts w:asciiTheme="minorHAnsi" w:hAnsiTheme="minorHAnsi" w:cstheme="minorHAnsi"/>
          <w:color w:val="000000" w:themeColor="text1"/>
          <w:sz w:val="20"/>
        </w:rPr>
        <w:t>when compared</w:t>
      </w:r>
      <w:r w:rsidR="00433655" w:rsidRPr="008E0EF8">
        <w:rPr>
          <w:rFonts w:asciiTheme="minorHAnsi" w:hAnsiTheme="minorHAnsi" w:cstheme="minorHAnsi"/>
          <w:color w:val="000000" w:themeColor="text1"/>
          <w:sz w:val="20"/>
        </w:rPr>
        <w:t xml:space="preserve"> to 2014</w:t>
      </w:r>
      <w:r w:rsidR="009D3E17" w:rsidRPr="008E0EF8">
        <w:rPr>
          <w:rFonts w:asciiTheme="minorHAnsi" w:hAnsiTheme="minorHAnsi" w:cstheme="minorHAnsi"/>
          <w:color w:val="000000" w:themeColor="text1"/>
          <w:sz w:val="20"/>
        </w:rPr>
        <w:t>.</w:t>
      </w:r>
      <w:r w:rsidR="00A6704D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 xml:space="preserve">NSW remained the most dominant </w:t>
      </w:r>
      <w:r w:rsidR="00FC12C1" w:rsidRPr="008E0EF8">
        <w:rPr>
          <w:rFonts w:asciiTheme="minorHAnsi" w:hAnsiTheme="minorHAnsi" w:cstheme="minorHAnsi"/>
          <w:color w:val="000000" w:themeColor="text1"/>
          <w:sz w:val="20"/>
        </w:rPr>
        <w:t xml:space="preserve">state </w:t>
      </w:r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 xml:space="preserve">with 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a </w:t>
      </w:r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>39</w:t>
      </w:r>
      <w:r w:rsidR="00386BFA">
        <w:rPr>
          <w:rFonts w:asciiTheme="minorHAnsi" w:hAnsiTheme="minorHAnsi" w:cstheme="minorHAnsi"/>
          <w:color w:val="000000" w:themeColor="text1"/>
          <w:sz w:val="20"/>
        </w:rPr>
        <w:t xml:space="preserve"> per cent </w:t>
      </w:r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 xml:space="preserve">share of </w:t>
      </w:r>
      <w:proofErr w:type="spellStart"/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students followed by </w:t>
      </w:r>
      <w:r w:rsidR="00794505" w:rsidRPr="008E0EF8">
        <w:rPr>
          <w:rFonts w:asciiTheme="minorHAnsi" w:hAnsiTheme="minorHAnsi" w:cstheme="minorHAnsi"/>
          <w:color w:val="000000" w:themeColor="text1"/>
          <w:sz w:val="20"/>
        </w:rPr>
        <w:t xml:space="preserve">Victoria </w:t>
      </w:r>
      <w:r w:rsidR="002A1B03" w:rsidRPr="008E0EF8">
        <w:rPr>
          <w:rFonts w:asciiTheme="minorHAnsi" w:hAnsiTheme="minorHAnsi" w:cstheme="minorHAnsi"/>
          <w:color w:val="000000" w:themeColor="text1"/>
          <w:sz w:val="20"/>
        </w:rPr>
        <w:t>(25%)</w:t>
      </w:r>
      <w:r w:rsidR="004015B4" w:rsidRPr="008E0EF8">
        <w:rPr>
          <w:rFonts w:asciiTheme="minorHAnsi" w:hAnsiTheme="minorHAnsi" w:cstheme="minorHAnsi"/>
          <w:color w:val="000000" w:themeColor="text1"/>
          <w:sz w:val="20"/>
        </w:rPr>
        <w:t>, Queensland (23%), Western Australia (10%) and SA (3%)</w:t>
      </w:r>
      <w:r w:rsidR="00FF60A6">
        <w:rPr>
          <w:rFonts w:asciiTheme="minorHAnsi" w:hAnsiTheme="minorHAnsi" w:cstheme="minorHAnsi"/>
          <w:color w:val="000000" w:themeColor="text1"/>
          <w:sz w:val="20"/>
        </w:rPr>
        <w:t>.</w:t>
      </w:r>
      <w:r w:rsidR="00B97AC1">
        <w:rPr>
          <w:rStyle w:val="FootnoteReference"/>
          <w:rFonts w:asciiTheme="minorHAnsi" w:hAnsiTheme="minorHAnsi"/>
          <w:color w:val="000000" w:themeColor="text1"/>
          <w:sz w:val="20"/>
        </w:rPr>
        <w:footnoteReference w:id="2"/>
      </w:r>
      <w:r w:rsidR="00FC12C1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13405">
        <w:rPr>
          <w:rFonts w:asciiTheme="minorHAnsi" w:hAnsiTheme="minorHAnsi" w:cstheme="minorHAnsi"/>
          <w:color w:val="000000" w:themeColor="text1"/>
          <w:sz w:val="20"/>
        </w:rPr>
        <w:t>The highest rate of growth was in WA (15%).</w:t>
      </w:r>
    </w:p>
    <w:p w:rsidR="004015B4" w:rsidRDefault="004015B4" w:rsidP="001D65E4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FF0000"/>
          <w:szCs w:val="22"/>
        </w:rPr>
      </w:pPr>
    </w:p>
    <w:p w:rsidR="00F66523" w:rsidRPr="008E0EF8" w:rsidRDefault="00F66523" w:rsidP="001D65E4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8E0EF8">
        <w:rPr>
          <w:rFonts w:asciiTheme="minorHAnsi" w:hAnsiTheme="minorHAnsi" w:cstheme="minorHAnsi"/>
          <w:b/>
          <w:color w:val="000000" w:themeColor="text1"/>
          <w:sz w:val="20"/>
        </w:rPr>
        <w:t>Nationality</w:t>
      </w:r>
    </w:p>
    <w:p w:rsidR="00CB68D2" w:rsidRDefault="00CB68D2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Theme="minorHAnsi" w:hAnsiTheme="minorHAnsi" w:cstheme="minorHAnsi"/>
          <w:color w:val="000000" w:themeColor="text1"/>
          <w:sz w:val="20"/>
        </w:rPr>
        <w:t>In 2015, t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he </w:t>
      </w:r>
      <w:proofErr w:type="spellStart"/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>
        <w:rPr>
          <w:rFonts w:asciiTheme="minorHAnsi" w:hAnsiTheme="minorHAnsi" w:cstheme="minorHAnsi"/>
          <w:color w:val="000000" w:themeColor="text1"/>
          <w:sz w:val="20"/>
        </w:rPr>
        <w:t xml:space="preserve"> sector continued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 to draw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most of its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students from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E32852">
        <w:rPr>
          <w:rFonts w:asciiTheme="minorHAnsi" w:hAnsiTheme="minorHAnsi" w:cstheme="minorHAnsi"/>
          <w:color w:val="000000" w:themeColor="text1"/>
          <w:sz w:val="20"/>
        </w:rPr>
        <w:t>Asia-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 xml:space="preserve">Pacific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>(6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>8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%,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an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>increase from 6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>6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>% in 201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>4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). Students from China accounted for 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>21</w:t>
      </w:r>
      <w:r w:rsidR="00F96573">
        <w:rPr>
          <w:rFonts w:asciiTheme="minorHAnsi" w:hAnsiTheme="minorHAnsi" w:cstheme="minorHAnsi"/>
          <w:color w:val="000000" w:themeColor="text1"/>
          <w:sz w:val="20"/>
        </w:rPr>
        <w:t xml:space="preserve"> per cent, </w:t>
      </w:r>
      <w:r>
        <w:rPr>
          <w:rFonts w:asciiTheme="minorHAnsi" w:hAnsiTheme="minorHAnsi" w:cstheme="minorHAnsi"/>
          <w:color w:val="000000" w:themeColor="text1"/>
          <w:sz w:val="20"/>
        </w:rPr>
        <w:t>making</w:t>
      </w:r>
      <w:r w:rsidR="00F96573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it </w:t>
      </w:r>
      <w:r w:rsidR="009755BF" w:rsidRPr="008E0EF8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largest source</w:t>
      </w:r>
      <w:r w:rsidR="009755BF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F96573">
        <w:rPr>
          <w:rFonts w:asciiTheme="minorHAnsi" w:hAnsiTheme="minorHAnsi" w:cstheme="minorHAnsi"/>
          <w:color w:val="000000" w:themeColor="text1"/>
          <w:sz w:val="20"/>
        </w:rPr>
        <w:t xml:space="preserve">country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of all </w:t>
      </w:r>
      <w:proofErr w:type="spellStart"/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students in 201</w:t>
      </w:r>
      <w:r w:rsidR="00CB243E" w:rsidRPr="008E0EF8">
        <w:rPr>
          <w:rFonts w:asciiTheme="minorHAnsi" w:hAnsiTheme="minorHAnsi" w:cstheme="minorHAnsi"/>
          <w:color w:val="000000" w:themeColor="text1"/>
          <w:sz w:val="20"/>
        </w:rPr>
        <w:t>5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. The remaining top ten nationalities in order were: Japan, South Korea, Brazil, </w:t>
      </w:r>
      <w:r w:rsidR="0073147B" w:rsidRPr="008E0EF8">
        <w:rPr>
          <w:rFonts w:asciiTheme="minorHAnsi" w:hAnsiTheme="minorHAnsi" w:cstheme="minorHAnsi"/>
          <w:color w:val="000000" w:themeColor="text1"/>
          <w:sz w:val="20"/>
        </w:rPr>
        <w:t xml:space="preserve">Thailand,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Colombia, </w:t>
      </w:r>
      <w:r w:rsidR="0073147B" w:rsidRPr="008E0EF8">
        <w:rPr>
          <w:rFonts w:asciiTheme="minorHAnsi" w:hAnsiTheme="minorHAnsi" w:cstheme="minorHAnsi"/>
          <w:color w:val="000000" w:themeColor="text1"/>
          <w:sz w:val="20"/>
        </w:rPr>
        <w:t xml:space="preserve">Taiwan, India, Vietnam </w:t>
      </w:r>
      <w:r w:rsidR="001C4816" w:rsidRPr="008E0EF8">
        <w:rPr>
          <w:rFonts w:asciiTheme="minorHAnsi" w:hAnsiTheme="minorHAnsi" w:cstheme="minorHAnsi"/>
          <w:color w:val="000000" w:themeColor="text1"/>
          <w:sz w:val="20"/>
        </w:rPr>
        <w:t xml:space="preserve">and Italy. 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The top ten source countries together accounted for 7</w:t>
      </w:r>
      <w:r w:rsidR="00502E48" w:rsidRPr="008E0EF8">
        <w:rPr>
          <w:rFonts w:asciiTheme="minorHAnsi" w:hAnsiTheme="minorHAnsi" w:cstheme="minorHAnsi"/>
          <w:color w:val="000000" w:themeColor="text1"/>
          <w:sz w:val="20"/>
        </w:rPr>
        <w:t>6</w:t>
      </w:r>
      <w:r w:rsidR="00F96573">
        <w:rPr>
          <w:rFonts w:asciiTheme="minorHAnsi" w:hAnsiTheme="minorHAnsi" w:cstheme="minorHAnsi"/>
          <w:color w:val="000000" w:themeColor="text1"/>
          <w:sz w:val="20"/>
        </w:rPr>
        <w:t xml:space="preserve"> per cent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 xml:space="preserve"> of </w:t>
      </w:r>
      <w:proofErr w:type="spellStart"/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students in 201</w:t>
      </w:r>
      <w:r w:rsidR="00502E48" w:rsidRPr="008E0EF8">
        <w:rPr>
          <w:rFonts w:asciiTheme="minorHAnsi" w:hAnsiTheme="minorHAnsi" w:cstheme="minorHAnsi"/>
          <w:color w:val="000000" w:themeColor="text1"/>
          <w:sz w:val="20"/>
        </w:rPr>
        <w:t>5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.</w:t>
      </w:r>
      <w:r w:rsidR="00502E48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4B6A9B">
        <w:rPr>
          <w:rFonts w:asciiTheme="minorHAnsi" w:hAnsiTheme="minorHAnsi" w:cstheme="minorHAnsi"/>
          <w:color w:val="000000" w:themeColor="text1"/>
          <w:sz w:val="20"/>
        </w:rPr>
        <w:t>Six of the top ten source countries showed increase</w:t>
      </w:r>
      <w:r>
        <w:rPr>
          <w:rFonts w:asciiTheme="minorHAnsi" w:hAnsiTheme="minorHAnsi" w:cstheme="minorHAnsi"/>
          <w:color w:val="000000" w:themeColor="text1"/>
          <w:sz w:val="20"/>
        </w:rPr>
        <w:t>s</w:t>
      </w:r>
      <w:r w:rsidR="004B6A9B">
        <w:rPr>
          <w:rFonts w:asciiTheme="minorHAnsi" w:hAnsiTheme="minorHAnsi" w:cstheme="minorHAnsi"/>
          <w:color w:val="000000" w:themeColor="text1"/>
          <w:sz w:val="20"/>
        </w:rPr>
        <w:t xml:space="preserve"> in the </w:t>
      </w:r>
      <w:r w:rsidR="000B1470">
        <w:rPr>
          <w:rFonts w:asciiTheme="minorHAnsi" w:hAnsiTheme="minorHAnsi" w:cstheme="minorHAnsi"/>
          <w:color w:val="000000" w:themeColor="text1"/>
          <w:sz w:val="20"/>
        </w:rPr>
        <w:t xml:space="preserve">number of enrolments in 2015 </w:t>
      </w:r>
      <w:r w:rsidR="004B6A9B">
        <w:rPr>
          <w:rFonts w:asciiTheme="minorHAnsi" w:hAnsiTheme="minorHAnsi" w:cstheme="minorHAnsi"/>
          <w:color w:val="000000" w:themeColor="text1"/>
          <w:sz w:val="20"/>
        </w:rPr>
        <w:t>compared to 2014.</w:t>
      </w:r>
      <w:r w:rsidR="00F83875">
        <w:rPr>
          <w:rFonts w:asciiTheme="minorHAnsi" w:hAnsiTheme="minorHAnsi" w:cstheme="minorHAnsi"/>
          <w:color w:val="000000" w:themeColor="text1"/>
          <w:sz w:val="20"/>
        </w:rPr>
        <w:t xml:space="preserve">  </w:t>
      </w:r>
    </w:p>
    <w:p w:rsidR="00CB68D2" w:rsidRDefault="00E92E7D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9253AF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49A0AF1E" wp14:editId="346ADDCD">
            <wp:simplePos x="0" y="0"/>
            <wp:positionH relativeFrom="column">
              <wp:posOffset>3946525</wp:posOffset>
            </wp:positionH>
            <wp:positionV relativeFrom="paragraph">
              <wp:posOffset>0</wp:posOffset>
            </wp:positionV>
            <wp:extent cx="2910205" cy="1332865"/>
            <wp:effectExtent l="0" t="0" r="4445" b="635"/>
            <wp:wrapSquare wrapText="bothSides"/>
            <wp:docPr id="5" name="Picture 5" descr="The table shows that ELCIOS student numbers on Student visa and on Other visas grew in 2015 by 3.8% and 48.7%.  The student numbers on Visitor's visa and Working Holiday visas were declined by 1.6% and 0.3%.&#10;&#10;Total ELICOS student numbers grew by 4.3% in 2015." title="Table 1. ELICOS students numbers by visa types, 2014 -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B4" w:rsidRPr="008E0EF8" w:rsidRDefault="001C4816" w:rsidP="00F83875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Of 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 xml:space="preserve">these </w:t>
      </w:r>
      <w:r w:rsidR="00502E48" w:rsidRPr="008E0EF8">
        <w:rPr>
          <w:rFonts w:asciiTheme="minorHAnsi" w:hAnsiTheme="minorHAnsi" w:cstheme="minorHAnsi"/>
          <w:color w:val="000000" w:themeColor="text1"/>
          <w:sz w:val="20"/>
        </w:rPr>
        <w:t xml:space="preserve">top ten </w:t>
      </w:r>
      <w:r w:rsidR="00F83875">
        <w:rPr>
          <w:rFonts w:asciiTheme="minorHAnsi" w:hAnsiTheme="minorHAnsi" w:cstheme="minorHAnsi"/>
          <w:color w:val="000000" w:themeColor="text1"/>
          <w:sz w:val="20"/>
        </w:rPr>
        <w:t xml:space="preserve">source </w:t>
      </w:r>
      <w:r w:rsidR="00602D16" w:rsidRPr="008E0EF8">
        <w:rPr>
          <w:rFonts w:asciiTheme="minorHAnsi" w:hAnsiTheme="minorHAnsi" w:cstheme="minorHAnsi"/>
          <w:color w:val="000000" w:themeColor="text1"/>
          <w:sz w:val="20"/>
        </w:rPr>
        <w:t>countries,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 8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>1</w:t>
      </w:r>
      <w:r w:rsidR="001E4F8E">
        <w:rPr>
          <w:rFonts w:asciiTheme="minorHAnsi" w:hAnsiTheme="minorHAnsi" w:cstheme="minorHAnsi"/>
          <w:color w:val="000000" w:themeColor="text1"/>
          <w:sz w:val="20"/>
        </w:rPr>
        <w:t xml:space="preserve"> per cent of 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Chinese students held a student visa. 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 xml:space="preserve">Half 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>of Japanes</w:t>
      </w:r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 xml:space="preserve">e students were on visitor </w:t>
      </w:r>
      <w:proofErr w:type="gramStart"/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>visa</w:t>
      </w:r>
      <w:r w:rsidR="00DB1B35">
        <w:rPr>
          <w:rFonts w:asciiTheme="minorHAnsi" w:hAnsiTheme="minorHAnsi" w:cstheme="minorHAnsi"/>
          <w:color w:val="000000" w:themeColor="text1"/>
          <w:sz w:val="20"/>
        </w:rPr>
        <w:t>s</w:t>
      </w:r>
      <w:r w:rsidR="00EC71DA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0B4C97" w:rsidRPr="008E0EF8">
        <w:rPr>
          <w:rFonts w:asciiTheme="minorHAnsi" w:hAnsiTheme="minorHAnsi" w:cstheme="minorHAnsi"/>
          <w:color w:val="000000" w:themeColor="text1"/>
          <w:sz w:val="20"/>
        </w:rPr>
        <w:t>which</w:t>
      </w:r>
      <w:proofErr w:type="gramEnd"/>
      <w:r w:rsidR="00EC71DA">
        <w:rPr>
          <w:rFonts w:asciiTheme="minorHAnsi" w:hAnsiTheme="minorHAnsi" w:cstheme="minorHAnsi"/>
          <w:color w:val="000000" w:themeColor="text1"/>
          <w:sz w:val="20"/>
        </w:rPr>
        <w:t xml:space="preserve"> remain</w:t>
      </w:r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 xml:space="preserve"> the most popular </w:t>
      </w:r>
      <w:r w:rsidR="000B4C97" w:rsidRPr="008E0EF8">
        <w:rPr>
          <w:rFonts w:asciiTheme="minorHAnsi" w:hAnsiTheme="minorHAnsi" w:cstheme="minorHAnsi"/>
          <w:color w:val="000000" w:themeColor="text1"/>
          <w:sz w:val="20"/>
        </w:rPr>
        <w:t xml:space="preserve">visa type </w:t>
      </w:r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 xml:space="preserve">for Japanese students. </w:t>
      </w:r>
      <w:r w:rsidR="0050545D" w:rsidRPr="008E0EF8">
        <w:rPr>
          <w:rFonts w:asciiTheme="minorHAnsi" w:hAnsiTheme="minorHAnsi" w:cstheme="minorHAnsi"/>
          <w:color w:val="000000" w:themeColor="text1"/>
          <w:sz w:val="20"/>
        </w:rPr>
        <w:t xml:space="preserve">The 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>working holiday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 visa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B68D2">
        <w:rPr>
          <w:rFonts w:asciiTheme="minorHAnsi" w:hAnsiTheme="minorHAnsi" w:cstheme="minorHAnsi"/>
          <w:color w:val="000000" w:themeColor="text1"/>
          <w:sz w:val="20"/>
        </w:rPr>
        <w:t>was</w:t>
      </w:r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 xml:space="preserve"> the </w:t>
      </w:r>
      <w:r w:rsidR="00CB68D2">
        <w:rPr>
          <w:rFonts w:asciiTheme="minorHAnsi" w:hAnsiTheme="minorHAnsi" w:cstheme="minorHAnsi"/>
          <w:color w:val="000000" w:themeColor="text1"/>
          <w:sz w:val="20"/>
        </w:rPr>
        <w:t xml:space="preserve">most popular </w:t>
      </w:r>
      <w:r w:rsidR="004C3DF7" w:rsidRPr="008E0EF8">
        <w:rPr>
          <w:rFonts w:asciiTheme="minorHAnsi" w:hAnsiTheme="minorHAnsi" w:cstheme="minorHAnsi"/>
          <w:color w:val="000000" w:themeColor="text1"/>
          <w:sz w:val="20"/>
        </w:rPr>
        <w:t>visa</w:t>
      </w:r>
      <w:r w:rsidR="0050545D" w:rsidRPr="008E0EF8">
        <w:rPr>
          <w:rFonts w:asciiTheme="minorHAnsi" w:hAnsiTheme="minorHAnsi" w:cstheme="minorHAnsi"/>
          <w:color w:val="000000" w:themeColor="text1"/>
          <w:sz w:val="20"/>
        </w:rPr>
        <w:t xml:space="preserve"> for students from South Korea (4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>2</w:t>
      </w:r>
      <w:r w:rsidR="0050545D" w:rsidRPr="008E0EF8">
        <w:rPr>
          <w:rFonts w:asciiTheme="minorHAnsi" w:hAnsiTheme="minorHAnsi" w:cstheme="minorHAnsi"/>
          <w:color w:val="000000" w:themeColor="text1"/>
          <w:sz w:val="20"/>
        </w:rPr>
        <w:t>%)</w:t>
      </w:r>
      <w:r w:rsidR="00DF66BF">
        <w:rPr>
          <w:rFonts w:asciiTheme="minorHAnsi" w:hAnsiTheme="minorHAnsi" w:cstheme="minorHAnsi"/>
          <w:color w:val="000000" w:themeColor="text1"/>
          <w:sz w:val="20"/>
        </w:rPr>
        <w:t>.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CB68D2">
        <w:rPr>
          <w:rFonts w:asciiTheme="minorHAnsi" w:hAnsiTheme="minorHAnsi" w:cstheme="minorHAnsi"/>
          <w:color w:val="000000" w:themeColor="text1"/>
          <w:sz w:val="20"/>
        </w:rPr>
        <w:t>T</w:t>
      </w:r>
      <w:r w:rsidR="001E4F8E">
        <w:rPr>
          <w:rFonts w:asciiTheme="minorHAnsi" w:hAnsiTheme="minorHAnsi" w:cstheme="minorHAnsi"/>
          <w:color w:val="000000" w:themeColor="text1"/>
          <w:sz w:val="20"/>
        </w:rPr>
        <w:t>he majority (</w:t>
      </w:r>
      <w:r w:rsidR="001539DC">
        <w:rPr>
          <w:rFonts w:asciiTheme="minorHAnsi" w:hAnsiTheme="minorHAnsi" w:cstheme="minorHAnsi"/>
          <w:color w:val="000000" w:themeColor="text1"/>
          <w:sz w:val="20"/>
        </w:rPr>
        <w:t xml:space="preserve">ranging from </w:t>
      </w:r>
      <w:r w:rsidR="001E4F8E" w:rsidRPr="008E0EF8">
        <w:rPr>
          <w:rFonts w:asciiTheme="minorHAnsi" w:hAnsiTheme="minorHAnsi" w:cstheme="minorHAnsi"/>
          <w:color w:val="000000" w:themeColor="text1"/>
          <w:sz w:val="20"/>
        </w:rPr>
        <w:t>82</w:t>
      </w:r>
      <w:r w:rsidR="001E4F8E">
        <w:rPr>
          <w:rFonts w:asciiTheme="minorHAnsi" w:hAnsiTheme="minorHAnsi" w:cstheme="minorHAnsi"/>
          <w:color w:val="000000" w:themeColor="text1"/>
          <w:sz w:val="20"/>
        </w:rPr>
        <w:t>%</w:t>
      </w:r>
      <w:r w:rsidR="001539DC">
        <w:rPr>
          <w:rFonts w:asciiTheme="minorHAnsi" w:hAnsiTheme="minorHAnsi" w:cstheme="minorHAnsi"/>
          <w:color w:val="000000" w:themeColor="text1"/>
          <w:sz w:val="20"/>
        </w:rPr>
        <w:t xml:space="preserve"> to 92%</w:t>
      </w:r>
      <w:r w:rsidR="001E4F8E">
        <w:rPr>
          <w:rFonts w:asciiTheme="minorHAnsi" w:hAnsiTheme="minorHAnsi" w:cstheme="minorHAnsi"/>
          <w:color w:val="000000" w:themeColor="text1"/>
          <w:sz w:val="20"/>
        </w:rPr>
        <w:t xml:space="preserve">) </w:t>
      </w:r>
      <w:r w:rsidR="00CB68D2">
        <w:rPr>
          <w:rFonts w:asciiTheme="minorHAnsi" w:hAnsiTheme="minorHAnsi" w:cstheme="minorHAnsi"/>
          <w:color w:val="000000" w:themeColor="text1"/>
          <w:sz w:val="20"/>
        </w:rPr>
        <w:t xml:space="preserve">of students </w:t>
      </w:r>
      <w:r w:rsidR="001E4F8E" w:rsidRPr="008E0EF8">
        <w:rPr>
          <w:rFonts w:asciiTheme="minorHAnsi" w:hAnsiTheme="minorHAnsi" w:cstheme="minorHAnsi"/>
          <w:color w:val="000000" w:themeColor="text1"/>
          <w:sz w:val="20"/>
        </w:rPr>
        <w:t xml:space="preserve">from other top nationalities 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>held student visa</w:t>
      </w:r>
      <w:r w:rsidR="00DF66BF">
        <w:rPr>
          <w:rFonts w:asciiTheme="minorHAnsi" w:hAnsiTheme="minorHAnsi" w:cstheme="minorHAnsi"/>
          <w:color w:val="000000" w:themeColor="text1"/>
          <w:sz w:val="20"/>
        </w:rPr>
        <w:t>s</w:t>
      </w:r>
      <w:r w:rsidR="00FB2743" w:rsidRPr="008E0EF8">
        <w:rPr>
          <w:rFonts w:asciiTheme="minorHAnsi" w:hAnsiTheme="minorHAnsi" w:cstheme="minorHAnsi"/>
          <w:color w:val="000000" w:themeColor="text1"/>
          <w:sz w:val="20"/>
        </w:rPr>
        <w:t xml:space="preserve"> in 2015.</w:t>
      </w:r>
    </w:p>
    <w:p w:rsidR="008E0EF8" w:rsidRDefault="008E0EF8" w:rsidP="004C3DF7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:rsidR="00E0136C" w:rsidRPr="008E0EF8" w:rsidRDefault="00253C59" w:rsidP="004C3DF7">
      <w:pPr>
        <w:tabs>
          <w:tab w:val="left" w:pos="0"/>
          <w:tab w:val="left" w:pos="5103"/>
        </w:tabs>
        <w:ind w:right="227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8E0EF8">
        <w:rPr>
          <w:rFonts w:asciiTheme="minorHAnsi" w:hAnsiTheme="minorHAnsi" w:cstheme="minorHAnsi"/>
          <w:b/>
          <w:color w:val="000000" w:themeColor="text1"/>
          <w:sz w:val="20"/>
        </w:rPr>
        <w:t>Duration of study</w:t>
      </w:r>
    </w:p>
    <w:p w:rsidR="00C92B54" w:rsidRPr="008E0EF8" w:rsidRDefault="00C92B54" w:rsidP="00F83875">
      <w:pPr>
        <w:tabs>
          <w:tab w:val="left" w:pos="0"/>
          <w:tab w:val="left" w:pos="5103"/>
        </w:tabs>
        <w:ind w:right="21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8E0EF8">
        <w:rPr>
          <w:rFonts w:asciiTheme="minorHAnsi" w:hAnsiTheme="minorHAnsi" w:cstheme="minorHAnsi"/>
          <w:color w:val="000000" w:themeColor="text1"/>
          <w:sz w:val="20"/>
        </w:rPr>
        <w:t>In 201</w:t>
      </w:r>
      <w:r w:rsidR="00981334" w:rsidRPr="008E0EF8">
        <w:rPr>
          <w:rFonts w:asciiTheme="minorHAnsi" w:hAnsiTheme="minorHAnsi" w:cstheme="minorHAnsi"/>
          <w:color w:val="000000" w:themeColor="text1"/>
          <w:sz w:val="20"/>
        </w:rPr>
        <w:t>5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B5A83" w:rsidRPr="008E0EF8">
        <w:rPr>
          <w:rFonts w:asciiTheme="minorHAnsi" w:hAnsiTheme="minorHAnsi" w:cstheme="minorHAnsi"/>
          <w:color w:val="000000" w:themeColor="text1"/>
          <w:sz w:val="20"/>
        </w:rPr>
        <w:t xml:space="preserve">there was a slight increase in student weeks overall by </w:t>
      </w:r>
      <w:r w:rsidR="000431A0">
        <w:rPr>
          <w:rFonts w:asciiTheme="minorHAnsi" w:hAnsiTheme="minorHAnsi" w:cstheme="minorHAnsi"/>
          <w:color w:val="000000" w:themeColor="text1"/>
          <w:sz w:val="20"/>
        </w:rPr>
        <w:t>0.</w:t>
      </w:r>
      <w:r w:rsidR="001E4F8E">
        <w:rPr>
          <w:rFonts w:asciiTheme="minorHAnsi" w:hAnsiTheme="minorHAnsi" w:cstheme="minorHAnsi"/>
          <w:color w:val="000000" w:themeColor="text1"/>
          <w:sz w:val="20"/>
        </w:rPr>
        <w:t>1</w:t>
      </w:r>
      <w:r w:rsidR="00CB5A83" w:rsidRPr="008E0EF8">
        <w:rPr>
          <w:rFonts w:asciiTheme="minorHAnsi" w:hAnsiTheme="minorHAnsi" w:cstheme="minorHAnsi"/>
          <w:color w:val="000000" w:themeColor="text1"/>
          <w:sz w:val="20"/>
        </w:rPr>
        <w:t xml:space="preserve"> per cent.  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>T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he average 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 xml:space="preserve">course 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length of study 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declined from 12.9 </w:t>
      </w:r>
      <w:r w:rsidR="00981334" w:rsidRPr="008E0EF8">
        <w:rPr>
          <w:rFonts w:asciiTheme="minorHAnsi" w:hAnsiTheme="minorHAnsi" w:cstheme="minorHAnsi"/>
          <w:color w:val="000000" w:themeColor="text1"/>
          <w:sz w:val="20"/>
        </w:rPr>
        <w:t xml:space="preserve">to 12.4 weeks.  </w:t>
      </w:r>
      <w:proofErr w:type="spellStart"/>
      <w:r w:rsidR="00CB68D2">
        <w:rPr>
          <w:rFonts w:asciiTheme="minorHAnsi" w:hAnsiTheme="minorHAnsi" w:cstheme="minorHAnsi"/>
          <w:color w:val="000000" w:themeColor="text1"/>
          <w:sz w:val="20"/>
        </w:rPr>
        <w:t>ELICOS</w:t>
      </w:r>
      <w:proofErr w:type="spellEnd"/>
      <w:r w:rsidR="00CB68D2">
        <w:rPr>
          <w:rFonts w:asciiTheme="minorHAnsi" w:hAnsiTheme="minorHAnsi" w:cstheme="minorHAnsi"/>
          <w:color w:val="000000" w:themeColor="text1"/>
          <w:sz w:val="20"/>
        </w:rPr>
        <w:t xml:space="preserve"> students on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 xml:space="preserve"> studen</w:t>
      </w:r>
      <w:r w:rsidR="008E0EF8">
        <w:rPr>
          <w:rFonts w:asciiTheme="minorHAnsi" w:hAnsiTheme="minorHAnsi" w:cstheme="minorHAnsi"/>
          <w:color w:val="000000" w:themeColor="text1"/>
          <w:sz w:val="20"/>
        </w:rPr>
        <w:t>t visa</w:t>
      </w:r>
      <w:r w:rsidR="00CB68D2">
        <w:rPr>
          <w:rFonts w:asciiTheme="minorHAnsi" w:hAnsiTheme="minorHAnsi" w:cstheme="minorHAnsi"/>
          <w:color w:val="000000" w:themeColor="text1"/>
          <w:sz w:val="20"/>
        </w:rPr>
        <w:t>s</w:t>
      </w:r>
      <w:r w:rsidR="008E0EF8">
        <w:rPr>
          <w:rFonts w:asciiTheme="minorHAnsi" w:hAnsiTheme="minorHAnsi" w:cstheme="minorHAnsi"/>
          <w:color w:val="000000" w:themeColor="text1"/>
          <w:sz w:val="20"/>
        </w:rPr>
        <w:t xml:space="preserve"> had a higher average num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>ber of study weeks than those on any other visa type</w:t>
      </w:r>
      <w:r w:rsidR="00EC71DA">
        <w:rPr>
          <w:rFonts w:asciiTheme="minorHAnsi" w:hAnsiTheme="minorHAnsi" w:cstheme="minorHAnsi"/>
          <w:color w:val="000000" w:themeColor="text1"/>
          <w:sz w:val="20"/>
        </w:rPr>
        <w:t>s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>.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="001539DC">
        <w:rPr>
          <w:rFonts w:asciiTheme="minorHAnsi" w:hAnsiTheme="minorHAnsi" w:cstheme="minorHAnsi"/>
          <w:color w:val="000000" w:themeColor="text1"/>
          <w:sz w:val="20"/>
        </w:rPr>
        <w:t>Nonetheless, t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>he average length of study for student visas declined from 16.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>3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 to </w:t>
      </w:r>
      <w:r w:rsidR="00AD5B37" w:rsidRPr="008E0EF8">
        <w:rPr>
          <w:rFonts w:asciiTheme="minorHAnsi" w:hAnsiTheme="minorHAnsi" w:cstheme="minorHAnsi"/>
          <w:color w:val="000000" w:themeColor="text1"/>
          <w:sz w:val="20"/>
        </w:rPr>
        <w:t>15.3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 xml:space="preserve"> weeks</w:t>
      </w:r>
      <w:r w:rsidR="001539DC">
        <w:rPr>
          <w:rFonts w:asciiTheme="minorHAnsi" w:hAnsiTheme="minorHAnsi" w:cstheme="minorHAnsi"/>
          <w:color w:val="000000" w:themeColor="text1"/>
          <w:sz w:val="20"/>
        </w:rPr>
        <w:t xml:space="preserve"> between 2014 and 2015. 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 xml:space="preserve">The average length of study 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for 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>all other visas increased slightly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, 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 xml:space="preserve">compared </w:t>
      </w:r>
      <w:r w:rsidR="00DF66BF">
        <w:rPr>
          <w:rFonts w:asciiTheme="minorHAnsi" w:hAnsiTheme="minorHAnsi" w:cstheme="minorHAnsi"/>
          <w:color w:val="000000" w:themeColor="text1"/>
          <w:sz w:val="20"/>
        </w:rPr>
        <w:t>with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 xml:space="preserve"> 2014. The increase for v</w:t>
      </w:r>
      <w:r w:rsidR="001539DC">
        <w:rPr>
          <w:rFonts w:asciiTheme="minorHAnsi" w:hAnsiTheme="minorHAnsi" w:cstheme="minorHAnsi"/>
          <w:color w:val="000000" w:themeColor="text1"/>
          <w:sz w:val="20"/>
        </w:rPr>
        <w:t>isitor visa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 holders</w:t>
      </w:r>
      <w:r w:rsidR="001539DC">
        <w:rPr>
          <w:rFonts w:asciiTheme="minorHAnsi" w:hAnsiTheme="minorHAnsi" w:cstheme="minorHAnsi"/>
          <w:color w:val="000000" w:themeColor="text1"/>
          <w:sz w:val="20"/>
        </w:rPr>
        <w:t xml:space="preserve"> was from 4.8 to 4.9 weeks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>, for w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orking holiday </w:t>
      </w:r>
      <w:r w:rsidR="00DF66BF">
        <w:rPr>
          <w:rFonts w:asciiTheme="minorHAnsi" w:hAnsiTheme="minorHAnsi" w:cstheme="minorHAnsi"/>
          <w:color w:val="000000" w:themeColor="text1"/>
          <w:sz w:val="20"/>
        </w:rPr>
        <w:t xml:space="preserve">visas 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from 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>8.1 to 8.4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 weeks and for 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>other visas</w:t>
      </w:r>
      <w:r w:rsidR="008E0EF8" w:rsidRPr="008E0EF8">
        <w:rPr>
          <w:rFonts w:asciiTheme="minorHAnsi" w:hAnsiTheme="minorHAnsi" w:cstheme="minorHAnsi"/>
          <w:color w:val="000000" w:themeColor="text1"/>
          <w:sz w:val="20"/>
        </w:rPr>
        <w:t>,</w:t>
      </w:r>
      <w:r w:rsidR="00CD6A19" w:rsidRPr="008E0EF8">
        <w:rPr>
          <w:rFonts w:asciiTheme="minorHAnsi" w:hAnsiTheme="minorHAnsi" w:cstheme="minorHAnsi"/>
          <w:color w:val="000000" w:themeColor="text1"/>
          <w:sz w:val="20"/>
        </w:rPr>
        <w:t xml:space="preserve"> the increase was from 8.1 to 9.8</w:t>
      </w:r>
      <w:r w:rsidRPr="008E0EF8">
        <w:rPr>
          <w:rFonts w:asciiTheme="minorHAnsi" w:hAnsiTheme="minorHAnsi" w:cstheme="minorHAnsi"/>
          <w:color w:val="000000" w:themeColor="text1"/>
          <w:sz w:val="20"/>
        </w:rPr>
        <w:t xml:space="preserve"> weeks.</w:t>
      </w:r>
    </w:p>
    <w:sectPr w:rsidR="00C92B54" w:rsidRPr="008E0EF8" w:rsidSect="00F83875">
      <w:footerReference w:type="default" r:id="rId13"/>
      <w:type w:val="continuous"/>
      <w:pgSz w:w="11906" w:h="16838" w:code="9"/>
      <w:pgMar w:top="284" w:right="709" w:bottom="249" w:left="403" w:header="567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B" w:rsidRDefault="001D442B">
      <w:r>
        <w:separator/>
      </w:r>
    </w:p>
  </w:endnote>
  <w:endnote w:type="continuationSeparator" w:id="0">
    <w:p w:rsidR="001D442B" w:rsidRDefault="001D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70" w:rsidRDefault="000B1470" w:rsidP="007E6F82">
    <w:pPr>
      <w:rPr>
        <w:sz w:val="12"/>
        <w:szCs w:val="12"/>
      </w:rPr>
    </w:pPr>
  </w:p>
  <w:p w:rsidR="00C504D5" w:rsidRDefault="00253C59" w:rsidP="007E6F82">
    <w:r w:rsidRPr="007E6F82">
      <w:rPr>
        <w:sz w:val="12"/>
        <w:szCs w:val="12"/>
      </w:rPr>
      <w:t xml:space="preserve">The executive summary of </w:t>
    </w:r>
    <w:r w:rsidR="00112A26" w:rsidRPr="007E6F82">
      <w:rPr>
        <w:sz w:val="12"/>
        <w:szCs w:val="12"/>
      </w:rPr>
      <w:t xml:space="preserve">the </w:t>
    </w:r>
    <w:r w:rsidRPr="007E6F82">
      <w:rPr>
        <w:sz w:val="12"/>
        <w:szCs w:val="12"/>
      </w:rPr>
      <w:t>English Australia Survey of</w:t>
    </w:r>
    <w:r w:rsidR="00EA3925" w:rsidRPr="007E6F82">
      <w:rPr>
        <w:sz w:val="12"/>
        <w:szCs w:val="12"/>
      </w:rPr>
      <w:t xml:space="preserve"> </w:t>
    </w:r>
    <w:r w:rsidRPr="007E6F82">
      <w:rPr>
        <w:sz w:val="12"/>
        <w:szCs w:val="12"/>
      </w:rPr>
      <w:t xml:space="preserve">Major </w:t>
    </w:r>
    <w:proofErr w:type="spellStart"/>
    <w:r w:rsidRPr="007E6F82">
      <w:rPr>
        <w:sz w:val="12"/>
        <w:szCs w:val="12"/>
      </w:rPr>
      <w:t>ELICOS</w:t>
    </w:r>
    <w:proofErr w:type="spellEnd"/>
    <w:r w:rsidRPr="007E6F82">
      <w:rPr>
        <w:sz w:val="12"/>
        <w:szCs w:val="12"/>
      </w:rPr>
      <w:t xml:space="preserve"> </w:t>
    </w:r>
    <w:r w:rsidR="00EA3925" w:rsidRPr="007E6F82">
      <w:rPr>
        <w:sz w:val="12"/>
        <w:szCs w:val="12"/>
      </w:rPr>
      <w:t>Regional Markets</w:t>
    </w:r>
    <w:r w:rsidRPr="007E6F82">
      <w:rPr>
        <w:sz w:val="12"/>
        <w:szCs w:val="12"/>
      </w:rPr>
      <w:t xml:space="preserve"> </w:t>
    </w:r>
    <w:r w:rsidR="00EA3925" w:rsidRPr="007E6F82">
      <w:rPr>
        <w:sz w:val="12"/>
        <w:szCs w:val="12"/>
      </w:rPr>
      <w:t>in 201</w:t>
    </w:r>
    <w:r w:rsidR="008E0EF8" w:rsidRPr="007E6F82">
      <w:rPr>
        <w:sz w:val="12"/>
        <w:szCs w:val="12"/>
      </w:rPr>
      <w:t>5</w:t>
    </w:r>
    <w:r w:rsidRPr="007E6F82">
      <w:rPr>
        <w:sz w:val="12"/>
        <w:szCs w:val="12"/>
      </w:rPr>
      <w:t xml:space="preserve"> </w:t>
    </w:r>
    <w:r w:rsidR="00112A26" w:rsidRPr="007E6F82">
      <w:rPr>
        <w:sz w:val="12"/>
        <w:szCs w:val="12"/>
      </w:rPr>
      <w:t xml:space="preserve">report </w:t>
    </w:r>
    <w:r w:rsidRPr="007E6F82">
      <w:rPr>
        <w:sz w:val="12"/>
        <w:szCs w:val="12"/>
      </w:rPr>
      <w:t>is available at</w:t>
    </w:r>
    <w:r w:rsidR="00C504D5" w:rsidRPr="00C504D5">
      <w:rPr>
        <w:sz w:val="12"/>
        <w:szCs w:val="12"/>
      </w:rPr>
      <w:t>:</w:t>
    </w:r>
  </w:p>
  <w:p w:rsidR="007E6F82" w:rsidRPr="00C504D5" w:rsidRDefault="00C504D5" w:rsidP="007E6F82">
    <w:pPr>
      <w:rPr>
        <w:rStyle w:val="short-url"/>
        <w:rFonts w:ascii="Roboto" w:eastAsiaTheme="majorEastAsia" w:hAnsi="Roboto"/>
        <w:color w:val="444444"/>
        <w:sz w:val="12"/>
        <w:szCs w:val="12"/>
        <w:lang w:val="en"/>
      </w:rPr>
    </w:pPr>
    <w:hyperlink r:id="rId1" w:history="1">
      <w:r w:rsidRPr="00C504D5">
        <w:rPr>
          <w:rStyle w:val="Hyperlink"/>
          <w:sz w:val="12"/>
          <w:szCs w:val="12"/>
        </w:rPr>
        <w:t>http://www.englishaustralia.com.au/visagefiles/1471404941-2015ExecutiveSummaryfinal.pdf</w:t>
      </w:r>
    </w:hyperlink>
    <w:r w:rsidRPr="00C504D5">
      <w:rPr>
        <w:sz w:val="12"/>
        <w:szCs w:val="12"/>
      </w:rPr>
      <w:t xml:space="preserve"> </w:t>
    </w:r>
  </w:p>
  <w:p w:rsidR="00E903E5" w:rsidRDefault="00253C59" w:rsidP="00E0136C">
    <w:pPr>
      <w:pStyle w:val="footnote"/>
    </w:pPr>
    <w:r w:rsidRPr="00683858">
      <w:t>For</w:t>
    </w:r>
    <w:r w:rsidRPr="00800C61">
      <w:t xml:space="preserve"> further information about this Research Snapshot or the Research Snapshot </w:t>
    </w:r>
    <w:r w:rsidR="00E77808">
      <w:t>s</w:t>
    </w:r>
    <w:r w:rsidRPr="00800C61">
      <w:t>eries contact</w:t>
    </w:r>
    <w:r w:rsidR="00112A26">
      <w:t xml:space="preserve"> the </w:t>
    </w:r>
    <w:r w:rsidRPr="00800C61">
      <w:t xml:space="preserve">Research and Analysis Unit </w:t>
    </w:r>
    <w:r>
      <w:t>by</w:t>
    </w:r>
    <w:r w:rsidRPr="00800C61">
      <w:t xml:space="preserve"> email</w:t>
    </w:r>
    <w:r w:rsidR="00112A26">
      <w:t>:</w:t>
    </w:r>
    <w:r w:rsidR="006679D9">
      <w:t xml:space="preserve"> </w:t>
    </w:r>
    <w:hyperlink r:id="rId2" w:history="1">
      <w:r w:rsidR="00B54F00" w:rsidRPr="00B54F00">
        <w:rPr>
          <w:rStyle w:val="Hyperlink"/>
          <w:rFonts w:cs="Arial"/>
        </w:rPr>
        <w:t>IEResearch@education.gov.au.</w:t>
      </w:r>
    </w:hyperlink>
  </w:p>
  <w:p w:rsidR="00253C59" w:rsidRDefault="00253C59" w:rsidP="00E903E5">
    <w:pPr>
      <w:pStyle w:val="footnote"/>
    </w:pPr>
    <w:r w:rsidRPr="00800C61">
      <w:t xml:space="preserve">The Research Snapshot </w:t>
    </w:r>
    <w:r w:rsidR="00A84962">
      <w:t>s</w:t>
    </w:r>
    <w:r w:rsidRPr="00800C61">
      <w:t xml:space="preserve">eries can be accessed from </w:t>
    </w:r>
    <w:hyperlink r:id="rId3" w:history="1">
      <w:r w:rsidR="00385019" w:rsidRPr="00BB6B4D">
        <w:rPr>
          <w:rStyle w:val="Hyperlink"/>
          <w:rFonts w:cs="Arial"/>
        </w:rPr>
        <w:t>https://internationaleducation.gov.au/research/research-snapshots/pages/default.aspx</w:t>
      </w:r>
    </w:hyperlink>
  </w:p>
  <w:p w:rsidR="00385019" w:rsidRPr="00E0136C" w:rsidRDefault="00385019" w:rsidP="00E903E5">
    <w:pPr>
      <w:pStyle w:val="footnote"/>
      <w:rPr>
        <w:rStyle w:val="Hyperlin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B" w:rsidRDefault="001D442B">
      <w:r>
        <w:separator/>
      </w:r>
    </w:p>
  </w:footnote>
  <w:footnote w:type="continuationSeparator" w:id="0">
    <w:p w:rsidR="001D442B" w:rsidRDefault="001D442B">
      <w:r>
        <w:continuationSeparator/>
      </w:r>
    </w:p>
  </w:footnote>
  <w:footnote w:id="1">
    <w:p w:rsidR="00B97AC1" w:rsidRPr="00B97AC1" w:rsidRDefault="00B97AC1">
      <w:pPr>
        <w:pStyle w:val="FootnoteText"/>
        <w:rPr>
          <w:sz w:val="12"/>
          <w:szCs w:val="12"/>
        </w:rPr>
      </w:pPr>
      <w:r w:rsidRPr="007A11E1">
        <w:rPr>
          <w:rStyle w:val="FootnoteReference"/>
          <w:sz w:val="12"/>
          <w:szCs w:val="12"/>
          <w:vertAlign w:val="baseline"/>
        </w:rPr>
        <w:footnoteRef/>
      </w:r>
      <w:r w:rsidR="00172029">
        <w:rPr>
          <w:sz w:val="12"/>
          <w:szCs w:val="12"/>
        </w:rPr>
        <w:t>.</w:t>
      </w:r>
      <w:r w:rsidRPr="007A11E1">
        <w:rPr>
          <w:sz w:val="12"/>
          <w:szCs w:val="12"/>
        </w:rPr>
        <w:t xml:space="preserve"> </w:t>
      </w:r>
      <w:r w:rsidRPr="00B97AC1">
        <w:rPr>
          <w:sz w:val="12"/>
          <w:szCs w:val="12"/>
        </w:rPr>
        <w:t>The data for small states were combined with large states i.e. NSW/ACT, VIC/TAS, QLD/NT</w:t>
      </w:r>
    </w:p>
  </w:footnote>
  <w:footnote w:id="2">
    <w:p w:rsidR="00B97AC1" w:rsidRPr="00232F42" w:rsidRDefault="00B97AC1">
      <w:pPr>
        <w:pStyle w:val="FootnoteText"/>
        <w:rPr>
          <w:sz w:val="12"/>
          <w:szCs w:val="12"/>
        </w:rPr>
      </w:pPr>
      <w:r w:rsidRPr="007A11E1">
        <w:rPr>
          <w:rStyle w:val="FootnoteReference"/>
          <w:sz w:val="12"/>
          <w:szCs w:val="12"/>
          <w:vertAlign w:val="baseline"/>
        </w:rPr>
        <w:footnoteRef/>
      </w:r>
      <w:r w:rsidR="00172029">
        <w:rPr>
          <w:sz w:val="12"/>
          <w:szCs w:val="12"/>
        </w:rPr>
        <w:t>.</w:t>
      </w:r>
      <w:r w:rsidRPr="007A11E1">
        <w:rPr>
          <w:sz w:val="12"/>
          <w:szCs w:val="12"/>
        </w:rPr>
        <w:t xml:space="preserve"> </w:t>
      </w:r>
      <w:r w:rsidR="00232F42" w:rsidRPr="007A11E1">
        <w:rPr>
          <w:sz w:val="12"/>
          <w:szCs w:val="12"/>
        </w:rPr>
        <w:t>E</w:t>
      </w:r>
      <w:r w:rsidR="00EB4E97" w:rsidRPr="007A11E1">
        <w:rPr>
          <w:sz w:val="12"/>
          <w:szCs w:val="12"/>
        </w:rPr>
        <w:t>xamples</w:t>
      </w:r>
      <w:r w:rsidR="00EB4E97">
        <w:rPr>
          <w:sz w:val="12"/>
          <w:szCs w:val="12"/>
        </w:rPr>
        <w:t xml:space="preserve"> of </w:t>
      </w:r>
      <w:r w:rsidR="007A11E1">
        <w:rPr>
          <w:sz w:val="12"/>
          <w:szCs w:val="12"/>
        </w:rPr>
        <w:t>other visas include temporary</w:t>
      </w:r>
      <w:r w:rsidR="00232F42">
        <w:rPr>
          <w:sz w:val="12"/>
          <w:szCs w:val="12"/>
        </w:rPr>
        <w:t xml:space="preserve"> relative or spouse visas</w:t>
      </w:r>
      <w:r w:rsidR="00DB1B35">
        <w:rPr>
          <w:sz w:val="12"/>
          <w:szCs w:val="12"/>
        </w:rPr>
        <w:t xml:space="preserve"> and bridging visas</w:t>
      </w:r>
      <w:r w:rsidR="00232F42"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4F9"/>
    <w:multiLevelType w:val="hybridMultilevel"/>
    <w:tmpl w:val="E91C7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34DCB"/>
    <w:multiLevelType w:val="hybridMultilevel"/>
    <w:tmpl w:val="198C6E4A"/>
    <w:lvl w:ilvl="0" w:tplc="151049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B7"/>
    <w:rsid w:val="0000134E"/>
    <w:rsid w:val="0000482C"/>
    <w:rsid w:val="00006D7A"/>
    <w:rsid w:val="00010D51"/>
    <w:rsid w:val="00015C60"/>
    <w:rsid w:val="00016FA6"/>
    <w:rsid w:val="00020E77"/>
    <w:rsid w:val="0002316D"/>
    <w:rsid w:val="00023844"/>
    <w:rsid w:val="00027FBD"/>
    <w:rsid w:val="000301DA"/>
    <w:rsid w:val="00031338"/>
    <w:rsid w:val="000324C0"/>
    <w:rsid w:val="00033829"/>
    <w:rsid w:val="00034F54"/>
    <w:rsid w:val="00035FE5"/>
    <w:rsid w:val="0003779B"/>
    <w:rsid w:val="00040D90"/>
    <w:rsid w:val="00041B86"/>
    <w:rsid w:val="00042EED"/>
    <w:rsid w:val="000431A0"/>
    <w:rsid w:val="00050720"/>
    <w:rsid w:val="00052C4B"/>
    <w:rsid w:val="000567CA"/>
    <w:rsid w:val="00056D7B"/>
    <w:rsid w:val="00056FFC"/>
    <w:rsid w:val="000579A6"/>
    <w:rsid w:val="0006363D"/>
    <w:rsid w:val="00064849"/>
    <w:rsid w:val="00064890"/>
    <w:rsid w:val="00065418"/>
    <w:rsid w:val="00065AB2"/>
    <w:rsid w:val="000715AE"/>
    <w:rsid w:val="00072DF0"/>
    <w:rsid w:val="000823C3"/>
    <w:rsid w:val="00083FC0"/>
    <w:rsid w:val="000860A7"/>
    <w:rsid w:val="00090DB0"/>
    <w:rsid w:val="000941CE"/>
    <w:rsid w:val="000949A1"/>
    <w:rsid w:val="00094C54"/>
    <w:rsid w:val="0009572B"/>
    <w:rsid w:val="000A06FE"/>
    <w:rsid w:val="000A1648"/>
    <w:rsid w:val="000B1470"/>
    <w:rsid w:val="000B3A2D"/>
    <w:rsid w:val="000B4C97"/>
    <w:rsid w:val="000C2E42"/>
    <w:rsid w:val="000D12E2"/>
    <w:rsid w:val="000D1A0F"/>
    <w:rsid w:val="000D26AD"/>
    <w:rsid w:val="000D2B4A"/>
    <w:rsid w:val="000D6639"/>
    <w:rsid w:val="000D667E"/>
    <w:rsid w:val="000D711E"/>
    <w:rsid w:val="000D7D65"/>
    <w:rsid w:val="000E2B20"/>
    <w:rsid w:val="000E427C"/>
    <w:rsid w:val="000E607C"/>
    <w:rsid w:val="000E7111"/>
    <w:rsid w:val="000F0DB3"/>
    <w:rsid w:val="000F1E61"/>
    <w:rsid w:val="000F2A82"/>
    <w:rsid w:val="000F61E8"/>
    <w:rsid w:val="000F6496"/>
    <w:rsid w:val="000F76D0"/>
    <w:rsid w:val="00102775"/>
    <w:rsid w:val="00103020"/>
    <w:rsid w:val="001030C3"/>
    <w:rsid w:val="00103A78"/>
    <w:rsid w:val="00110952"/>
    <w:rsid w:val="00112A26"/>
    <w:rsid w:val="00113405"/>
    <w:rsid w:val="00114C6C"/>
    <w:rsid w:val="001166F1"/>
    <w:rsid w:val="00116985"/>
    <w:rsid w:val="001169B5"/>
    <w:rsid w:val="00120C87"/>
    <w:rsid w:val="001218CA"/>
    <w:rsid w:val="00124EFA"/>
    <w:rsid w:val="0012522A"/>
    <w:rsid w:val="00126B17"/>
    <w:rsid w:val="001277A5"/>
    <w:rsid w:val="00127E38"/>
    <w:rsid w:val="00131D4C"/>
    <w:rsid w:val="00136AE8"/>
    <w:rsid w:val="00136E11"/>
    <w:rsid w:val="001413F8"/>
    <w:rsid w:val="001414B6"/>
    <w:rsid w:val="00141E0F"/>
    <w:rsid w:val="00142132"/>
    <w:rsid w:val="00142837"/>
    <w:rsid w:val="0014444A"/>
    <w:rsid w:val="00150F17"/>
    <w:rsid w:val="00151933"/>
    <w:rsid w:val="001539DC"/>
    <w:rsid w:val="00154228"/>
    <w:rsid w:val="001551C4"/>
    <w:rsid w:val="00156E7E"/>
    <w:rsid w:val="00160973"/>
    <w:rsid w:val="00161A86"/>
    <w:rsid w:val="001621C9"/>
    <w:rsid w:val="001632C2"/>
    <w:rsid w:val="00170567"/>
    <w:rsid w:val="00171815"/>
    <w:rsid w:val="00172029"/>
    <w:rsid w:val="001735B2"/>
    <w:rsid w:val="0017472E"/>
    <w:rsid w:val="00176503"/>
    <w:rsid w:val="001775B3"/>
    <w:rsid w:val="001873C7"/>
    <w:rsid w:val="00191E0C"/>
    <w:rsid w:val="00192CDD"/>
    <w:rsid w:val="0019380E"/>
    <w:rsid w:val="00194B44"/>
    <w:rsid w:val="001A0470"/>
    <w:rsid w:val="001A07EF"/>
    <w:rsid w:val="001A19C4"/>
    <w:rsid w:val="001A2C57"/>
    <w:rsid w:val="001A5293"/>
    <w:rsid w:val="001B15C2"/>
    <w:rsid w:val="001B3114"/>
    <w:rsid w:val="001B46ED"/>
    <w:rsid w:val="001C1DA0"/>
    <w:rsid w:val="001C4816"/>
    <w:rsid w:val="001C7434"/>
    <w:rsid w:val="001D250B"/>
    <w:rsid w:val="001D2BBC"/>
    <w:rsid w:val="001D442B"/>
    <w:rsid w:val="001D60E0"/>
    <w:rsid w:val="001D65E4"/>
    <w:rsid w:val="001E4F8E"/>
    <w:rsid w:val="001E59B3"/>
    <w:rsid w:val="001E6A38"/>
    <w:rsid w:val="001E7993"/>
    <w:rsid w:val="001F0AA6"/>
    <w:rsid w:val="001F0DEB"/>
    <w:rsid w:val="002029F8"/>
    <w:rsid w:val="002049E4"/>
    <w:rsid w:val="00204FF6"/>
    <w:rsid w:val="00205882"/>
    <w:rsid w:val="00217475"/>
    <w:rsid w:val="00220553"/>
    <w:rsid w:val="00221FE0"/>
    <w:rsid w:val="002222FA"/>
    <w:rsid w:val="00225063"/>
    <w:rsid w:val="002272BE"/>
    <w:rsid w:val="00232CB1"/>
    <w:rsid w:val="00232F42"/>
    <w:rsid w:val="002366D5"/>
    <w:rsid w:val="002369F4"/>
    <w:rsid w:val="002373AC"/>
    <w:rsid w:val="00244432"/>
    <w:rsid w:val="002454A9"/>
    <w:rsid w:val="00250DEA"/>
    <w:rsid w:val="00252223"/>
    <w:rsid w:val="00252322"/>
    <w:rsid w:val="00253C56"/>
    <w:rsid w:val="00253C59"/>
    <w:rsid w:val="00255607"/>
    <w:rsid w:val="0025685C"/>
    <w:rsid w:val="0026026F"/>
    <w:rsid w:val="0026157C"/>
    <w:rsid w:val="00262411"/>
    <w:rsid w:val="00263767"/>
    <w:rsid w:val="002674E7"/>
    <w:rsid w:val="00273A02"/>
    <w:rsid w:val="00276799"/>
    <w:rsid w:val="00280983"/>
    <w:rsid w:val="00280D4C"/>
    <w:rsid w:val="00285D40"/>
    <w:rsid w:val="0029065F"/>
    <w:rsid w:val="002911E6"/>
    <w:rsid w:val="002914A7"/>
    <w:rsid w:val="0029290C"/>
    <w:rsid w:val="002943B1"/>
    <w:rsid w:val="002A1B03"/>
    <w:rsid w:val="002A2F76"/>
    <w:rsid w:val="002A57F3"/>
    <w:rsid w:val="002B1078"/>
    <w:rsid w:val="002B13C6"/>
    <w:rsid w:val="002B23F4"/>
    <w:rsid w:val="002B5A00"/>
    <w:rsid w:val="002B634D"/>
    <w:rsid w:val="002B6B03"/>
    <w:rsid w:val="002C1C80"/>
    <w:rsid w:val="002D0229"/>
    <w:rsid w:val="002D13BE"/>
    <w:rsid w:val="002D4ADC"/>
    <w:rsid w:val="002D511A"/>
    <w:rsid w:val="002D7B5D"/>
    <w:rsid w:val="002E1255"/>
    <w:rsid w:val="002E1E82"/>
    <w:rsid w:val="002E25C3"/>
    <w:rsid w:val="002E433A"/>
    <w:rsid w:val="002E6B77"/>
    <w:rsid w:val="002F14E9"/>
    <w:rsid w:val="002F262A"/>
    <w:rsid w:val="002F3E4A"/>
    <w:rsid w:val="002F43B3"/>
    <w:rsid w:val="002F5F87"/>
    <w:rsid w:val="002F6C5A"/>
    <w:rsid w:val="00300C87"/>
    <w:rsid w:val="0030176F"/>
    <w:rsid w:val="00305026"/>
    <w:rsid w:val="00307E64"/>
    <w:rsid w:val="003114D2"/>
    <w:rsid w:val="00311A93"/>
    <w:rsid w:val="00322C12"/>
    <w:rsid w:val="00323D29"/>
    <w:rsid w:val="00323FEC"/>
    <w:rsid w:val="00325183"/>
    <w:rsid w:val="0032703B"/>
    <w:rsid w:val="00330106"/>
    <w:rsid w:val="0033440D"/>
    <w:rsid w:val="00334562"/>
    <w:rsid w:val="00334E02"/>
    <w:rsid w:val="00335C17"/>
    <w:rsid w:val="00337EF4"/>
    <w:rsid w:val="0034024C"/>
    <w:rsid w:val="003408D4"/>
    <w:rsid w:val="00340EF8"/>
    <w:rsid w:val="0034209B"/>
    <w:rsid w:val="00342B2E"/>
    <w:rsid w:val="0034655E"/>
    <w:rsid w:val="00346FB2"/>
    <w:rsid w:val="00351A2A"/>
    <w:rsid w:val="00354350"/>
    <w:rsid w:val="003557A9"/>
    <w:rsid w:val="00357776"/>
    <w:rsid w:val="00362500"/>
    <w:rsid w:val="00364904"/>
    <w:rsid w:val="003677E6"/>
    <w:rsid w:val="003722A1"/>
    <w:rsid w:val="00374973"/>
    <w:rsid w:val="00376EBE"/>
    <w:rsid w:val="00377950"/>
    <w:rsid w:val="00382471"/>
    <w:rsid w:val="003847AB"/>
    <w:rsid w:val="00385019"/>
    <w:rsid w:val="00386BFA"/>
    <w:rsid w:val="00391124"/>
    <w:rsid w:val="003A1B55"/>
    <w:rsid w:val="003A2F33"/>
    <w:rsid w:val="003A5D6A"/>
    <w:rsid w:val="003A799A"/>
    <w:rsid w:val="003B7FB4"/>
    <w:rsid w:val="003C0D9D"/>
    <w:rsid w:val="003C391C"/>
    <w:rsid w:val="003C4DC6"/>
    <w:rsid w:val="003C560B"/>
    <w:rsid w:val="003C6DF8"/>
    <w:rsid w:val="003C7458"/>
    <w:rsid w:val="003D0DD6"/>
    <w:rsid w:val="003D222D"/>
    <w:rsid w:val="003D2681"/>
    <w:rsid w:val="003D36DE"/>
    <w:rsid w:val="003D3728"/>
    <w:rsid w:val="003D6094"/>
    <w:rsid w:val="003D7D24"/>
    <w:rsid w:val="003E1CF7"/>
    <w:rsid w:val="003E579B"/>
    <w:rsid w:val="003E5F26"/>
    <w:rsid w:val="003F134A"/>
    <w:rsid w:val="003F31C1"/>
    <w:rsid w:val="003F390F"/>
    <w:rsid w:val="003F3BFA"/>
    <w:rsid w:val="003F52C7"/>
    <w:rsid w:val="003F616D"/>
    <w:rsid w:val="003F7D2B"/>
    <w:rsid w:val="004008A5"/>
    <w:rsid w:val="004015B4"/>
    <w:rsid w:val="004034FA"/>
    <w:rsid w:val="00403FC2"/>
    <w:rsid w:val="00406A43"/>
    <w:rsid w:val="00406CA9"/>
    <w:rsid w:val="00410625"/>
    <w:rsid w:val="00412290"/>
    <w:rsid w:val="00414BCF"/>
    <w:rsid w:val="00416334"/>
    <w:rsid w:val="00417C5D"/>
    <w:rsid w:val="00422549"/>
    <w:rsid w:val="00432249"/>
    <w:rsid w:val="00432A8B"/>
    <w:rsid w:val="00432EB5"/>
    <w:rsid w:val="00433655"/>
    <w:rsid w:val="00434CF9"/>
    <w:rsid w:val="00440FB8"/>
    <w:rsid w:val="00441FC8"/>
    <w:rsid w:val="00444A50"/>
    <w:rsid w:val="00444F7E"/>
    <w:rsid w:val="00445C4C"/>
    <w:rsid w:val="00446223"/>
    <w:rsid w:val="0045304C"/>
    <w:rsid w:val="004530DB"/>
    <w:rsid w:val="0045411D"/>
    <w:rsid w:val="00454A0F"/>
    <w:rsid w:val="0045634D"/>
    <w:rsid w:val="0045661C"/>
    <w:rsid w:val="00461948"/>
    <w:rsid w:val="00462D5F"/>
    <w:rsid w:val="004641BE"/>
    <w:rsid w:val="004652B6"/>
    <w:rsid w:val="004674D4"/>
    <w:rsid w:val="004723EC"/>
    <w:rsid w:val="0047343E"/>
    <w:rsid w:val="00474447"/>
    <w:rsid w:val="004757EE"/>
    <w:rsid w:val="00475D89"/>
    <w:rsid w:val="00476EB4"/>
    <w:rsid w:val="00477620"/>
    <w:rsid w:val="0048450D"/>
    <w:rsid w:val="00485F01"/>
    <w:rsid w:val="00486AFF"/>
    <w:rsid w:val="00490B54"/>
    <w:rsid w:val="0049445B"/>
    <w:rsid w:val="00494B27"/>
    <w:rsid w:val="00494BF7"/>
    <w:rsid w:val="004950EF"/>
    <w:rsid w:val="00496F73"/>
    <w:rsid w:val="00497A56"/>
    <w:rsid w:val="004A064E"/>
    <w:rsid w:val="004A3598"/>
    <w:rsid w:val="004A6DC5"/>
    <w:rsid w:val="004B1B86"/>
    <w:rsid w:val="004B1B94"/>
    <w:rsid w:val="004B1EEB"/>
    <w:rsid w:val="004B4D62"/>
    <w:rsid w:val="004B6A9B"/>
    <w:rsid w:val="004C1FF6"/>
    <w:rsid w:val="004C3DF7"/>
    <w:rsid w:val="004C5505"/>
    <w:rsid w:val="004C5773"/>
    <w:rsid w:val="004C61B6"/>
    <w:rsid w:val="004C7F60"/>
    <w:rsid w:val="004D3512"/>
    <w:rsid w:val="004D6179"/>
    <w:rsid w:val="004D655A"/>
    <w:rsid w:val="004E017A"/>
    <w:rsid w:val="004E04B5"/>
    <w:rsid w:val="004E36DC"/>
    <w:rsid w:val="004E4772"/>
    <w:rsid w:val="004E5CEE"/>
    <w:rsid w:val="004E70D9"/>
    <w:rsid w:val="004F126E"/>
    <w:rsid w:val="004F3EE3"/>
    <w:rsid w:val="004F4458"/>
    <w:rsid w:val="004F5058"/>
    <w:rsid w:val="005014F7"/>
    <w:rsid w:val="00501E23"/>
    <w:rsid w:val="00502E48"/>
    <w:rsid w:val="005030B7"/>
    <w:rsid w:val="0050545D"/>
    <w:rsid w:val="00511DA3"/>
    <w:rsid w:val="00513D78"/>
    <w:rsid w:val="00513E8A"/>
    <w:rsid w:val="005143C1"/>
    <w:rsid w:val="005162A2"/>
    <w:rsid w:val="00520474"/>
    <w:rsid w:val="00520616"/>
    <w:rsid w:val="00520B14"/>
    <w:rsid w:val="00521DC5"/>
    <w:rsid w:val="00522136"/>
    <w:rsid w:val="005240C9"/>
    <w:rsid w:val="0052579E"/>
    <w:rsid w:val="00525E6F"/>
    <w:rsid w:val="005262E9"/>
    <w:rsid w:val="0052725D"/>
    <w:rsid w:val="0054317E"/>
    <w:rsid w:val="00544260"/>
    <w:rsid w:val="00544D96"/>
    <w:rsid w:val="005471AB"/>
    <w:rsid w:val="005502B1"/>
    <w:rsid w:val="00550579"/>
    <w:rsid w:val="00552628"/>
    <w:rsid w:val="00564C74"/>
    <w:rsid w:val="00573A00"/>
    <w:rsid w:val="005751E5"/>
    <w:rsid w:val="00576252"/>
    <w:rsid w:val="00576B0E"/>
    <w:rsid w:val="005778F5"/>
    <w:rsid w:val="00577F94"/>
    <w:rsid w:val="00583450"/>
    <w:rsid w:val="005850B1"/>
    <w:rsid w:val="00590839"/>
    <w:rsid w:val="00590F17"/>
    <w:rsid w:val="00593672"/>
    <w:rsid w:val="00594FA2"/>
    <w:rsid w:val="005965AD"/>
    <w:rsid w:val="00596C11"/>
    <w:rsid w:val="005978DB"/>
    <w:rsid w:val="005A18FE"/>
    <w:rsid w:val="005A251D"/>
    <w:rsid w:val="005A2D8C"/>
    <w:rsid w:val="005A3326"/>
    <w:rsid w:val="005A37AF"/>
    <w:rsid w:val="005A65E9"/>
    <w:rsid w:val="005A6A78"/>
    <w:rsid w:val="005B0E1F"/>
    <w:rsid w:val="005B2A35"/>
    <w:rsid w:val="005B3B67"/>
    <w:rsid w:val="005B4E59"/>
    <w:rsid w:val="005B688C"/>
    <w:rsid w:val="005C176C"/>
    <w:rsid w:val="005C2DC5"/>
    <w:rsid w:val="005C3474"/>
    <w:rsid w:val="005C5639"/>
    <w:rsid w:val="005C6BE7"/>
    <w:rsid w:val="005C7CB2"/>
    <w:rsid w:val="005D236C"/>
    <w:rsid w:val="005D4ED1"/>
    <w:rsid w:val="005D6B0D"/>
    <w:rsid w:val="005E077F"/>
    <w:rsid w:val="005E35AF"/>
    <w:rsid w:val="005E5517"/>
    <w:rsid w:val="005E5E3A"/>
    <w:rsid w:val="005F1FEC"/>
    <w:rsid w:val="005F2186"/>
    <w:rsid w:val="005F44A1"/>
    <w:rsid w:val="005F4DEC"/>
    <w:rsid w:val="005F76A2"/>
    <w:rsid w:val="005F7BAD"/>
    <w:rsid w:val="006029F4"/>
    <w:rsid w:val="00602CFA"/>
    <w:rsid w:val="00602D16"/>
    <w:rsid w:val="006044F8"/>
    <w:rsid w:val="00607840"/>
    <w:rsid w:val="00607E56"/>
    <w:rsid w:val="006107F3"/>
    <w:rsid w:val="00610964"/>
    <w:rsid w:val="00610A7B"/>
    <w:rsid w:val="00610DA4"/>
    <w:rsid w:val="006113FB"/>
    <w:rsid w:val="006116CC"/>
    <w:rsid w:val="0061378A"/>
    <w:rsid w:val="00615C01"/>
    <w:rsid w:val="006170D3"/>
    <w:rsid w:val="006201D5"/>
    <w:rsid w:val="00625D3E"/>
    <w:rsid w:val="00626723"/>
    <w:rsid w:val="00630018"/>
    <w:rsid w:val="0063009F"/>
    <w:rsid w:val="006318FA"/>
    <w:rsid w:val="00634E4A"/>
    <w:rsid w:val="006359C7"/>
    <w:rsid w:val="00636364"/>
    <w:rsid w:val="00637726"/>
    <w:rsid w:val="0064174B"/>
    <w:rsid w:val="00643085"/>
    <w:rsid w:val="00652B52"/>
    <w:rsid w:val="006534E4"/>
    <w:rsid w:val="00654BF1"/>
    <w:rsid w:val="0066055E"/>
    <w:rsid w:val="00660952"/>
    <w:rsid w:val="00660BB4"/>
    <w:rsid w:val="006614AF"/>
    <w:rsid w:val="00663E55"/>
    <w:rsid w:val="0066736A"/>
    <w:rsid w:val="00667455"/>
    <w:rsid w:val="006679D9"/>
    <w:rsid w:val="006721C5"/>
    <w:rsid w:val="00672C6D"/>
    <w:rsid w:val="00675A8A"/>
    <w:rsid w:val="00676110"/>
    <w:rsid w:val="00676A88"/>
    <w:rsid w:val="006806AA"/>
    <w:rsid w:val="006812D9"/>
    <w:rsid w:val="00681CC4"/>
    <w:rsid w:val="00683277"/>
    <w:rsid w:val="00683833"/>
    <w:rsid w:val="00683858"/>
    <w:rsid w:val="00683EBD"/>
    <w:rsid w:val="0068604C"/>
    <w:rsid w:val="00687798"/>
    <w:rsid w:val="00687D58"/>
    <w:rsid w:val="006913C7"/>
    <w:rsid w:val="0069305A"/>
    <w:rsid w:val="00695CC3"/>
    <w:rsid w:val="00696828"/>
    <w:rsid w:val="00697988"/>
    <w:rsid w:val="006A0001"/>
    <w:rsid w:val="006A19C3"/>
    <w:rsid w:val="006A27A2"/>
    <w:rsid w:val="006A4A5B"/>
    <w:rsid w:val="006A5CC7"/>
    <w:rsid w:val="006B01B1"/>
    <w:rsid w:val="006B0D3B"/>
    <w:rsid w:val="006B271C"/>
    <w:rsid w:val="006B338A"/>
    <w:rsid w:val="006B36DD"/>
    <w:rsid w:val="006B3AAB"/>
    <w:rsid w:val="006B4B87"/>
    <w:rsid w:val="006C1365"/>
    <w:rsid w:val="006C4306"/>
    <w:rsid w:val="006C4659"/>
    <w:rsid w:val="006C69C4"/>
    <w:rsid w:val="006D0B98"/>
    <w:rsid w:val="006D10F7"/>
    <w:rsid w:val="006D56FA"/>
    <w:rsid w:val="006D5DEF"/>
    <w:rsid w:val="006D7A55"/>
    <w:rsid w:val="006E023F"/>
    <w:rsid w:val="006E2195"/>
    <w:rsid w:val="006E35D5"/>
    <w:rsid w:val="006E49AE"/>
    <w:rsid w:val="006F6751"/>
    <w:rsid w:val="007011D9"/>
    <w:rsid w:val="007013C7"/>
    <w:rsid w:val="0070299D"/>
    <w:rsid w:val="0070470A"/>
    <w:rsid w:val="007049E2"/>
    <w:rsid w:val="00705648"/>
    <w:rsid w:val="007065BA"/>
    <w:rsid w:val="007072A5"/>
    <w:rsid w:val="00707FB2"/>
    <w:rsid w:val="00710E5E"/>
    <w:rsid w:val="007123D4"/>
    <w:rsid w:val="0071266E"/>
    <w:rsid w:val="00712F8C"/>
    <w:rsid w:val="00713159"/>
    <w:rsid w:val="0071482C"/>
    <w:rsid w:val="007177D4"/>
    <w:rsid w:val="00723413"/>
    <w:rsid w:val="00724F16"/>
    <w:rsid w:val="00726470"/>
    <w:rsid w:val="00727E5F"/>
    <w:rsid w:val="00730B16"/>
    <w:rsid w:val="00730C7C"/>
    <w:rsid w:val="0073147B"/>
    <w:rsid w:val="00732AD8"/>
    <w:rsid w:val="00733232"/>
    <w:rsid w:val="00737AB0"/>
    <w:rsid w:val="00743A66"/>
    <w:rsid w:val="00744B03"/>
    <w:rsid w:val="00747B9A"/>
    <w:rsid w:val="00747CA9"/>
    <w:rsid w:val="00747CF2"/>
    <w:rsid w:val="00752105"/>
    <w:rsid w:val="00752669"/>
    <w:rsid w:val="00755D9C"/>
    <w:rsid w:val="0075711C"/>
    <w:rsid w:val="007620B0"/>
    <w:rsid w:val="00763F9B"/>
    <w:rsid w:val="00772D54"/>
    <w:rsid w:val="00772E99"/>
    <w:rsid w:val="00774231"/>
    <w:rsid w:val="007750CF"/>
    <w:rsid w:val="00775F01"/>
    <w:rsid w:val="007852E9"/>
    <w:rsid w:val="007855A2"/>
    <w:rsid w:val="00785996"/>
    <w:rsid w:val="007859C6"/>
    <w:rsid w:val="00785B58"/>
    <w:rsid w:val="00790B3D"/>
    <w:rsid w:val="00791C59"/>
    <w:rsid w:val="00792963"/>
    <w:rsid w:val="00792ECF"/>
    <w:rsid w:val="00794505"/>
    <w:rsid w:val="00795EC1"/>
    <w:rsid w:val="007A11E1"/>
    <w:rsid w:val="007A6E10"/>
    <w:rsid w:val="007A6F7D"/>
    <w:rsid w:val="007B0BFD"/>
    <w:rsid w:val="007B53B7"/>
    <w:rsid w:val="007B71E3"/>
    <w:rsid w:val="007C0099"/>
    <w:rsid w:val="007C2140"/>
    <w:rsid w:val="007C229C"/>
    <w:rsid w:val="007C7029"/>
    <w:rsid w:val="007C7C7D"/>
    <w:rsid w:val="007D3D96"/>
    <w:rsid w:val="007D46C6"/>
    <w:rsid w:val="007D48F4"/>
    <w:rsid w:val="007D5019"/>
    <w:rsid w:val="007D774D"/>
    <w:rsid w:val="007E0B88"/>
    <w:rsid w:val="007E432A"/>
    <w:rsid w:val="007E616F"/>
    <w:rsid w:val="007E6F82"/>
    <w:rsid w:val="007F0A26"/>
    <w:rsid w:val="007F0A9A"/>
    <w:rsid w:val="007F1A58"/>
    <w:rsid w:val="007F3EBC"/>
    <w:rsid w:val="007F65D8"/>
    <w:rsid w:val="007F6DC4"/>
    <w:rsid w:val="00800C61"/>
    <w:rsid w:val="00802EE1"/>
    <w:rsid w:val="00803FFC"/>
    <w:rsid w:val="0080430D"/>
    <w:rsid w:val="00804A7A"/>
    <w:rsid w:val="008051D2"/>
    <w:rsid w:val="00805DCE"/>
    <w:rsid w:val="00812BA7"/>
    <w:rsid w:val="00812C85"/>
    <w:rsid w:val="00814CC0"/>
    <w:rsid w:val="00816769"/>
    <w:rsid w:val="00816B6A"/>
    <w:rsid w:val="00822451"/>
    <w:rsid w:val="00823112"/>
    <w:rsid w:val="00827C4D"/>
    <w:rsid w:val="00831F6B"/>
    <w:rsid w:val="00833D86"/>
    <w:rsid w:val="00834E6C"/>
    <w:rsid w:val="00834F05"/>
    <w:rsid w:val="00836C7F"/>
    <w:rsid w:val="00843ADD"/>
    <w:rsid w:val="00844283"/>
    <w:rsid w:val="00844D67"/>
    <w:rsid w:val="00846DFF"/>
    <w:rsid w:val="008518EE"/>
    <w:rsid w:val="00851FC2"/>
    <w:rsid w:val="008526E9"/>
    <w:rsid w:val="00853AC7"/>
    <w:rsid w:val="00854EF3"/>
    <w:rsid w:val="00855088"/>
    <w:rsid w:val="008559AF"/>
    <w:rsid w:val="00857532"/>
    <w:rsid w:val="00860C5B"/>
    <w:rsid w:val="008617D1"/>
    <w:rsid w:val="008621BF"/>
    <w:rsid w:val="00865EBE"/>
    <w:rsid w:val="00867846"/>
    <w:rsid w:val="00871471"/>
    <w:rsid w:val="00871E8F"/>
    <w:rsid w:val="00872B6A"/>
    <w:rsid w:val="008730D2"/>
    <w:rsid w:val="00873C9E"/>
    <w:rsid w:val="008743AC"/>
    <w:rsid w:val="008744F7"/>
    <w:rsid w:val="00875544"/>
    <w:rsid w:val="008812F9"/>
    <w:rsid w:val="0088551B"/>
    <w:rsid w:val="008A25B0"/>
    <w:rsid w:val="008A2EC2"/>
    <w:rsid w:val="008A5E2F"/>
    <w:rsid w:val="008B2561"/>
    <w:rsid w:val="008B5B4E"/>
    <w:rsid w:val="008C1934"/>
    <w:rsid w:val="008C1DD2"/>
    <w:rsid w:val="008C3F39"/>
    <w:rsid w:val="008C5294"/>
    <w:rsid w:val="008D1AB0"/>
    <w:rsid w:val="008D38F4"/>
    <w:rsid w:val="008D486D"/>
    <w:rsid w:val="008D63CF"/>
    <w:rsid w:val="008D7644"/>
    <w:rsid w:val="008E066B"/>
    <w:rsid w:val="008E0EF8"/>
    <w:rsid w:val="008E185A"/>
    <w:rsid w:val="008E3C74"/>
    <w:rsid w:val="008E74BF"/>
    <w:rsid w:val="008E7A82"/>
    <w:rsid w:val="008F0EAC"/>
    <w:rsid w:val="008F2BD9"/>
    <w:rsid w:val="008F336A"/>
    <w:rsid w:val="008F59C2"/>
    <w:rsid w:val="008F641E"/>
    <w:rsid w:val="008F71DD"/>
    <w:rsid w:val="00903ED5"/>
    <w:rsid w:val="0090645C"/>
    <w:rsid w:val="00906614"/>
    <w:rsid w:val="00906E7A"/>
    <w:rsid w:val="009104A8"/>
    <w:rsid w:val="00911B7D"/>
    <w:rsid w:val="009153DA"/>
    <w:rsid w:val="00920728"/>
    <w:rsid w:val="00923994"/>
    <w:rsid w:val="0092421D"/>
    <w:rsid w:val="009253AF"/>
    <w:rsid w:val="00925858"/>
    <w:rsid w:val="009279A0"/>
    <w:rsid w:val="00931D3F"/>
    <w:rsid w:val="00932DF5"/>
    <w:rsid w:val="009349A1"/>
    <w:rsid w:val="00936E4C"/>
    <w:rsid w:val="0094080B"/>
    <w:rsid w:val="0094125F"/>
    <w:rsid w:val="009414BA"/>
    <w:rsid w:val="0094213A"/>
    <w:rsid w:val="00942372"/>
    <w:rsid w:val="00943A74"/>
    <w:rsid w:val="00944A8F"/>
    <w:rsid w:val="00944BA7"/>
    <w:rsid w:val="00945EC3"/>
    <w:rsid w:val="009465ED"/>
    <w:rsid w:val="0095122E"/>
    <w:rsid w:val="00951F6C"/>
    <w:rsid w:val="00953B39"/>
    <w:rsid w:val="00955FA2"/>
    <w:rsid w:val="00960126"/>
    <w:rsid w:val="009623D2"/>
    <w:rsid w:val="009628F3"/>
    <w:rsid w:val="009674CA"/>
    <w:rsid w:val="009701AF"/>
    <w:rsid w:val="00970C82"/>
    <w:rsid w:val="00974EE4"/>
    <w:rsid w:val="009755BF"/>
    <w:rsid w:val="00976383"/>
    <w:rsid w:val="00976A47"/>
    <w:rsid w:val="00976AA0"/>
    <w:rsid w:val="009771BA"/>
    <w:rsid w:val="009779F3"/>
    <w:rsid w:val="00977C69"/>
    <w:rsid w:val="0098064F"/>
    <w:rsid w:val="009806CB"/>
    <w:rsid w:val="00981334"/>
    <w:rsid w:val="00983281"/>
    <w:rsid w:val="00983B31"/>
    <w:rsid w:val="0098564F"/>
    <w:rsid w:val="00986F46"/>
    <w:rsid w:val="0098753A"/>
    <w:rsid w:val="0099351B"/>
    <w:rsid w:val="00993CF5"/>
    <w:rsid w:val="00995226"/>
    <w:rsid w:val="00995948"/>
    <w:rsid w:val="0099624E"/>
    <w:rsid w:val="009A15E2"/>
    <w:rsid w:val="009A1E73"/>
    <w:rsid w:val="009A3C6F"/>
    <w:rsid w:val="009A4020"/>
    <w:rsid w:val="009A565E"/>
    <w:rsid w:val="009B10EC"/>
    <w:rsid w:val="009B12C7"/>
    <w:rsid w:val="009B18B0"/>
    <w:rsid w:val="009B4A8F"/>
    <w:rsid w:val="009B67B1"/>
    <w:rsid w:val="009C1F28"/>
    <w:rsid w:val="009C6BF5"/>
    <w:rsid w:val="009C7761"/>
    <w:rsid w:val="009C7861"/>
    <w:rsid w:val="009D1FD8"/>
    <w:rsid w:val="009D2D23"/>
    <w:rsid w:val="009D2FF8"/>
    <w:rsid w:val="009D3E17"/>
    <w:rsid w:val="009D63FC"/>
    <w:rsid w:val="009D6AEF"/>
    <w:rsid w:val="009E0EAE"/>
    <w:rsid w:val="009E1D15"/>
    <w:rsid w:val="009E526E"/>
    <w:rsid w:val="009E6407"/>
    <w:rsid w:val="009E7EA3"/>
    <w:rsid w:val="009F09F6"/>
    <w:rsid w:val="009F0BF1"/>
    <w:rsid w:val="009F0F45"/>
    <w:rsid w:val="009F1183"/>
    <w:rsid w:val="009F4CFF"/>
    <w:rsid w:val="009F65DD"/>
    <w:rsid w:val="00A02BA4"/>
    <w:rsid w:val="00A02CD0"/>
    <w:rsid w:val="00A07CDB"/>
    <w:rsid w:val="00A13C7E"/>
    <w:rsid w:val="00A16133"/>
    <w:rsid w:val="00A202B3"/>
    <w:rsid w:val="00A2191C"/>
    <w:rsid w:val="00A241C4"/>
    <w:rsid w:val="00A256B4"/>
    <w:rsid w:val="00A264B9"/>
    <w:rsid w:val="00A330FE"/>
    <w:rsid w:val="00A34D5E"/>
    <w:rsid w:val="00A35BAC"/>
    <w:rsid w:val="00A36A94"/>
    <w:rsid w:val="00A42BE6"/>
    <w:rsid w:val="00A44B3C"/>
    <w:rsid w:val="00A52F35"/>
    <w:rsid w:val="00A563A2"/>
    <w:rsid w:val="00A56780"/>
    <w:rsid w:val="00A5731E"/>
    <w:rsid w:val="00A576C4"/>
    <w:rsid w:val="00A6018D"/>
    <w:rsid w:val="00A6068D"/>
    <w:rsid w:val="00A614F7"/>
    <w:rsid w:val="00A61869"/>
    <w:rsid w:val="00A62E87"/>
    <w:rsid w:val="00A6704D"/>
    <w:rsid w:val="00A67131"/>
    <w:rsid w:val="00A67462"/>
    <w:rsid w:val="00A67674"/>
    <w:rsid w:val="00A7097B"/>
    <w:rsid w:val="00A7620D"/>
    <w:rsid w:val="00A767AA"/>
    <w:rsid w:val="00A84962"/>
    <w:rsid w:val="00A85124"/>
    <w:rsid w:val="00A8564F"/>
    <w:rsid w:val="00A92298"/>
    <w:rsid w:val="00A9641E"/>
    <w:rsid w:val="00A97686"/>
    <w:rsid w:val="00AA2228"/>
    <w:rsid w:val="00AA2C37"/>
    <w:rsid w:val="00AA34A0"/>
    <w:rsid w:val="00AA3FE2"/>
    <w:rsid w:val="00AA48E6"/>
    <w:rsid w:val="00AB22FA"/>
    <w:rsid w:val="00AB2327"/>
    <w:rsid w:val="00AB3989"/>
    <w:rsid w:val="00AB39D3"/>
    <w:rsid w:val="00AB5311"/>
    <w:rsid w:val="00AB5668"/>
    <w:rsid w:val="00AB6780"/>
    <w:rsid w:val="00AB785F"/>
    <w:rsid w:val="00AB7D7D"/>
    <w:rsid w:val="00AB7D91"/>
    <w:rsid w:val="00AC1C4F"/>
    <w:rsid w:val="00AC35D0"/>
    <w:rsid w:val="00AC509E"/>
    <w:rsid w:val="00AC5969"/>
    <w:rsid w:val="00AC635B"/>
    <w:rsid w:val="00AD2E3E"/>
    <w:rsid w:val="00AD455C"/>
    <w:rsid w:val="00AD5B37"/>
    <w:rsid w:val="00AE0AFC"/>
    <w:rsid w:val="00AE30FF"/>
    <w:rsid w:val="00AE5F33"/>
    <w:rsid w:val="00AF1B6E"/>
    <w:rsid w:val="00AF3448"/>
    <w:rsid w:val="00AF4207"/>
    <w:rsid w:val="00AF5093"/>
    <w:rsid w:val="00AF6CC4"/>
    <w:rsid w:val="00AF7717"/>
    <w:rsid w:val="00B0209B"/>
    <w:rsid w:val="00B04168"/>
    <w:rsid w:val="00B04A5C"/>
    <w:rsid w:val="00B05976"/>
    <w:rsid w:val="00B070B9"/>
    <w:rsid w:val="00B07895"/>
    <w:rsid w:val="00B07A31"/>
    <w:rsid w:val="00B14782"/>
    <w:rsid w:val="00B148CA"/>
    <w:rsid w:val="00B15628"/>
    <w:rsid w:val="00B177F5"/>
    <w:rsid w:val="00B2033C"/>
    <w:rsid w:val="00B20B7F"/>
    <w:rsid w:val="00B23185"/>
    <w:rsid w:val="00B23282"/>
    <w:rsid w:val="00B23A19"/>
    <w:rsid w:val="00B273D5"/>
    <w:rsid w:val="00B34867"/>
    <w:rsid w:val="00B4410E"/>
    <w:rsid w:val="00B44356"/>
    <w:rsid w:val="00B44DCA"/>
    <w:rsid w:val="00B45305"/>
    <w:rsid w:val="00B457D9"/>
    <w:rsid w:val="00B45C9B"/>
    <w:rsid w:val="00B47399"/>
    <w:rsid w:val="00B53645"/>
    <w:rsid w:val="00B54F00"/>
    <w:rsid w:val="00B558B7"/>
    <w:rsid w:val="00B5590C"/>
    <w:rsid w:val="00B55DCA"/>
    <w:rsid w:val="00B57724"/>
    <w:rsid w:val="00B61BAA"/>
    <w:rsid w:val="00B62107"/>
    <w:rsid w:val="00B63618"/>
    <w:rsid w:val="00B6510E"/>
    <w:rsid w:val="00B706A7"/>
    <w:rsid w:val="00B726F7"/>
    <w:rsid w:val="00B748B2"/>
    <w:rsid w:val="00B778FF"/>
    <w:rsid w:val="00B8164B"/>
    <w:rsid w:val="00B838A2"/>
    <w:rsid w:val="00B85A9D"/>
    <w:rsid w:val="00B864DF"/>
    <w:rsid w:val="00B866A1"/>
    <w:rsid w:val="00B86AB1"/>
    <w:rsid w:val="00B86E76"/>
    <w:rsid w:val="00B948FC"/>
    <w:rsid w:val="00B961AB"/>
    <w:rsid w:val="00B970C0"/>
    <w:rsid w:val="00B97AC1"/>
    <w:rsid w:val="00BA30DF"/>
    <w:rsid w:val="00BA4DB0"/>
    <w:rsid w:val="00BA5B05"/>
    <w:rsid w:val="00BA6289"/>
    <w:rsid w:val="00BA7791"/>
    <w:rsid w:val="00BA7E86"/>
    <w:rsid w:val="00BB1269"/>
    <w:rsid w:val="00BB13A1"/>
    <w:rsid w:val="00BB2486"/>
    <w:rsid w:val="00BB3BDE"/>
    <w:rsid w:val="00BB62FB"/>
    <w:rsid w:val="00BB74E9"/>
    <w:rsid w:val="00BC2323"/>
    <w:rsid w:val="00BC23B4"/>
    <w:rsid w:val="00BC2C38"/>
    <w:rsid w:val="00BC4BB6"/>
    <w:rsid w:val="00BD0BB9"/>
    <w:rsid w:val="00BD0F4D"/>
    <w:rsid w:val="00BE0EA3"/>
    <w:rsid w:val="00BE18BE"/>
    <w:rsid w:val="00BE32F5"/>
    <w:rsid w:val="00BE3E24"/>
    <w:rsid w:val="00BE4D14"/>
    <w:rsid w:val="00BE7F65"/>
    <w:rsid w:val="00BF09EE"/>
    <w:rsid w:val="00BF713C"/>
    <w:rsid w:val="00C019A9"/>
    <w:rsid w:val="00C02048"/>
    <w:rsid w:val="00C03933"/>
    <w:rsid w:val="00C03C2C"/>
    <w:rsid w:val="00C04122"/>
    <w:rsid w:val="00C05175"/>
    <w:rsid w:val="00C05526"/>
    <w:rsid w:val="00C061C4"/>
    <w:rsid w:val="00C07B60"/>
    <w:rsid w:val="00C10CA9"/>
    <w:rsid w:val="00C22071"/>
    <w:rsid w:val="00C23070"/>
    <w:rsid w:val="00C2525C"/>
    <w:rsid w:val="00C254B6"/>
    <w:rsid w:val="00C27077"/>
    <w:rsid w:val="00C32EDA"/>
    <w:rsid w:val="00C33944"/>
    <w:rsid w:val="00C349D8"/>
    <w:rsid w:val="00C42852"/>
    <w:rsid w:val="00C449FE"/>
    <w:rsid w:val="00C457CA"/>
    <w:rsid w:val="00C45CEE"/>
    <w:rsid w:val="00C504D5"/>
    <w:rsid w:val="00C515EB"/>
    <w:rsid w:val="00C526BF"/>
    <w:rsid w:val="00C6180A"/>
    <w:rsid w:val="00C62325"/>
    <w:rsid w:val="00C62C58"/>
    <w:rsid w:val="00C63296"/>
    <w:rsid w:val="00C63937"/>
    <w:rsid w:val="00C6455C"/>
    <w:rsid w:val="00C647DA"/>
    <w:rsid w:val="00C65821"/>
    <w:rsid w:val="00C65CAF"/>
    <w:rsid w:val="00C66440"/>
    <w:rsid w:val="00C67A2B"/>
    <w:rsid w:val="00C71BC7"/>
    <w:rsid w:val="00C72032"/>
    <w:rsid w:val="00C73ACF"/>
    <w:rsid w:val="00C76730"/>
    <w:rsid w:val="00C80D8A"/>
    <w:rsid w:val="00C81D30"/>
    <w:rsid w:val="00C83F16"/>
    <w:rsid w:val="00C852CE"/>
    <w:rsid w:val="00C879C7"/>
    <w:rsid w:val="00C9099E"/>
    <w:rsid w:val="00C91242"/>
    <w:rsid w:val="00C915FD"/>
    <w:rsid w:val="00C92B54"/>
    <w:rsid w:val="00C956E1"/>
    <w:rsid w:val="00C966D0"/>
    <w:rsid w:val="00CA299E"/>
    <w:rsid w:val="00CA4A6C"/>
    <w:rsid w:val="00CA7BD9"/>
    <w:rsid w:val="00CB06EA"/>
    <w:rsid w:val="00CB0DCE"/>
    <w:rsid w:val="00CB243E"/>
    <w:rsid w:val="00CB4FBE"/>
    <w:rsid w:val="00CB5A83"/>
    <w:rsid w:val="00CB657C"/>
    <w:rsid w:val="00CB68D2"/>
    <w:rsid w:val="00CC0343"/>
    <w:rsid w:val="00CC2939"/>
    <w:rsid w:val="00CC319F"/>
    <w:rsid w:val="00CD14FC"/>
    <w:rsid w:val="00CD3357"/>
    <w:rsid w:val="00CD3F40"/>
    <w:rsid w:val="00CD459F"/>
    <w:rsid w:val="00CD6A19"/>
    <w:rsid w:val="00CD6B4D"/>
    <w:rsid w:val="00CE1094"/>
    <w:rsid w:val="00CE3635"/>
    <w:rsid w:val="00CF3B4D"/>
    <w:rsid w:val="00CF4872"/>
    <w:rsid w:val="00CF5494"/>
    <w:rsid w:val="00CF7F82"/>
    <w:rsid w:val="00D01384"/>
    <w:rsid w:val="00D12A6A"/>
    <w:rsid w:val="00D13196"/>
    <w:rsid w:val="00D13CC1"/>
    <w:rsid w:val="00D1493B"/>
    <w:rsid w:val="00D17E18"/>
    <w:rsid w:val="00D22BF0"/>
    <w:rsid w:val="00D30B77"/>
    <w:rsid w:val="00D32DBE"/>
    <w:rsid w:val="00D348DF"/>
    <w:rsid w:val="00D377A3"/>
    <w:rsid w:val="00D40EE0"/>
    <w:rsid w:val="00D42025"/>
    <w:rsid w:val="00D474B4"/>
    <w:rsid w:val="00D47CAD"/>
    <w:rsid w:val="00D50B59"/>
    <w:rsid w:val="00D5216D"/>
    <w:rsid w:val="00D522AE"/>
    <w:rsid w:val="00D5300B"/>
    <w:rsid w:val="00D5622F"/>
    <w:rsid w:val="00D572DD"/>
    <w:rsid w:val="00D62EDC"/>
    <w:rsid w:val="00D63BD2"/>
    <w:rsid w:val="00D63E11"/>
    <w:rsid w:val="00D67E38"/>
    <w:rsid w:val="00D7068C"/>
    <w:rsid w:val="00D707B6"/>
    <w:rsid w:val="00D7475C"/>
    <w:rsid w:val="00D76778"/>
    <w:rsid w:val="00D771E7"/>
    <w:rsid w:val="00D80A3A"/>
    <w:rsid w:val="00D82913"/>
    <w:rsid w:val="00D95289"/>
    <w:rsid w:val="00D9667E"/>
    <w:rsid w:val="00D9786A"/>
    <w:rsid w:val="00DA049A"/>
    <w:rsid w:val="00DA08B4"/>
    <w:rsid w:val="00DA0B81"/>
    <w:rsid w:val="00DA105A"/>
    <w:rsid w:val="00DA13F4"/>
    <w:rsid w:val="00DA15D1"/>
    <w:rsid w:val="00DA2043"/>
    <w:rsid w:val="00DA3600"/>
    <w:rsid w:val="00DA5F09"/>
    <w:rsid w:val="00DA6B7A"/>
    <w:rsid w:val="00DB1767"/>
    <w:rsid w:val="00DB1B35"/>
    <w:rsid w:val="00DB2939"/>
    <w:rsid w:val="00DB3C4A"/>
    <w:rsid w:val="00DB4F18"/>
    <w:rsid w:val="00DB58FD"/>
    <w:rsid w:val="00DB5988"/>
    <w:rsid w:val="00DB6F91"/>
    <w:rsid w:val="00DB73B6"/>
    <w:rsid w:val="00DC0644"/>
    <w:rsid w:val="00DC4777"/>
    <w:rsid w:val="00DC48D8"/>
    <w:rsid w:val="00DC4C9A"/>
    <w:rsid w:val="00DC61F9"/>
    <w:rsid w:val="00DC7C56"/>
    <w:rsid w:val="00DD0F1C"/>
    <w:rsid w:val="00DD2ECF"/>
    <w:rsid w:val="00DD5BFA"/>
    <w:rsid w:val="00DD5E52"/>
    <w:rsid w:val="00DD7D29"/>
    <w:rsid w:val="00DE0972"/>
    <w:rsid w:val="00DE1983"/>
    <w:rsid w:val="00DE2EFD"/>
    <w:rsid w:val="00DE3183"/>
    <w:rsid w:val="00DE4177"/>
    <w:rsid w:val="00DE4472"/>
    <w:rsid w:val="00DE507D"/>
    <w:rsid w:val="00DE6F86"/>
    <w:rsid w:val="00DF2035"/>
    <w:rsid w:val="00DF4131"/>
    <w:rsid w:val="00DF64CE"/>
    <w:rsid w:val="00DF66BF"/>
    <w:rsid w:val="00DF6BEC"/>
    <w:rsid w:val="00E0136C"/>
    <w:rsid w:val="00E02A36"/>
    <w:rsid w:val="00E03B91"/>
    <w:rsid w:val="00E04569"/>
    <w:rsid w:val="00E0569B"/>
    <w:rsid w:val="00E0681C"/>
    <w:rsid w:val="00E0755A"/>
    <w:rsid w:val="00E1146F"/>
    <w:rsid w:val="00E119C6"/>
    <w:rsid w:val="00E119E9"/>
    <w:rsid w:val="00E13063"/>
    <w:rsid w:val="00E139D8"/>
    <w:rsid w:val="00E15496"/>
    <w:rsid w:val="00E156EA"/>
    <w:rsid w:val="00E172BD"/>
    <w:rsid w:val="00E177DC"/>
    <w:rsid w:val="00E2022A"/>
    <w:rsid w:val="00E25C19"/>
    <w:rsid w:val="00E32852"/>
    <w:rsid w:val="00E35E93"/>
    <w:rsid w:val="00E3770A"/>
    <w:rsid w:val="00E420C5"/>
    <w:rsid w:val="00E42763"/>
    <w:rsid w:val="00E42D18"/>
    <w:rsid w:val="00E430C2"/>
    <w:rsid w:val="00E4413C"/>
    <w:rsid w:val="00E442CA"/>
    <w:rsid w:val="00E46559"/>
    <w:rsid w:val="00E46A7F"/>
    <w:rsid w:val="00E51B02"/>
    <w:rsid w:val="00E51BA8"/>
    <w:rsid w:val="00E52899"/>
    <w:rsid w:val="00E52DDC"/>
    <w:rsid w:val="00E5354D"/>
    <w:rsid w:val="00E5384C"/>
    <w:rsid w:val="00E53DD2"/>
    <w:rsid w:val="00E54E28"/>
    <w:rsid w:val="00E564BD"/>
    <w:rsid w:val="00E6074F"/>
    <w:rsid w:val="00E625E0"/>
    <w:rsid w:val="00E63091"/>
    <w:rsid w:val="00E6496A"/>
    <w:rsid w:val="00E653DC"/>
    <w:rsid w:val="00E65DE5"/>
    <w:rsid w:val="00E700E2"/>
    <w:rsid w:val="00E71636"/>
    <w:rsid w:val="00E73005"/>
    <w:rsid w:val="00E73448"/>
    <w:rsid w:val="00E73FC0"/>
    <w:rsid w:val="00E7416D"/>
    <w:rsid w:val="00E7457E"/>
    <w:rsid w:val="00E77808"/>
    <w:rsid w:val="00E8018A"/>
    <w:rsid w:val="00E84ADE"/>
    <w:rsid w:val="00E86995"/>
    <w:rsid w:val="00E903E5"/>
    <w:rsid w:val="00E904A3"/>
    <w:rsid w:val="00E912F5"/>
    <w:rsid w:val="00E92C58"/>
    <w:rsid w:val="00E92E7D"/>
    <w:rsid w:val="00E95E1C"/>
    <w:rsid w:val="00E96E2B"/>
    <w:rsid w:val="00E979D1"/>
    <w:rsid w:val="00EA0E43"/>
    <w:rsid w:val="00EA301C"/>
    <w:rsid w:val="00EA3925"/>
    <w:rsid w:val="00EA5592"/>
    <w:rsid w:val="00EB0410"/>
    <w:rsid w:val="00EB1EB1"/>
    <w:rsid w:val="00EB4E97"/>
    <w:rsid w:val="00EC127B"/>
    <w:rsid w:val="00EC63C6"/>
    <w:rsid w:val="00EC6B22"/>
    <w:rsid w:val="00EC71DA"/>
    <w:rsid w:val="00ED0304"/>
    <w:rsid w:val="00ED1118"/>
    <w:rsid w:val="00EE0E2B"/>
    <w:rsid w:val="00EE3371"/>
    <w:rsid w:val="00EE3D50"/>
    <w:rsid w:val="00EE5919"/>
    <w:rsid w:val="00EE5B09"/>
    <w:rsid w:val="00EE5DC5"/>
    <w:rsid w:val="00EE7A91"/>
    <w:rsid w:val="00EF3B05"/>
    <w:rsid w:val="00EF3E83"/>
    <w:rsid w:val="00EF41F2"/>
    <w:rsid w:val="00EF5111"/>
    <w:rsid w:val="00EF5502"/>
    <w:rsid w:val="00EF7FAF"/>
    <w:rsid w:val="00F041F3"/>
    <w:rsid w:val="00F10F3F"/>
    <w:rsid w:val="00F117AF"/>
    <w:rsid w:val="00F126E6"/>
    <w:rsid w:val="00F13F55"/>
    <w:rsid w:val="00F1645A"/>
    <w:rsid w:val="00F173D1"/>
    <w:rsid w:val="00F174B2"/>
    <w:rsid w:val="00F21166"/>
    <w:rsid w:val="00F21DD6"/>
    <w:rsid w:val="00F253FC"/>
    <w:rsid w:val="00F304D8"/>
    <w:rsid w:val="00F30823"/>
    <w:rsid w:val="00F3092B"/>
    <w:rsid w:val="00F33EDD"/>
    <w:rsid w:val="00F4255E"/>
    <w:rsid w:val="00F43A19"/>
    <w:rsid w:val="00F45321"/>
    <w:rsid w:val="00F47901"/>
    <w:rsid w:val="00F501EB"/>
    <w:rsid w:val="00F51BFA"/>
    <w:rsid w:val="00F54BED"/>
    <w:rsid w:val="00F54FAF"/>
    <w:rsid w:val="00F564C8"/>
    <w:rsid w:val="00F568CA"/>
    <w:rsid w:val="00F57B21"/>
    <w:rsid w:val="00F57F4D"/>
    <w:rsid w:val="00F60743"/>
    <w:rsid w:val="00F62787"/>
    <w:rsid w:val="00F64614"/>
    <w:rsid w:val="00F66523"/>
    <w:rsid w:val="00F66E88"/>
    <w:rsid w:val="00F6769A"/>
    <w:rsid w:val="00F679DF"/>
    <w:rsid w:val="00F72599"/>
    <w:rsid w:val="00F73A1D"/>
    <w:rsid w:val="00F7453E"/>
    <w:rsid w:val="00F7500A"/>
    <w:rsid w:val="00F76EDB"/>
    <w:rsid w:val="00F772BE"/>
    <w:rsid w:val="00F77581"/>
    <w:rsid w:val="00F801CD"/>
    <w:rsid w:val="00F8020A"/>
    <w:rsid w:val="00F81B6E"/>
    <w:rsid w:val="00F83875"/>
    <w:rsid w:val="00F847F8"/>
    <w:rsid w:val="00F93741"/>
    <w:rsid w:val="00F94572"/>
    <w:rsid w:val="00F95D9A"/>
    <w:rsid w:val="00F96573"/>
    <w:rsid w:val="00F96F45"/>
    <w:rsid w:val="00F970EB"/>
    <w:rsid w:val="00FA2657"/>
    <w:rsid w:val="00FA34AF"/>
    <w:rsid w:val="00FA6322"/>
    <w:rsid w:val="00FA73C3"/>
    <w:rsid w:val="00FB07D0"/>
    <w:rsid w:val="00FB2743"/>
    <w:rsid w:val="00FB45AA"/>
    <w:rsid w:val="00FB4F6D"/>
    <w:rsid w:val="00FB7B23"/>
    <w:rsid w:val="00FC12C1"/>
    <w:rsid w:val="00FC5717"/>
    <w:rsid w:val="00FC6ABD"/>
    <w:rsid w:val="00FC73F5"/>
    <w:rsid w:val="00FD16BC"/>
    <w:rsid w:val="00FD3707"/>
    <w:rsid w:val="00FD46CB"/>
    <w:rsid w:val="00FD643F"/>
    <w:rsid w:val="00FE026E"/>
    <w:rsid w:val="00FE314F"/>
    <w:rsid w:val="00FE36D5"/>
    <w:rsid w:val="00FE5DEB"/>
    <w:rsid w:val="00FE7398"/>
    <w:rsid w:val="00FF169E"/>
    <w:rsid w:val="00FF4026"/>
    <w:rsid w:val="00FF60A6"/>
    <w:rsid w:val="00FF761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2549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rsid w:val="0042254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0645C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">
    <w:name w:val="__footnote"/>
    <w:basedOn w:val="Normal"/>
    <w:uiPriority w:val="99"/>
    <w:rsid w:val="00E0136C"/>
    <w:pPr>
      <w:spacing w:line="180" w:lineRule="exact"/>
    </w:pPr>
    <w:rPr>
      <w:rFonts w:cs="Arial"/>
      <w:sz w:val="12"/>
      <w:szCs w:val="12"/>
      <w:lang w:eastAsia="en-AU"/>
    </w:rPr>
  </w:style>
  <w:style w:type="character" w:customStyle="1" w:styleId="short-url">
    <w:name w:val="short-url"/>
    <w:basedOn w:val="DefaultParagraphFont"/>
    <w:rsid w:val="007E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CB1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customStyle="1" w:styleId="heading10">
    <w:name w:val="__heading 1"/>
    <w:basedOn w:val="Normal"/>
    <w:rsid w:val="00AB22FA"/>
    <w:pPr>
      <w:jc w:val="center"/>
    </w:pPr>
    <w:rPr>
      <w:rFonts w:cs="Arial"/>
      <w:b/>
      <w:color w:val="333399"/>
      <w:sz w:val="32"/>
      <w:szCs w:val="32"/>
      <w:lang w:eastAsia="en-AU"/>
    </w:rPr>
  </w:style>
  <w:style w:type="character" w:styleId="Hyperlink">
    <w:name w:val="Hyperlink"/>
    <w:basedOn w:val="DefaultParagraphFont"/>
    <w:uiPriority w:val="99"/>
    <w:rsid w:val="00CF5494"/>
    <w:rPr>
      <w:rFonts w:cs="Times New Roman"/>
      <w:color w:val="0000FF"/>
      <w:u w:val="single"/>
    </w:rPr>
  </w:style>
  <w:style w:type="paragraph" w:customStyle="1" w:styleId="Tableheading">
    <w:name w:val="Table heading"/>
    <w:basedOn w:val="Normal"/>
    <w:rsid w:val="007F1A58"/>
    <w:pPr>
      <w:spacing w:before="60" w:after="120"/>
    </w:pPr>
    <w:rPr>
      <w:rFonts w:ascii="Book Antiqua" w:hAnsi="Book Antiqua"/>
      <w:b/>
    </w:rPr>
  </w:style>
  <w:style w:type="paragraph" w:styleId="Header">
    <w:name w:val="header"/>
    <w:basedOn w:val="Normal"/>
    <w:link w:val="Head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CF5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7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674C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674CA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68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E5F33"/>
    <w:rPr>
      <w:rFonts w:cs="Times New Roman"/>
      <w:color w:val="800080"/>
      <w:u w:val="single"/>
    </w:rPr>
  </w:style>
  <w:style w:type="character" w:customStyle="1" w:styleId="EmailStyle251">
    <w:name w:val="EmailStyle251"/>
    <w:basedOn w:val="DefaultParagraphFont"/>
    <w:semiHidden/>
    <w:rsid w:val="00A2191C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01E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42254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2549"/>
    <w:rPr>
      <w:rFonts w:ascii="Arial" w:hAnsi="Arial" w:cs="Times New Roman"/>
      <w:lang w:val="x-none" w:eastAsia="en-US"/>
    </w:rPr>
  </w:style>
  <w:style w:type="character" w:styleId="EndnoteReference">
    <w:name w:val="endnote reference"/>
    <w:basedOn w:val="DefaultParagraphFont"/>
    <w:uiPriority w:val="99"/>
    <w:rsid w:val="00422549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9064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0645C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rsid w:val="005850B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">
    <w:name w:val="__footnote"/>
    <w:basedOn w:val="Normal"/>
    <w:uiPriority w:val="99"/>
    <w:rsid w:val="00E0136C"/>
    <w:pPr>
      <w:spacing w:line="180" w:lineRule="exact"/>
    </w:pPr>
    <w:rPr>
      <w:rFonts w:cs="Arial"/>
      <w:sz w:val="12"/>
      <w:szCs w:val="12"/>
      <w:lang w:eastAsia="en-AU"/>
    </w:rPr>
  </w:style>
  <w:style w:type="character" w:customStyle="1" w:styleId="short-url">
    <w:name w:val="short-url"/>
    <w:basedOn w:val="DefaultParagraphFont"/>
    <w:rsid w:val="007E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nternationaleducation.gov.au/research/research-snapshots/pages/default.aspx" TargetMode="External"/><Relationship Id="rId2" Type="http://schemas.openxmlformats.org/officeDocument/2006/relationships/hyperlink" Target="mailto:IEResearch@education.gov.au." TargetMode="External"/><Relationship Id="rId1" Type="http://schemas.openxmlformats.org/officeDocument/2006/relationships/hyperlink" Target="http://www.englishaustralia.com.au/visagefiles/1471404941-2015ExecutiveSummary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0AA97F9017A4288665729A97B1723" ma:contentTypeVersion="2" ma:contentTypeDescription="Create a new document." ma:contentTypeScope="" ma:versionID="2955017ab084fe0229d9de7084fe793a">
  <xsd:schema xmlns:xsd="http://www.w3.org/2001/XMLSchema" xmlns:xs="http://www.w3.org/2001/XMLSchema" xmlns:p="http://schemas.microsoft.com/office/2006/metadata/properties" xmlns:ns1="http://schemas.microsoft.com/sharepoint/v3" xmlns:ns2="3d08765e-ed01-46d2-8c42-9360717a49b5" targetNamespace="http://schemas.microsoft.com/office/2006/metadata/properties" ma:root="true" ma:fieldsID="9ff8b2dce9ac55920f923a13febf9c66" ns1:_="" ns2:_="">
    <xsd:import namespace="http://schemas.microsoft.com/sharepoint/v3"/>
    <xsd:import namespace="3d08765e-ed01-46d2-8c42-9360717a49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8765e-ed01-46d2-8c42-9360717a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FB5023-25E8-4F7F-977F-67461F1FF441}"/>
</file>

<file path=customXml/itemProps2.xml><?xml version="1.0" encoding="utf-8"?>
<ds:datastoreItem xmlns:ds="http://schemas.openxmlformats.org/officeDocument/2006/customXml" ds:itemID="{057F538C-0C25-454A-9676-6DCB93676FE7}"/>
</file>

<file path=customXml/itemProps3.xml><?xml version="1.0" encoding="utf-8"?>
<ds:datastoreItem xmlns:ds="http://schemas.openxmlformats.org/officeDocument/2006/customXml" ds:itemID="{EEBFF6AE-020A-4E58-A221-F8BBC34C85E9}"/>
</file>

<file path=customXml/itemProps4.xml><?xml version="1.0" encoding="utf-8"?>
<ds:datastoreItem xmlns:ds="http://schemas.openxmlformats.org/officeDocument/2006/customXml" ds:itemID="{FCA2D8BA-58AE-4FA0-880C-B2FBECF34D1C}"/>
</file>

<file path=docProps/app.xml><?xml version="1.0" encoding="utf-8"?>
<Properties xmlns="http://schemas.openxmlformats.org/officeDocument/2006/extended-properties" xmlns:vt="http://schemas.openxmlformats.org/officeDocument/2006/docPropsVTypes">
  <Template>7C05C275.dotm</Template>
  <TotalTime>2096</TotalTime>
  <Pages>1</Pages>
  <Words>579</Words>
  <Characters>2930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Student Snapshot</vt:lpstr>
    </vt:vector>
  </TitlesOfParts>
  <Company>DEEWR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Student Snapshot</dc:title>
  <dc:creator>CI2200</dc:creator>
  <cp:lastModifiedBy>Sarab Basrai</cp:lastModifiedBy>
  <cp:revision>62</cp:revision>
  <cp:lastPrinted>2016-09-06T01:27:00Z</cp:lastPrinted>
  <dcterms:created xsi:type="dcterms:W3CDTF">2015-07-30T07:38:00Z</dcterms:created>
  <dcterms:modified xsi:type="dcterms:W3CDTF">2016-12-14T22:24:00Z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0x010100D600AA97F9017A4288665729A97B1723</vt:lpwstr>
  </property>
  <property fmtid="{D5CDD505-2E9C-101B-9397-08002B2CF9AE}" pid="7" name="Order">
    <vt:r8>23600</vt:r8>
  </property>
  <property fmtid="{D5CDD505-2E9C-101B-9397-08002B2CF9AE}" pid="8" name="xd_ProgID">
    <vt:lpwstr/>
  </property>
  <property fmtid="{D5CDD505-2E9C-101B-9397-08002B2CF9AE}" pid="9" name="_SharedFileIndex">
    <vt:lpwstr/>
  </property>
  <property fmtid="{D5CDD505-2E9C-101B-9397-08002B2CF9AE}" pid="10" name="_SourceUrl">
    <vt:lpwstr/>
  </property>
  <property fmtid="{D5CDD505-2E9C-101B-9397-08002B2CF9AE}" pid="11" name="TemplateUrl">
    <vt:lpwstr/>
  </property>
</Properties>
</file>