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BBCB" w14:textId="326060E0" w:rsidR="00382AA2" w:rsidRPr="00382AA2" w:rsidRDefault="00382AA2" w:rsidP="00382AA2">
      <w:pPr>
        <w:spacing w:before="240" w:after="40" w:line="240" w:lineRule="auto"/>
        <w:jc w:val="right"/>
        <w:rPr>
          <w:rFonts w:asciiTheme="majorHAnsi" w:hAnsiTheme="majorHAnsi" w:cstheme="majorHAnsi"/>
          <w:b/>
          <w:caps/>
          <w:color w:val="1F4E79" w:themeColor="accent1" w:themeShade="80"/>
          <w:sz w:val="72"/>
          <w:szCs w:val="72"/>
        </w:rPr>
      </w:pPr>
      <w:bookmarkStart w:id="0" w:name="_Toc527540997"/>
      <w:bookmarkStart w:id="1" w:name="_Toc527541152"/>
      <w:bookmarkStart w:id="2" w:name="_Toc527543842"/>
      <w:r w:rsidRPr="00382AA2">
        <w:rPr>
          <w:rFonts w:asciiTheme="majorHAnsi" w:hAnsiTheme="majorHAnsi" w:cstheme="majorHAnsi"/>
          <w:b/>
          <w:caps/>
          <w:color w:val="1F4E79" w:themeColor="accent1" w:themeShade="80"/>
          <w:sz w:val="72"/>
          <w:szCs w:val="72"/>
        </w:rPr>
        <w:t>Council for International Education</w:t>
      </w:r>
    </w:p>
    <w:p w14:paraId="6D8A1A86" w14:textId="1CCDB63B" w:rsidR="008F5BDB" w:rsidRPr="00382AA2" w:rsidRDefault="005249E3" w:rsidP="00382AA2">
      <w:pPr>
        <w:spacing w:after="40" w:line="240" w:lineRule="auto"/>
        <w:jc w:val="right"/>
        <w:rPr>
          <w:rFonts w:asciiTheme="majorHAnsi" w:hAnsiTheme="majorHAnsi" w:cstheme="majorHAnsi"/>
          <w:b/>
          <w:color w:val="1F4E79" w:themeColor="accent1" w:themeShade="80"/>
          <w:sz w:val="96"/>
          <w:szCs w:val="72"/>
        </w:rPr>
      </w:pPr>
      <w:r w:rsidRPr="00382AA2">
        <w:rPr>
          <w:rFonts w:asciiTheme="majorHAnsi" w:hAnsiTheme="majorHAnsi" w:cstheme="majorHAnsi"/>
          <w:b/>
          <w:color w:val="1F4E79" w:themeColor="accent1" w:themeShade="80"/>
          <w:sz w:val="56"/>
          <w:szCs w:val="72"/>
        </w:rPr>
        <w:t>201</w:t>
      </w:r>
      <w:r w:rsidR="000E2EA6" w:rsidRPr="00382AA2">
        <w:rPr>
          <w:rFonts w:asciiTheme="majorHAnsi" w:hAnsiTheme="majorHAnsi" w:cstheme="majorHAnsi"/>
          <w:b/>
          <w:color w:val="1F4E79" w:themeColor="accent1" w:themeShade="80"/>
          <w:sz w:val="56"/>
          <w:szCs w:val="72"/>
        </w:rPr>
        <w:t>8 Report to the Prime Minister</w:t>
      </w:r>
      <w:bookmarkEnd w:id="0"/>
      <w:bookmarkEnd w:id="1"/>
      <w:bookmarkEnd w:id="2"/>
    </w:p>
    <w:p w14:paraId="3A361029" w14:textId="77777777" w:rsidR="00C3057C" w:rsidRPr="00382AA2" w:rsidRDefault="00C3057C" w:rsidP="00382AA2">
      <w:pPr>
        <w:spacing w:after="0" w:line="240" w:lineRule="auto"/>
        <w:rPr>
          <w:rFonts w:asciiTheme="majorHAnsi" w:hAnsiTheme="majorHAnsi" w:cstheme="majorHAnsi"/>
          <w:color w:val="1F4E79" w:themeColor="accent1" w:themeShade="80"/>
          <w:sz w:val="28"/>
          <w:szCs w:val="32"/>
        </w:rPr>
        <w:sectPr w:rsidR="00C3057C" w:rsidRPr="00382AA2" w:rsidSect="00DC44F6">
          <w:headerReference w:type="default" r:id="rId8"/>
          <w:footerReference w:type="default" r:id="rId9"/>
          <w:pgSz w:w="12240" w:h="15840"/>
          <w:pgMar w:top="1134" w:right="1134" w:bottom="1134" w:left="1134" w:header="709" w:footer="709" w:gutter="0"/>
          <w:cols w:space="708"/>
          <w:docGrid w:linePitch="360"/>
        </w:sectPr>
      </w:pPr>
    </w:p>
    <w:p w14:paraId="4716BB7A" w14:textId="77777777" w:rsidR="00C3057C" w:rsidRPr="009610A8" w:rsidRDefault="00C3057C" w:rsidP="00C3057C">
      <w:pPr>
        <w:spacing w:before="360" w:after="0" w:line="240" w:lineRule="auto"/>
        <w:rPr>
          <w:rFonts w:asciiTheme="majorHAnsi" w:hAnsiTheme="majorHAnsi" w:cstheme="majorHAnsi"/>
          <w:color w:val="1F4E79" w:themeColor="accent1" w:themeShade="80"/>
          <w:sz w:val="28"/>
          <w:szCs w:val="32"/>
        </w:rPr>
      </w:pPr>
      <w:r w:rsidRPr="009610A8">
        <w:rPr>
          <w:rFonts w:asciiTheme="majorHAnsi" w:hAnsiTheme="majorHAnsi" w:cstheme="majorHAnsi"/>
          <w:color w:val="1F4E79" w:themeColor="accent1" w:themeShade="80"/>
          <w:sz w:val="28"/>
          <w:szCs w:val="32"/>
        </w:rPr>
        <w:t>Ministerial Members</w:t>
      </w:r>
    </w:p>
    <w:p w14:paraId="4E231534" w14:textId="77777777" w:rsidR="00C3057C" w:rsidRPr="009610A8" w:rsidRDefault="00C3057C" w:rsidP="00AA644F">
      <w:pPr>
        <w:spacing w:after="120" w:line="240" w:lineRule="auto"/>
        <w:rPr>
          <w:szCs w:val="24"/>
        </w:rPr>
      </w:pPr>
      <w:r w:rsidRPr="009610A8">
        <w:rPr>
          <w:szCs w:val="24"/>
        </w:rPr>
        <w:t>The Hon Dan Tehan MP, Minister for Education (Chair)</w:t>
      </w:r>
    </w:p>
    <w:p w14:paraId="32F15C95" w14:textId="77777777" w:rsidR="00C3057C" w:rsidRPr="009610A8" w:rsidRDefault="00C3057C" w:rsidP="00AA644F">
      <w:pPr>
        <w:spacing w:after="120" w:line="240" w:lineRule="auto"/>
        <w:rPr>
          <w:szCs w:val="24"/>
        </w:rPr>
      </w:pPr>
      <w:r w:rsidRPr="009610A8">
        <w:rPr>
          <w:szCs w:val="24"/>
        </w:rPr>
        <w:t>Senator the Hon Marise Payne, Minister for Foreign Affairs</w:t>
      </w:r>
    </w:p>
    <w:p w14:paraId="7079A129" w14:textId="77777777" w:rsidR="00C3057C" w:rsidRPr="009610A8" w:rsidRDefault="00C3057C" w:rsidP="00AA644F">
      <w:pPr>
        <w:spacing w:after="120" w:line="240" w:lineRule="auto"/>
        <w:rPr>
          <w:szCs w:val="24"/>
        </w:rPr>
      </w:pPr>
      <w:r w:rsidRPr="009610A8">
        <w:rPr>
          <w:szCs w:val="24"/>
        </w:rPr>
        <w:t>Senator the Hon Simon Birmingham, Minister for Trade, Tourism and Investment</w:t>
      </w:r>
    </w:p>
    <w:p w14:paraId="0528845B" w14:textId="77777777" w:rsidR="00C3057C" w:rsidRPr="009610A8" w:rsidRDefault="00C3057C" w:rsidP="00AA644F">
      <w:pPr>
        <w:spacing w:after="120" w:line="240" w:lineRule="auto"/>
        <w:rPr>
          <w:szCs w:val="24"/>
        </w:rPr>
      </w:pPr>
      <w:r w:rsidRPr="009610A8">
        <w:rPr>
          <w:szCs w:val="24"/>
        </w:rPr>
        <w:t xml:space="preserve">The Hon </w:t>
      </w:r>
      <w:r w:rsidR="003B49F9" w:rsidRPr="009610A8">
        <w:rPr>
          <w:szCs w:val="24"/>
        </w:rPr>
        <w:t>David Coleman</w:t>
      </w:r>
      <w:r w:rsidRPr="009610A8">
        <w:rPr>
          <w:szCs w:val="24"/>
        </w:rPr>
        <w:t xml:space="preserve"> MP, Minister for </w:t>
      </w:r>
      <w:r w:rsidR="003B49F9" w:rsidRPr="009610A8">
        <w:rPr>
          <w:szCs w:val="24"/>
        </w:rPr>
        <w:t>Immigration, Citizenship and Multicultural Affairs</w:t>
      </w:r>
    </w:p>
    <w:p w14:paraId="7E6A3E3E" w14:textId="77777777" w:rsidR="00C3057C" w:rsidRPr="009610A8" w:rsidRDefault="00C3057C" w:rsidP="00AA644F">
      <w:pPr>
        <w:spacing w:after="120" w:line="240" w:lineRule="auto"/>
        <w:rPr>
          <w:szCs w:val="24"/>
        </w:rPr>
      </w:pPr>
      <w:r w:rsidRPr="009610A8">
        <w:rPr>
          <w:szCs w:val="24"/>
        </w:rPr>
        <w:t>Senator the Hon Michaelia Cash, Minister for Small Business and Family Business, Skills and Vocational Education</w:t>
      </w:r>
    </w:p>
    <w:p w14:paraId="4CE2D0A6" w14:textId="77777777" w:rsidR="00C3057C" w:rsidRPr="009610A8" w:rsidRDefault="00C3057C" w:rsidP="00AA644F">
      <w:pPr>
        <w:spacing w:after="120" w:line="240" w:lineRule="auto"/>
        <w:rPr>
          <w:szCs w:val="24"/>
        </w:rPr>
      </w:pPr>
      <w:r w:rsidRPr="009610A8">
        <w:rPr>
          <w:szCs w:val="24"/>
        </w:rPr>
        <w:t>The Hon Karen Andrews MP, Minister for Industry, Science and Technology</w:t>
      </w:r>
    </w:p>
    <w:p w14:paraId="346B6186" w14:textId="77777777" w:rsidR="00C3057C" w:rsidRPr="009610A8" w:rsidRDefault="00C3057C" w:rsidP="00C3057C">
      <w:pPr>
        <w:spacing w:before="360" w:after="0" w:line="240" w:lineRule="auto"/>
        <w:rPr>
          <w:rFonts w:asciiTheme="majorHAnsi" w:hAnsiTheme="majorHAnsi" w:cstheme="majorHAnsi"/>
          <w:color w:val="1F4E79" w:themeColor="accent1" w:themeShade="80"/>
          <w:sz w:val="28"/>
          <w:szCs w:val="32"/>
        </w:rPr>
      </w:pPr>
    </w:p>
    <w:p w14:paraId="168916C4" w14:textId="77777777" w:rsidR="00C3057C" w:rsidRPr="009610A8" w:rsidRDefault="00C3057C" w:rsidP="00C3057C">
      <w:pPr>
        <w:spacing w:before="360" w:after="0" w:line="240" w:lineRule="auto"/>
        <w:rPr>
          <w:rFonts w:asciiTheme="majorHAnsi" w:hAnsiTheme="majorHAnsi" w:cstheme="majorHAnsi"/>
          <w:color w:val="1F4E79" w:themeColor="accent1" w:themeShade="80"/>
          <w:sz w:val="28"/>
          <w:szCs w:val="32"/>
        </w:rPr>
      </w:pPr>
    </w:p>
    <w:p w14:paraId="243B22D0" w14:textId="07C86748" w:rsidR="00C3057C" w:rsidRDefault="00C3057C" w:rsidP="00C3057C">
      <w:pPr>
        <w:spacing w:before="360" w:after="0" w:line="240" w:lineRule="auto"/>
        <w:rPr>
          <w:rFonts w:asciiTheme="majorHAnsi" w:hAnsiTheme="majorHAnsi" w:cstheme="majorHAnsi"/>
          <w:color w:val="1F4E79" w:themeColor="accent1" w:themeShade="80"/>
          <w:sz w:val="28"/>
          <w:szCs w:val="32"/>
        </w:rPr>
      </w:pPr>
    </w:p>
    <w:p w14:paraId="2E2EDCB8" w14:textId="77777777" w:rsidR="00382AA2" w:rsidRPr="009610A8" w:rsidRDefault="00382AA2" w:rsidP="00C3057C">
      <w:pPr>
        <w:spacing w:before="360" w:after="0" w:line="240" w:lineRule="auto"/>
        <w:rPr>
          <w:rFonts w:asciiTheme="majorHAnsi" w:hAnsiTheme="majorHAnsi" w:cstheme="majorHAnsi"/>
          <w:color w:val="1F4E79" w:themeColor="accent1" w:themeShade="80"/>
          <w:sz w:val="28"/>
          <w:szCs w:val="32"/>
        </w:rPr>
      </w:pPr>
    </w:p>
    <w:p w14:paraId="79E73507" w14:textId="77777777" w:rsidR="00C3057C" w:rsidRPr="009610A8" w:rsidRDefault="00C3057C" w:rsidP="00C3057C">
      <w:pPr>
        <w:spacing w:before="360" w:after="0" w:line="240" w:lineRule="auto"/>
        <w:rPr>
          <w:rFonts w:asciiTheme="majorHAnsi" w:hAnsiTheme="majorHAnsi" w:cstheme="majorHAnsi"/>
          <w:color w:val="1F4E79" w:themeColor="accent1" w:themeShade="80"/>
          <w:sz w:val="28"/>
          <w:szCs w:val="32"/>
        </w:rPr>
      </w:pPr>
      <w:r w:rsidRPr="009610A8">
        <w:rPr>
          <w:rFonts w:asciiTheme="majorHAnsi" w:hAnsiTheme="majorHAnsi" w:cstheme="majorHAnsi"/>
          <w:color w:val="1F4E79" w:themeColor="accent1" w:themeShade="80"/>
          <w:sz w:val="28"/>
          <w:szCs w:val="32"/>
        </w:rPr>
        <w:t>Expert Members</w:t>
      </w:r>
    </w:p>
    <w:p w14:paraId="35EA5012" w14:textId="7DFA0711" w:rsidR="00C3057C" w:rsidRPr="009610A8" w:rsidRDefault="00C3057C" w:rsidP="00AA644F">
      <w:pPr>
        <w:spacing w:after="120" w:line="240" w:lineRule="auto"/>
        <w:rPr>
          <w:szCs w:val="24"/>
        </w:rPr>
      </w:pPr>
      <w:r w:rsidRPr="009610A8">
        <w:rPr>
          <w:szCs w:val="24"/>
        </w:rPr>
        <w:t>The Hon Phil Honeywood</w:t>
      </w:r>
      <w:r w:rsidR="00825EAC">
        <w:rPr>
          <w:szCs w:val="24"/>
        </w:rPr>
        <w:t>,</w:t>
      </w:r>
      <w:r w:rsidR="00081C87" w:rsidRPr="009610A8">
        <w:rPr>
          <w:szCs w:val="24"/>
        </w:rPr>
        <w:t xml:space="preserve"> </w:t>
      </w:r>
      <w:r w:rsidRPr="009610A8">
        <w:rPr>
          <w:szCs w:val="24"/>
        </w:rPr>
        <w:t>CEO, International Education Association of Australia</w:t>
      </w:r>
    </w:p>
    <w:p w14:paraId="790E8632" w14:textId="77777777" w:rsidR="00C3057C" w:rsidRPr="009610A8" w:rsidRDefault="00C3057C" w:rsidP="00AA644F">
      <w:pPr>
        <w:spacing w:after="120" w:line="240" w:lineRule="auto"/>
        <w:rPr>
          <w:szCs w:val="24"/>
        </w:rPr>
      </w:pPr>
      <w:r w:rsidRPr="009610A8">
        <w:rPr>
          <w:szCs w:val="24"/>
        </w:rPr>
        <w:t>Professor Kent Anderson, Deputy Vice-Chancellor (Community and Engagement), University of Western Australia</w:t>
      </w:r>
    </w:p>
    <w:p w14:paraId="3D3F2D31" w14:textId="77777777" w:rsidR="00C3057C" w:rsidRPr="009610A8" w:rsidRDefault="00C3057C" w:rsidP="00AA644F">
      <w:pPr>
        <w:spacing w:after="120" w:line="240" w:lineRule="auto"/>
        <w:rPr>
          <w:szCs w:val="24"/>
        </w:rPr>
      </w:pPr>
      <w:r w:rsidRPr="009610A8">
        <w:rPr>
          <w:szCs w:val="24"/>
        </w:rPr>
        <w:t>Brett Blacker, CEO, English Australia</w:t>
      </w:r>
    </w:p>
    <w:p w14:paraId="3BB5828C" w14:textId="77777777" w:rsidR="00C3057C" w:rsidRPr="009610A8" w:rsidRDefault="00C3057C" w:rsidP="00AA644F">
      <w:pPr>
        <w:spacing w:after="120" w:line="240" w:lineRule="auto"/>
        <w:rPr>
          <w:szCs w:val="24"/>
        </w:rPr>
      </w:pPr>
      <w:r w:rsidRPr="009610A8">
        <w:rPr>
          <w:szCs w:val="24"/>
        </w:rPr>
        <w:t>Tracey Horton AO, Non-Executive Chairman, Navitas</w:t>
      </w:r>
    </w:p>
    <w:p w14:paraId="3D5E1538" w14:textId="77777777" w:rsidR="00C3057C" w:rsidRPr="009610A8" w:rsidRDefault="00C3057C" w:rsidP="00AA644F">
      <w:pPr>
        <w:spacing w:after="120" w:line="240" w:lineRule="auto"/>
        <w:rPr>
          <w:szCs w:val="24"/>
        </w:rPr>
      </w:pPr>
      <w:r w:rsidRPr="009610A8">
        <w:rPr>
          <w:szCs w:val="24"/>
        </w:rPr>
        <w:t>Karyn Kent, CEO, StudyAdelaide</w:t>
      </w:r>
    </w:p>
    <w:p w14:paraId="5D60CF72" w14:textId="77777777" w:rsidR="00C3057C" w:rsidRPr="009610A8" w:rsidRDefault="00C3057C" w:rsidP="00AA644F">
      <w:pPr>
        <w:spacing w:after="120" w:line="240" w:lineRule="auto"/>
        <w:rPr>
          <w:szCs w:val="24"/>
        </w:rPr>
      </w:pPr>
      <w:r w:rsidRPr="009610A8">
        <w:rPr>
          <w:szCs w:val="24"/>
        </w:rPr>
        <w:t>Gerald Lipman, Chief Executive, International College of Hotel Management</w:t>
      </w:r>
    </w:p>
    <w:p w14:paraId="66033AE7" w14:textId="77777777" w:rsidR="00C3057C" w:rsidRPr="009610A8" w:rsidRDefault="00C3057C" w:rsidP="00AA644F">
      <w:pPr>
        <w:spacing w:after="120" w:line="240" w:lineRule="auto"/>
        <w:rPr>
          <w:szCs w:val="24"/>
        </w:rPr>
      </w:pPr>
      <w:r w:rsidRPr="009610A8">
        <w:rPr>
          <w:szCs w:val="24"/>
        </w:rPr>
        <w:t>David Riordan, Director of City Operations, City of Sydney</w:t>
      </w:r>
    </w:p>
    <w:p w14:paraId="24F79EBD" w14:textId="77777777" w:rsidR="00C3057C" w:rsidRPr="009610A8" w:rsidRDefault="00C3057C" w:rsidP="00AA644F">
      <w:pPr>
        <w:spacing w:after="120" w:line="240" w:lineRule="auto"/>
        <w:rPr>
          <w:szCs w:val="24"/>
        </w:rPr>
      </w:pPr>
      <w:r w:rsidRPr="009610A8">
        <w:rPr>
          <w:szCs w:val="24"/>
        </w:rPr>
        <w:t>Bijay Sapkota, President, Council for International Students Australia</w:t>
      </w:r>
    </w:p>
    <w:p w14:paraId="4A9184F0" w14:textId="77777777" w:rsidR="00C3057C" w:rsidRPr="009610A8" w:rsidRDefault="00C3057C" w:rsidP="00AA644F">
      <w:pPr>
        <w:spacing w:after="120" w:line="240" w:lineRule="auto"/>
        <w:rPr>
          <w:szCs w:val="24"/>
        </w:rPr>
      </w:pPr>
      <w:r w:rsidRPr="009610A8">
        <w:rPr>
          <w:szCs w:val="24"/>
        </w:rPr>
        <w:t>Derek Scott, Principal and CEO, Haileybury</w:t>
      </w:r>
    </w:p>
    <w:p w14:paraId="70046366" w14:textId="77777777" w:rsidR="00C3057C" w:rsidRPr="009610A8" w:rsidRDefault="00C3057C" w:rsidP="00C3057C">
      <w:pPr>
        <w:spacing w:before="360" w:after="0" w:line="240" w:lineRule="auto"/>
        <w:rPr>
          <w:rFonts w:asciiTheme="majorHAnsi" w:hAnsiTheme="majorHAnsi" w:cstheme="majorHAnsi"/>
          <w:color w:val="1F4E79" w:themeColor="accent1" w:themeShade="80"/>
          <w:sz w:val="28"/>
          <w:szCs w:val="32"/>
        </w:rPr>
      </w:pPr>
      <w:r w:rsidRPr="009610A8">
        <w:rPr>
          <w:rFonts w:asciiTheme="majorHAnsi" w:hAnsiTheme="majorHAnsi" w:cstheme="majorHAnsi"/>
          <w:color w:val="1F4E79" w:themeColor="accent1" w:themeShade="80"/>
          <w:sz w:val="28"/>
          <w:szCs w:val="32"/>
        </w:rPr>
        <w:t>Former Expert Members</w:t>
      </w:r>
    </w:p>
    <w:p w14:paraId="73662368" w14:textId="77777777" w:rsidR="00C3057C" w:rsidRPr="009610A8" w:rsidRDefault="00C3057C" w:rsidP="00AA644F">
      <w:pPr>
        <w:spacing w:after="120" w:line="240" w:lineRule="auto"/>
        <w:rPr>
          <w:szCs w:val="24"/>
        </w:rPr>
      </w:pPr>
      <w:r w:rsidRPr="009610A8">
        <w:rPr>
          <w:szCs w:val="24"/>
        </w:rPr>
        <w:t>Belinda Robinson, former CEO, Universities Australia</w:t>
      </w:r>
    </w:p>
    <w:p w14:paraId="30694797" w14:textId="3708675F" w:rsidR="00C3057C" w:rsidRPr="009610A8" w:rsidRDefault="00C3057C" w:rsidP="00AA644F">
      <w:pPr>
        <w:spacing w:after="120" w:line="240" w:lineRule="auto"/>
        <w:rPr>
          <w:szCs w:val="24"/>
        </w:rPr>
      </w:pPr>
      <w:r w:rsidRPr="009610A8">
        <w:rPr>
          <w:szCs w:val="24"/>
        </w:rPr>
        <w:t xml:space="preserve">Sue Freeman, </w:t>
      </w:r>
      <w:r w:rsidR="00081C87" w:rsidRPr="009610A8">
        <w:rPr>
          <w:szCs w:val="24"/>
        </w:rPr>
        <w:t>Director</w:t>
      </w:r>
      <w:r w:rsidRPr="009610A8">
        <w:rPr>
          <w:szCs w:val="24"/>
        </w:rPr>
        <w:t>, First Impressions Resource Group</w:t>
      </w:r>
    </w:p>
    <w:p w14:paraId="51EC3A9B" w14:textId="77777777" w:rsidR="00C3057C" w:rsidRPr="009610A8" w:rsidRDefault="00C3057C" w:rsidP="008F5BDB">
      <w:pPr>
        <w:spacing w:before="400" w:after="40" w:line="240" w:lineRule="auto"/>
        <w:jc w:val="right"/>
        <w:rPr>
          <w:rFonts w:asciiTheme="majorHAnsi" w:hAnsiTheme="majorHAnsi" w:cstheme="majorHAnsi"/>
          <w:color w:val="1F4E79" w:themeColor="accent1" w:themeShade="80"/>
          <w:sz w:val="56"/>
          <w:szCs w:val="60"/>
        </w:rPr>
        <w:sectPr w:rsidR="00C3057C" w:rsidRPr="009610A8" w:rsidSect="00AA644F">
          <w:type w:val="continuous"/>
          <w:pgSz w:w="12240" w:h="15840"/>
          <w:pgMar w:top="1134" w:right="758" w:bottom="1134" w:left="851" w:header="709" w:footer="709" w:gutter="0"/>
          <w:cols w:num="2" w:space="425"/>
          <w:docGrid w:linePitch="360"/>
        </w:sectPr>
      </w:pPr>
    </w:p>
    <w:p w14:paraId="2E07777B" w14:textId="5A70CD22" w:rsidR="00406F4A" w:rsidRPr="00382AA2" w:rsidRDefault="00406F4A" w:rsidP="00382AA2">
      <w:pPr>
        <w:rPr>
          <w:rFonts w:asciiTheme="majorHAnsi" w:hAnsiTheme="majorHAnsi" w:cstheme="majorHAnsi"/>
          <w:sz w:val="56"/>
          <w:szCs w:val="72"/>
        </w:rPr>
        <w:sectPr w:rsidR="00406F4A" w:rsidRPr="00382AA2" w:rsidSect="00C3057C">
          <w:type w:val="continuous"/>
          <w:pgSz w:w="12240" w:h="15840"/>
          <w:pgMar w:top="1134" w:right="1134" w:bottom="1134" w:left="1134" w:header="709" w:footer="709" w:gutter="0"/>
          <w:cols w:space="708"/>
          <w:docGrid w:linePitch="360"/>
        </w:sectPr>
      </w:pPr>
    </w:p>
    <w:p w14:paraId="50E477D0" w14:textId="77777777" w:rsidR="000E2EA6" w:rsidRPr="009610A8" w:rsidRDefault="00391275" w:rsidP="00D55D82">
      <w:pPr>
        <w:spacing w:before="360" w:after="120" w:line="240" w:lineRule="auto"/>
        <w:rPr>
          <w:rFonts w:asciiTheme="majorHAnsi" w:hAnsiTheme="majorHAnsi" w:cstheme="majorHAnsi"/>
          <w:color w:val="1F4E79" w:themeColor="accent1" w:themeShade="80"/>
          <w:sz w:val="32"/>
          <w:szCs w:val="36"/>
        </w:rPr>
      </w:pPr>
      <w:r w:rsidRPr="009610A8">
        <w:rPr>
          <w:rFonts w:asciiTheme="majorHAnsi" w:hAnsiTheme="majorHAnsi" w:cstheme="majorHAnsi"/>
          <w:color w:val="1F4E79" w:themeColor="accent1" w:themeShade="80"/>
          <w:sz w:val="32"/>
          <w:szCs w:val="36"/>
        </w:rPr>
        <w:lastRenderedPageBreak/>
        <w:t>Executive Summary</w:t>
      </w:r>
    </w:p>
    <w:p w14:paraId="67D54A24" w14:textId="77777777" w:rsidR="000E2EA6" w:rsidRPr="009610A8" w:rsidRDefault="000E2EA6" w:rsidP="00CE47E1">
      <w:pPr>
        <w:spacing w:after="120" w:line="240" w:lineRule="auto"/>
        <w:rPr>
          <w:szCs w:val="24"/>
        </w:rPr>
      </w:pPr>
      <w:r w:rsidRPr="009610A8">
        <w:rPr>
          <w:szCs w:val="24"/>
        </w:rPr>
        <w:t xml:space="preserve">Australia’s international education sector is strong and growing, with many opportunities before it. </w:t>
      </w:r>
      <w:r w:rsidR="00685EF4" w:rsidRPr="009610A8">
        <w:rPr>
          <w:szCs w:val="24"/>
        </w:rPr>
        <w:t>Australia enjoys an</w:t>
      </w:r>
      <w:r w:rsidRPr="009610A8">
        <w:rPr>
          <w:szCs w:val="24"/>
        </w:rPr>
        <w:t xml:space="preserve"> exce</w:t>
      </w:r>
      <w:r w:rsidR="00685EF4" w:rsidRPr="009610A8">
        <w:rPr>
          <w:szCs w:val="24"/>
        </w:rPr>
        <w:t xml:space="preserve">llent global reputation, </w:t>
      </w:r>
      <w:r w:rsidR="00B63C8A" w:rsidRPr="009610A8">
        <w:rPr>
          <w:szCs w:val="24"/>
        </w:rPr>
        <w:t xml:space="preserve">and </w:t>
      </w:r>
      <w:r w:rsidR="00685EF4" w:rsidRPr="009610A8">
        <w:rPr>
          <w:szCs w:val="24"/>
        </w:rPr>
        <w:t>the</w:t>
      </w:r>
      <w:r w:rsidRPr="009610A8">
        <w:rPr>
          <w:szCs w:val="24"/>
        </w:rPr>
        <w:t xml:space="preserve"> vast majority of international students who study here are satisfied or very satisfied with their experience learning and living in Australia. The economic, social and diplomatic benefits from this </w:t>
      </w:r>
      <w:r w:rsidR="00B63C8A" w:rsidRPr="009610A8">
        <w:rPr>
          <w:szCs w:val="24"/>
        </w:rPr>
        <w:t xml:space="preserve">sector </w:t>
      </w:r>
      <w:r w:rsidRPr="009610A8">
        <w:rPr>
          <w:szCs w:val="24"/>
        </w:rPr>
        <w:t>are substantial.</w:t>
      </w:r>
    </w:p>
    <w:p w14:paraId="7C8A3046" w14:textId="5E6CF16F" w:rsidR="000E2EA6" w:rsidRPr="009610A8" w:rsidRDefault="000E2EA6" w:rsidP="00CE47E1">
      <w:pPr>
        <w:spacing w:after="120" w:line="240" w:lineRule="auto"/>
        <w:rPr>
          <w:szCs w:val="24"/>
        </w:rPr>
      </w:pPr>
      <w:r w:rsidRPr="009610A8">
        <w:rPr>
          <w:szCs w:val="24"/>
        </w:rPr>
        <w:t xml:space="preserve">Competition is getting tougher as more nations </w:t>
      </w:r>
      <w:r w:rsidR="00B63C8A" w:rsidRPr="009610A8">
        <w:rPr>
          <w:szCs w:val="24"/>
        </w:rPr>
        <w:t>see</w:t>
      </w:r>
      <w:r w:rsidR="00633C5E" w:rsidRPr="009610A8">
        <w:rPr>
          <w:szCs w:val="24"/>
        </w:rPr>
        <w:t>k</w:t>
      </w:r>
      <w:r w:rsidR="00B63C8A" w:rsidRPr="009610A8">
        <w:rPr>
          <w:szCs w:val="24"/>
        </w:rPr>
        <w:t xml:space="preserve"> to realise </w:t>
      </w:r>
      <w:r w:rsidRPr="009610A8">
        <w:rPr>
          <w:szCs w:val="24"/>
        </w:rPr>
        <w:t xml:space="preserve">the benefits of internationalised education. Australia cannot rest on its record. To maintain or improve </w:t>
      </w:r>
      <w:r w:rsidR="00E64D4F" w:rsidRPr="009610A8">
        <w:rPr>
          <w:szCs w:val="24"/>
        </w:rPr>
        <w:t>it</w:t>
      </w:r>
      <w:r w:rsidRPr="009610A8">
        <w:rPr>
          <w:szCs w:val="24"/>
        </w:rPr>
        <w:t xml:space="preserve">s enviable position, </w:t>
      </w:r>
      <w:r w:rsidR="000E52F1" w:rsidRPr="009610A8">
        <w:rPr>
          <w:szCs w:val="24"/>
        </w:rPr>
        <w:t>Australia</w:t>
      </w:r>
      <w:r w:rsidRPr="009610A8">
        <w:rPr>
          <w:szCs w:val="24"/>
        </w:rPr>
        <w:t xml:space="preserve"> must continue to offer international students</w:t>
      </w:r>
      <w:r w:rsidR="005B495D" w:rsidRPr="009610A8">
        <w:rPr>
          <w:szCs w:val="24"/>
        </w:rPr>
        <w:t xml:space="preserve"> </w:t>
      </w:r>
      <w:r w:rsidRPr="009610A8">
        <w:rPr>
          <w:szCs w:val="24"/>
        </w:rPr>
        <w:t xml:space="preserve">a welcoming life experience and a </w:t>
      </w:r>
      <w:r w:rsidR="002D3D29" w:rsidRPr="009610A8">
        <w:rPr>
          <w:szCs w:val="24"/>
        </w:rPr>
        <w:t xml:space="preserve">high </w:t>
      </w:r>
      <w:r w:rsidRPr="009610A8">
        <w:rPr>
          <w:szCs w:val="24"/>
        </w:rPr>
        <w:t>quality, value-for-money education that</w:t>
      </w:r>
      <w:r w:rsidR="005B495D" w:rsidRPr="009610A8">
        <w:rPr>
          <w:szCs w:val="24"/>
        </w:rPr>
        <w:t xml:space="preserve"> links to strong employment outcomes and improved career</w:t>
      </w:r>
      <w:r w:rsidRPr="009610A8">
        <w:rPr>
          <w:szCs w:val="24"/>
        </w:rPr>
        <w:t xml:space="preserve"> pr</w:t>
      </w:r>
      <w:r w:rsidR="005B495D" w:rsidRPr="009610A8">
        <w:rPr>
          <w:szCs w:val="24"/>
        </w:rPr>
        <w:t>ospects</w:t>
      </w:r>
      <w:r w:rsidR="007B01DC" w:rsidRPr="009610A8">
        <w:rPr>
          <w:szCs w:val="24"/>
        </w:rPr>
        <w:t xml:space="preserve">. Regardless of whether international students choose to commence their career in Australia, in their home country, or elsewhere in the world, </w:t>
      </w:r>
      <w:r w:rsidR="001C3C60" w:rsidRPr="009610A8">
        <w:rPr>
          <w:szCs w:val="24"/>
        </w:rPr>
        <w:t xml:space="preserve">an Australian education </w:t>
      </w:r>
      <w:r w:rsidR="007B01DC" w:rsidRPr="009610A8">
        <w:rPr>
          <w:szCs w:val="24"/>
        </w:rPr>
        <w:t>provide</w:t>
      </w:r>
      <w:r w:rsidR="001C3C60" w:rsidRPr="009610A8">
        <w:rPr>
          <w:szCs w:val="24"/>
        </w:rPr>
        <w:t>s</w:t>
      </w:r>
      <w:r w:rsidR="007B01DC" w:rsidRPr="009610A8">
        <w:rPr>
          <w:szCs w:val="24"/>
        </w:rPr>
        <w:t xml:space="preserve"> a global passport to career opportunity</w:t>
      </w:r>
      <w:r w:rsidRPr="009610A8">
        <w:rPr>
          <w:szCs w:val="24"/>
        </w:rPr>
        <w:t xml:space="preserve">. The established </w:t>
      </w:r>
      <w:r w:rsidR="002D2E1A" w:rsidRPr="009610A8">
        <w:rPr>
          <w:szCs w:val="24"/>
        </w:rPr>
        <w:t xml:space="preserve">partners </w:t>
      </w:r>
      <w:r w:rsidRPr="009610A8">
        <w:rPr>
          <w:szCs w:val="24"/>
        </w:rPr>
        <w:t xml:space="preserve">of China and India continue to offer opportunities for growth, but Australia needs to forge relationships now that will open up future </w:t>
      </w:r>
      <w:r w:rsidR="002D2E1A" w:rsidRPr="009610A8">
        <w:rPr>
          <w:szCs w:val="24"/>
        </w:rPr>
        <w:t xml:space="preserve">opportunities </w:t>
      </w:r>
      <w:r w:rsidR="00443D7B" w:rsidRPr="009610A8">
        <w:rPr>
          <w:szCs w:val="24"/>
        </w:rPr>
        <w:t>to ensure a strong outlook for 2025 and beyond</w:t>
      </w:r>
      <w:r w:rsidRPr="009610A8">
        <w:rPr>
          <w:szCs w:val="24"/>
        </w:rPr>
        <w:t>.</w:t>
      </w:r>
      <w:r w:rsidR="004640EB" w:rsidRPr="009610A8">
        <w:rPr>
          <w:szCs w:val="24"/>
        </w:rPr>
        <w:t xml:space="preserve"> Similarly, Australia’s domestic students engaging internationally remains a key element in preparing our future workforce. </w:t>
      </w:r>
    </w:p>
    <w:p w14:paraId="5C6AEE88" w14:textId="77777777" w:rsidR="002F76BD" w:rsidRPr="009610A8" w:rsidRDefault="00443D7B" w:rsidP="00CE47E1">
      <w:pPr>
        <w:spacing w:after="120" w:line="240" w:lineRule="auto"/>
        <w:rPr>
          <w:szCs w:val="24"/>
        </w:rPr>
      </w:pPr>
      <w:r w:rsidRPr="009610A8">
        <w:rPr>
          <w:szCs w:val="24"/>
        </w:rPr>
        <w:t>Much groundwork has been laid s</w:t>
      </w:r>
      <w:r w:rsidR="000E2EA6" w:rsidRPr="009610A8">
        <w:rPr>
          <w:szCs w:val="24"/>
        </w:rPr>
        <w:t>ince the</w:t>
      </w:r>
      <w:r w:rsidR="002D3D29" w:rsidRPr="009610A8">
        <w:rPr>
          <w:szCs w:val="24"/>
        </w:rPr>
        <w:t xml:space="preserve"> launch of the</w:t>
      </w:r>
      <w:r w:rsidR="000E2EA6" w:rsidRPr="009610A8">
        <w:rPr>
          <w:szCs w:val="24"/>
        </w:rPr>
        <w:t xml:space="preserve"> </w:t>
      </w:r>
      <w:r w:rsidR="002D3D29" w:rsidRPr="009610A8">
        <w:rPr>
          <w:i/>
          <w:szCs w:val="24"/>
        </w:rPr>
        <w:t>National Strategy for International Education</w:t>
      </w:r>
      <w:r w:rsidR="005B495D" w:rsidRPr="009610A8">
        <w:rPr>
          <w:i/>
          <w:szCs w:val="24"/>
        </w:rPr>
        <w:t xml:space="preserve"> 202</w:t>
      </w:r>
      <w:r w:rsidR="002D3D29" w:rsidRPr="009610A8">
        <w:rPr>
          <w:i/>
          <w:szCs w:val="24"/>
        </w:rPr>
        <w:t>5</w:t>
      </w:r>
      <w:r w:rsidR="002D3D29" w:rsidRPr="009610A8">
        <w:rPr>
          <w:szCs w:val="24"/>
        </w:rPr>
        <w:t xml:space="preserve"> (the </w:t>
      </w:r>
      <w:r w:rsidR="000E2EA6" w:rsidRPr="009610A8">
        <w:rPr>
          <w:szCs w:val="24"/>
        </w:rPr>
        <w:t>Strategy</w:t>
      </w:r>
      <w:r w:rsidR="002D3D29" w:rsidRPr="009610A8">
        <w:rPr>
          <w:szCs w:val="24"/>
        </w:rPr>
        <w:t>)</w:t>
      </w:r>
      <w:r w:rsidR="00AD6935" w:rsidRPr="009610A8">
        <w:rPr>
          <w:rFonts w:ascii="Calibri" w:eastAsia="DengXian" w:hAnsi="Calibri" w:cs="Times New Roman"/>
          <w:szCs w:val="24"/>
        </w:rPr>
        <w:t xml:space="preserve"> and the complementary market development roadmap </w:t>
      </w:r>
      <w:r w:rsidR="00AD6935" w:rsidRPr="009610A8">
        <w:rPr>
          <w:rFonts w:ascii="Calibri" w:eastAsia="DengXian" w:hAnsi="Calibri" w:cs="Times New Roman"/>
          <w:i/>
          <w:szCs w:val="24"/>
        </w:rPr>
        <w:t>Australian International Education 2025</w:t>
      </w:r>
      <w:r w:rsidR="00AD6935" w:rsidRPr="009610A8">
        <w:rPr>
          <w:rFonts w:ascii="Calibri" w:eastAsia="DengXian" w:hAnsi="Calibri" w:cs="Times New Roman"/>
          <w:szCs w:val="24"/>
        </w:rPr>
        <w:t xml:space="preserve"> </w:t>
      </w:r>
      <w:r w:rsidR="00F22A4E" w:rsidRPr="009610A8">
        <w:rPr>
          <w:szCs w:val="24"/>
        </w:rPr>
        <w:t>in</w:t>
      </w:r>
      <w:r w:rsidR="000E2EA6" w:rsidRPr="009610A8">
        <w:rPr>
          <w:szCs w:val="24"/>
        </w:rPr>
        <w:t xml:space="preserve"> 2016. </w:t>
      </w:r>
      <w:r w:rsidR="008F0FF1" w:rsidRPr="009610A8">
        <w:rPr>
          <w:szCs w:val="24"/>
        </w:rPr>
        <w:t>Since 2016,</w:t>
      </w:r>
      <w:r w:rsidR="000E2EA6" w:rsidRPr="009610A8">
        <w:rPr>
          <w:szCs w:val="24"/>
        </w:rPr>
        <w:t xml:space="preserve"> </w:t>
      </w:r>
      <w:r w:rsidR="002D3D29" w:rsidRPr="009610A8">
        <w:rPr>
          <w:szCs w:val="24"/>
        </w:rPr>
        <w:t xml:space="preserve">the Council for International Education (the Council) </w:t>
      </w:r>
      <w:r w:rsidR="005B495D" w:rsidRPr="009610A8">
        <w:rPr>
          <w:szCs w:val="24"/>
        </w:rPr>
        <w:t>has</w:t>
      </w:r>
      <w:r w:rsidR="000E2EA6" w:rsidRPr="009610A8">
        <w:rPr>
          <w:szCs w:val="24"/>
        </w:rPr>
        <w:t xml:space="preserve"> strengthened relationships and found new ways to work together</w:t>
      </w:r>
      <w:r w:rsidRPr="009610A8">
        <w:rPr>
          <w:szCs w:val="24"/>
        </w:rPr>
        <w:t xml:space="preserve"> across the sector and government</w:t>
      </w:r>
      <w:r w:rsidR="000E2EA6" w:rsidRPr="009610A8">
        <w:rPr>
          <w:szCs w:val="24"/>
        </w:rPr>
        <w:t xml:space="preserve">. </w:t>
      </w:r>
      <w:r w:rsidR="002D3D29" w:rsidRPr="009610A8">
        <w:rPr>
          <w:szCs w:val="24"/>
        </w:rPr>
        <w:t>Rather than</w:t>
      </w:r>
      <w:r w:rsidR="000E2EA6" w:rsidRPr="009610A8">
        <w:rPr>
          <w:szCs w:val="24"/>
        </w:rPr>
        <w:t xml:space="preserve"> </w:t>
      </w:r>
      <w:r w:rsidR="002D3D29" w:rsidRPr="009610A8">
        <w:rPr>
          <w:szCs w:val="24"/>
        </w:rPr>
        <w:t>converge</w:t>
      </w:r>
      <w:r w:rsidR="000E2EA6" w:rsidRPr="009610A8">
        <w:rPr>
          <w:szCs w:val="24"/>
        </w:rPr>
        <w:t xml:space="preserve"> around</w:t>
      </w:r>
      <w:r w:rsidR="00E64D4F" w:rsidRPr="009610A8">
        <w:rPr>
          <w:szCs w:val="24"/>
        </w:rPr>
        <w:t xml:space="preserve"> stand-alone</w:t>
      </w:r>
      <w:r w:rsidR="000E2EA6" w:rsidRPr="009610A8">
        <w:rPr>
          <w:szCs w:val="24"/>
        </w:rPr>
        <w:t xml:space="preserve"> issu</w:t>
      </w:r>
      <w:r w:rsidR="005B495D" w:rsidRPr="009610A8">
        <w:rPr>
          <w:szCs w:val="24"/>
        </w:rPr>
        <w:t>es and</w:t>
      </w:r>
      <w:r w:rsidR="000E2EA6" w:rsidRPr="009610A8">
        <w:rPr>
          <w:szCs w:val="24"/>
        </w:rPr>
        <w:t xml:space="preserve"> </w:t>
      </w:r>
      <w:r w:rsidR="005B495D" w:rsidRPr="009610A8">
        <w:rPr>
          <w:szCs w:val="24"/>
        </w:rPr>
        <w:t xml:space="preserve">vested interests, </w:t>
      </w:r>
      <w:r w:rsidR="002D3D29" w:rsidRPr="009610A8">
        <w:rPr>
          <w:szCs w:val="24"/>
        </w:rPr>
        <w:t xml:space="preserve">the Council has </w:t>
      </w:r>
      <w:r w:rsidR="000E2EA6" w:rsidRPr="009610A8">
        <w:rPr>
          <w:szCs w:val="24"/>
        </w:rPr>
        <w:t>been able to collaborate broadly and strategically, to un</w:t>
      </w:r>
      <w:r w:rsidR="005B495D" w:rsidRPr="009610A8">
        <w:rPr>
          <w:szCs w:val="24"/>
        </w:rPr>
        <w:t>derstand and address challenges</w:t>
      </w:r>
      <w:r w:rsidR="002D3D29" w:rsidRPr="009610A8">
        <w:rPr>
          <w:szCs w:val="24"/>
        </w:rPr>
        <w:t xml:space="preserve">, </w:t>
      </w:r>
      <w:r w:rsidR="000E2EA6" w:rsidRPr="009610A8">
        <w:rPr>
          <w:szCs w:val="24"/>
        </w:rPr>
        <w:t>and plan collectively how best to capitalise on opportunities</w:t>
      </w:r>
      <w:r w:rsidR="002D3D29" w:rsidRPr="009610A8">
        <w:rPr>
          <w:szCs w:val="24"/>
        </w:rPr>
        <w:t xml:space="preserve"> and manage risks</w:t>
      </w:r>
      <w:r w:rsidR="000E2EA6" w:rsidRPr="009610A8">
        <w:rPr>
          <w:szCs w:val="24"/>
        </w:rPr>
        <w:t xml:space="preserve">. </w:t>
      </w:r>
    </w:p>
    <w:p w14:paraId="0D4DB00D" w14:textId="20FBD91D" w:rsidR="000E2EA6" w:rsidRPr="009610A8" w:rsidRDefault="00E64D4F" w:rsidP="00CE47E1">
      <w:pPr>
        <w:spacing w:after="120" w:line="240" w:lineRule="auto"/>
        <w:rPr>
          <w:szCs w:val="24"/>
        </w:rPr>
      </w:pPr>
      <w:r w:rsidRPr="009610A8">
        <w:rPr>
          <w:szCs w:val="24"/>
        </w:rPr>
        <w:t>The</w:t>
      </w:r>
      <w:r w:rsidR="000E2EA6" w:rsidRPr="009610A8">
        <w:rPr>
          <w:szCs w:val="24"/>
        </w:rPr>
        <w:t xml:space="preserve"> Expert Members </w:t>
      </w:r>
      <w:r w:rsidR="000E52F1" w:rsidRPr="009610A8">
        <w:rPr>
          <w:szCs w:val="24"/>
        </w:rPr>
        <w:t xml:space="preserve">of the Council (Expert Members) </w:t>
      </w:r>
      <w:r w:rsidR="000E2EA6" w:rsidRPr="009610A8">
        <w:rPr>
          <w:szCs w:val="24"/>
        </w:rPr>
        <w:t xml:space="preserve">have </w:t>
      </w:r>
      <w:r w:rsidR="002D3D29" w:rsidRPr="009610A8">
        <w:rPr>
          <w:szCs w:val="24"/>
        </w:rPr>
        <w:t xml:space="preserve">helped </w:t>
      </w:r>
      <w:r w:rsidR="000E2EA6" w:rsidRPr="009610A8">
        <w:rPr>
          <w:szCs w:val="24"/>
        </w:rPr>
        <w:t xml:space="preserve">set </w:t>
      </w:r>
      <w:r w:rsidR="002D3D29" w:rsidRPr="009610A8">
        <w:rPr>
          <w:szCs w:val="24"/>
        </w:rPr>
        <w:t>a strong and</w:t>
      </w:r>
      <w:r w:rsidR="005B495D" w:rsidRPr="009610A8">
        <w:rPr>
          <w:szCs w:val="24"/>
        </w:rPr>
        <w:t xml:space="preserve"> forward</w:t>
      </w:r>
      <w:r w:rsidR="00F73B71" w:rsidRPr="009610A8">
        <w:rPr>
          <w:szCs w:val="24"/>
        </w:rPr>
        <w:t>-</w:t>
      </w:r>
      <w:r w:rsidR="005B495D" w:rsidRPr="009610A8">
        <w:rPr>
          <w:szCs w:val="24"/>
        </w:rPr>
        <w:t xml:space="preserve">looking </w:t>
      </w:r>
      <w:r w:rsidR="000E2EA6" w:rsidRPr="009610A8">
        <w:rPr>
          <w:szCs w:val="24"/>
        </w:rPr>
        <w:t xml:space="preserve">agenda. With their advice, </w:t>
      </w:r>
      <w:r w:rsidR="008E70CE" w:rsidRPr="009610A8">
        <w:rPr>
          <w:szCs w:val="24"/>
        </w:rPr>
        <w:t xml:space="preserve">government policy is better placed </w:t>
      </w:r>
      <w:r w:rsidR="000E2EA6" w:rsidRPr="009610A8">
        <w:rPr>
          <w:szCs w:val="24"/>
        </w:rPr>
        <w:t xml:space="preserve">to uphold the strength and integrity of the sector. </w:t>
      </w:r>
      <w:r w:rsidR="002F76BD" w:rsidRPr="009610A8">
        <w:rPr>
          <w:szCs w:val="24"/>
        </w:rPr>
        <w:t xml:space="preserve">Expert Members </w:t>
      </w:r>
      <w:r w:rsidR="00D34284" w:rsidRPr="009610A8">
        <w:rPr>
          <w:szCs w:val="24"/>
        </w:rPr>
        <w:t>also established three working groups to focus effort on maintaining a high</w:t>
      </w:r>
      <w:r w:rsidR="00BA3828" w:rsidRPr="009610A8">
        <w:rPr>
          <w:szCs w:val="24"/>
        </w:rPr>
        <w:t>-quality</w:t>
      </w:r>
      <w:r w:rsidR="00D34284" w:rsidRPr="009610A8">
        <w:rPr>
          <w:szCs w:val="24"/>
        </w:rPr>
        <w:t xml:space="preserve"> student experience, a collaborative approach to marketing and </w:t>
      </w:r>
      <w:r w:rsidR="002F76BD" w:rsidRPr="009610A8">
        <w:rPr>
          <w:szCs w:val="24"/>
        </w:rPr>
        <w:t xml:space="preserve">expanding education, training and research engagement with Latin America. </w:t>
      </w:r>
      <w:r w:rsidR="000E2EA6" w:rsidRPr="009610A8">
        <w:rPr>
          <w:szCs w:val="24"/>
        </w:rPr>
        <w:t xml:space="preserve">The insights and active engagement of both </w:t>
      </w:r>
      <w:r w:rsidR="00B63C8A" w:rsidRPr="009610A8">
        <w:rPr>
          <w:szCs w:val="24"/>
        </w:rPr>
        <w:t xml:space="preserve">sector </w:t>
      </w:r>
      <w:r w:rsidR="000E2EA6" w:rsidRPr="009610A8">
        <w:rPr>
          <w:szCs w:val="24"/>
        </w:rPr>
        <w:t xml:space="preserve">and government have supported </w:t>
      </w:r>
      <w:r w:rsidR="002D3D29" w:rsidRPr="009610A8">
        <w:rPr>
          <w:szCs w:val="24"/>
        </w:rPr>
        <w:t>work to fill</w:t>
      </w:r>
      <w:r w:rsidR="000E2EA6" w:rsidRPr="009610A8">
        <w:rPr>
          <w:szCs w:val="24"/>
        </w:rPr>
        <w:t xml:space="preserve"> data </w:t>
      </w:r>
      <w:r w:rsidR="002D3D29" w:rsidRPr="009610A8">
        <w:rPr>
          <w:szCs w:val="24"/>
        </w:rPr>
        <w:t>gaps</w:t>
      </w:r>
      <w:r w:rsidR="00BA3828" w:rsidRPr="009610A8">
        <w:rPr>
          <w:szCs w:val="24"/>
        </w:rPr>
        <w:t>,</w:t>
      </w:r>
      <w:r w:rsidR="002D3D29" w:rsidRPr="009610A8">
        <w:rPr>
          <w:szCs w:val="24"/>
        </w:rPr>
        <w:t xml:space="preserve"> </w:t>
      </w:r>
      <w:r w:rsidR="000E2EA6" w:rsidRPr="009610A8">
        <w:rPr>
          <w:szCs w:val="24"/>
        </w:rPr>
        <w:t xml:space="preserve">and research </w:t>
      </w:r>
      <w:r w:rsidR="00BA3828" w:rsidRPr="009610A8">
        <w:rPr>
          <w:szCs w:val="24"/>
        </w:rPr>
        <w:t xml:space="preserve">has been commissioned </w:t>
      </w:r>
      <w:r w:rsidR="000E2EA6" w:rsidRPr="009610A8">
        <w:rPr>
          <w:szCs w:val="24"/>
        </w:rPr>
        <w:t xml:space="preserve">to </w:t>
      </w:r>
      <w:r w:rsidR="00BA3828" w:rsidRPr="009610A8">
        <w:rPr>
          <w:szCs w:val="24"/>
        </w:rPr>
        <w:t>improve our</w:t>
      </w:r>
      <w:r w:rsidR="000E2EA6" w:rsidRPr="009610A8">
        <w:rPr>
          <w:szCs w:val="24"/>
        </w:rPr>
        <w:t xml:space="preserve"> understand</w:t>
      </w:r>
      <w:r w:rsidR="00BA3828" w:rsidRPr="009610A8">
        <w:rPr>
          <w:szCs w:val="24"/>
        </w:rPr>
        <w:t>ing</w:t>
      </w:r>
      <w:r w:rsidR="000E2EA6" w:rsidRPr="009610A8">
        <w:rPr>
          <w:szCs w:val="24"/>
        </w:rPr>
        <w:t xml:space="preserve"> </w:t>
      </w:r>
      <w:r w:rsidR="00BA3828" w:rsidRPr="009610A8">
        <w:rPr>
          <w:szCs w:val="24"/>
        </w:rPr>
        <w:t xml:space="preserve">of the </w:t>
      </w:r>
      <w:r w:rsidR="000E2EA6" w:rsidRPr="009610A8">
        <w:rPr>
          <w:szCs w:val="24"/>
        </w:rPr>
        <w:t xml:space="preserve">global education environment, and the dynamics of the sector. </w:t>
      </w:r>
      <w:r w:rsidRPr="009610A8">
        <w:rPr>
          <w:szCs w:val="24"/>
        </w:rPr>
        <w:t>Together w</w:t>
      </w:r>
      <w:r w:rsidR="000E2EA6" w:rsidRPr="009610A8">
        <w:rPr>
          <w:szCs w:val="24"/>
        </w:rPr>
        <w:t xml:space="preserve">e have begun to </w:t>
      </w:r>
      <w:r w:rsidR="002D3D29" w:rsidRPr="009610A8">
        <w:rPr>
          <w:szCs w:val="24"/>
        </w:rPr>
        <w:t xml:space="preserve">address </w:t>
      </w:r>
      <w:r w:rsidRPr="009610A8">
        <w:rPr>
          <w:szCs w:val="24"/>
        </w:rPr>
        <w:t xml:space="preserve">sector diversification, </w:t>
      </w:r>
      <w:r w:rsidR="000E2EA6" w:rsidRPr="009610A8">
        <w:rPr>
          <w:szCs w:val="24"/>
        </w:rPr>
        <w:t xml:space="preserve">exploitation of students, work-integrated learning and employability, communicating </w:t>
      </w:r>
      <w:r w:rsidRPr="009610A8">
        <w:rPr>
          <w:szCs w:val="24"/>
        </w:rPr>
        <w:t xml:space="preserve">and sharing </w:t>
      </w:r>
      <w:r w:rsidR="000E2EA6" w:rsidRPr="009610A8">
        <w:rPr>
          <w:szCs w:val="24"/>
        </w:rPr>
        <w:t xml:space="preserve">the benefits of international education, and </w:t>
      </w:r>
      <w:r w:rsidRPr="009610A8">
        <w:rPr>
          <w:szCs w:val="24"/>
        </w:rPr>
        <w:t xml:space="preserve">to </w:t>
      </w:r>
      <w:r w:rsidR="000E2EA6" w:rsidRPr="009610A8">
        <w:rPr>
          <w:szCs w:val="24"/>
        </w:rPr>
        <w:t xml:space="preserve">identify </w:t>
      </w:r>
      <w:r w:rsidR="00BA3828" w:rsidRPr="009610A8">
        <w:rPr>
          <w:szCs w:val="24"/>
        </w:rPr>
        <w:t xml:space="preserve">new </w:t>
      </w:r>
      <w:r w:rsidR="000E2EA6" w:rsidRPr="009610A8">
        <w:rPr>
          <w:szCs w:val="24"/>
        </w:rPr>
        <w:t xml:space="preserve">opportunities in emerging </w:t>
      </w:r>
      <w:r w:rsidRPr="009610A8">
        <w:rPr>
          <w:szCs w:val="24"/>
        </w:rPr>
        <w:t xml:space="preserve">and established </w:t>
      </w:r>
      <w:r w:rsidR="002D2E1A" w:rsidRPr="009610A8">
        <w:rPr>
          <w:szCs w:val="24"/>
        </w:rPr>
        <w:t>partners</w:t>
      </w:r>
      <w:r w:rsidR="000E2EA6" w:rsidRPr="009610A8">
        <w:rPr>
          <w:szCs w:val="24"/>
        </w:rPr>
        <w:t xml:space="preserve">. </w:t>
      </w:r>
    </w:p>
    <w:p w14:paraId="786791A0" w14:textId="77777777" w:rsidR="001D4FA5" w:rsidRPr="009610A8" w:rsidRDefault="00E64D4F" w:rsidP="00CE47E1">
      <w:pPr>
        <w:spacing w:after="120" w:line="240" w:lineRule="auto"/>
        <w:rPr>
          <w:szCs w:val="24"/>
        </w:rPr>
      </w:pPr>
      <w:r w:rsidRPr="009610A8">
        <w:rPr>
          <w:szCs w:val="24"/>
        </w:rPr>
        <w:t xml:space="preserve">Over the next </w:t>
      </w:r>
      <w:r w:rsidR="004C27FF" w:rsidRPr="009610A8">
        <w:rPr>
          <w:szCs w:val="24"/>
        </w:rPr>
        <w:t>year,</w:t>
      </w:r>
      <w:r w:rsidRPr="009610A8">
        <w:rPr>
          <w:szCs w:val="24"/>
        </w:rPr>
        <w:t xml:space="preserve"> we will continue and extend these areas of work</w:t>
      </w:r>
      <w:r w:rsidR="002D3D29" w:rsidRPr="009610A8">
        <w:rPr>
          <w:szCs w:val="24"/>
        </w:rPr>
        <w:t>, through</w:t>
      </w:r>
      <w:r w:rsidR="001D4FA5" w:rsidRPr="009610A8">
        <w:rPr>
          <w:szCs w:val="24"/>
        </w:rPr>
        <w:t xml:space="preserve">: </w:t>
      </w:r>
    </w:p>
    <w:p w14:paraId="18E6DF71" w14:textId="6E154BCD" w:rsidR="008E70CE" w:rsidRPr="009610A8" w:rsidRDefault="008E70CE" w:rsidP="00CE47E1">
      <w:pPr>
        <w:pStyle w:val="ListParagraph"/>
        <w:numPr>
          <w:ilvl w:val="0"/>
          <w:numId w:val="7"/>
        </w:numPr>
        <w:spacing w:after="120" w:line="240" w:lineRule="auto"/>
        <w:rPr>
          <w:szCs w:val="24"/>
        </w:rPr>
      </w:pPr>
      <w:r w:rsidRPr="009610A8">
        <w:rPr>
          <w:szCs w:val="24"/>
        </w:rPr>
        <w:t xml:space="preserve">providing advice on how to ensure more international students have opportunities to experience regional Australia, </w:t>
      </w:r>
    </w:p>
    <w:p w14:paraId="384A9C17" w14:textId="292C05CA" w:rsidR="001D4FA5" w:rsidRPr="009610A8" w:rsidRDefault="002D3D29" w:rsidP="00CE47E1">
      <w:pPr>
        <w:pStyle w:val="ListParagraph"/>
        <w:numPr>
          <w:ilvl w:val="0"/>
          <w:numId w:val="7"/>
        </w:numPr>
        <w:spacing w:after="120" w:line="240" w:lineRule="auto"/>
        <w:rPr>
          <w:szCs w:val="24"/>
        </w:rPr>
      </w:pPr>
      <w:r w:rsidRPr="009610A8">
        <w:rPr>
          <w:szCs w:val="24"/>
        </w:rPr>
        <w:t>acting on the findings and</w:t>
      </w:r>
      <w:r w:rsidR="000E2EA6" w:rsidRPr="009610A8">
        <w:rPr>
          <w:szCs w:val="24"/>
        </w:rPr>
        <w:t xml:space="preserve"> </w:t>
      </w:r>
      <w:r w:rsidR="00E64D4F" w:rsidRPr="009610A8">
        <w:rPr>
          <w:szCs w:val="24"/>
        </w:rPr>
        <w:t>recommendation</w:t>
      </w:r>
      <w:r w:rsidR="000E2EA6" w:rsidRPr="009610A8">
        <w:rPr>
          <w:szCs w:val="24"/>
        </w:rPr>
        <w:t xml:space="preserve">s of </w:t>
      </w:r>
      <w:r w:rsidR="001D4FA5" w:rsidRPr="009610A8">
        <w:rPr>
          <w:szCs w:val="24"/>
        </w:rPr>
        <w:t xml:space="preserve">the Latin America Working Group </w:t>
      </w:r>
      <w:r w:rsidRPr="009610A8">
        <w:rPr>
          <w:szCs w:val="24"/>
        </w:rPr>
        <w:t>to</w:t>
      </w:r>
      <w:r w:rsidR="001D4FA5" w:rsidRPr="009610A8">
        <w:rPr>
          <w:szCs w:val="24"/>
        </w:rPr>
        <w:t xml:space="preserve"> strengthen engagement in th</w:t>
      </w:r>
      <w:r w:rsidR="00BA3828" w:rsidRPr="009610A8">
        <w:rPr>
          <w:szCs w:val="24"/>
        </w:rPr>
        <w:t>at</w:t>
      </w:r>
      <w:r w:rsidR="001D4FA5" w:rsidRPr="009610A8">
        <w:rPr>
          <w:szCs w:val="24"/>
        </w:rPr>
        <w:t xml:space="preserve"> region, </w:t>
      </w:r>
    </w:p>
    <w:p w14:paraId="2152E6AA" w14:textId="34602E3B" w:rsidR="001D4FA5" w:rsidRPr="009610A8" w:rsidRDefault="00D91F90" w:rsidP="00CE47E1">
      <w:pPr>
        <w:pStyle w:val="ListParagraph"/>
        <w:numPr>
          <w:ilvl w:val="0"/>
          <w:numId w:val="7"/>
        </w:numPr>
        <w:spacing w:after="120" w:line="240" w:lineRule="auto"/>
        <w:rPr>
          <w:szCs w:val="24"/>
        </w:rPr>
      </w:pPr>
      <w:r w:rsidRPr="009610A8">
        <w:rPr>
          <w:szCs w:val="24"/>
        </w:rPr>
        <w:t>i</w:t>
      </w:r>
      <w:r w:rsidR="002D3D29" w:rsidRPr="009610A8">
        <w:rPr>
          <w:szCs w:val="24"/>
        </w:rPr>
        <w:t xml:space="preserve">mplementing actions to support </w:t>
      </w:r>
      <w:r w:rsidR="000E2EA6" w:rsidRPr="009610A8">
        <w:rPr>
          <w:szCs w:val="24"/>
        </w:rPr>
        <w:t xml:space="preserve">the </w:t>
      </w:r>
      <w:r w:rsidR="001D4FA5" w:rsidRPr="009610A8">
        <w:rPr>
          <w:szCs w:val="24"/>
        </w:rPr>
        <w:t>Vocational Education and Training (</w:t>
      </w:r>
      <w:r w:rsidR="000E2EA6" w:rsidRPr="009610A8">
        <w:rPr>
          <w:szCs w:val="24"/>
        </w:rPr>
        <w:t>VET</w:t>
      </w:r>
      <w:r w:rsidR="001D4FA5" w:rsidRPr="009610A8">
        <w:rPr>
          <w:szCs w:val="24"/>
        </w:rPr>
        <w:t>)</w:t>
      </w:r>
      <w:r w:rsidR="001C3C60" w:rsidRPr="009610A8">
        <w:rPr>
          <w:szCs w:val="24"/>
        </w:rPr>
        <w:t xml:space="preserve"> sector</w:t>
      </w:r>
      <w:r w:rsidR="002D3D29" w:rsidRPr="009610A8">
        <w:rPr>
          <w:szCs w:val="24"/>
        </w:rPr>
        <w:t xml:space="preserve"> to capitalise o</w:t>
      </w:r>
      <w:r w:rsidRPr="009610A8">
        <w:rPr>
          <w:szCs w:val="24"/>
        </w:rPr>
        <w:t xml:space="preserve">n growing demand in </w:t>
      </w:r>
      <w:r w:rsidR="00BA3828" w:rsidRPr="009610A8">
        <w:rPr>
          <w:szCs w:val="24"/>
        </w:rPr>
        <w:t xml:space="preserve">the Indo-Pacific </w:t>
      </w:r>
      <w:r w:rsidRPr="009610A8">
        <w:rPr>
          <w:szCs w:val="24"/>
        </w:rPr>
        <w:t>region, and globally, for skills</w:t>
      </w:r>
      <w:r w:rsidR="000E2EA6" w:rsidRPr="009610A8">
        <w:rPr>
          <w:szCs w:val="24"/>
        </w:rPr>
        <w:t xml:space="preserve">, </w:t>
      </w:r>
    </w:p>
    <w:p w14:paraId="0467C61A" w14:textId="77777777" w:rsidR="001D4FA5" w:rsidRPr="009610A8" w:rsidRDefault="00E64D4F" w:rsidP="00CE47E1">
      <w:pPr>
        <w:pStyle w:val="ListParagraph"/>
        <w:numPr>
          <w:ilvl w:val="0"/>
          <w:numId w:val="7"/>
        </w:numPr>
        <w:spacing w:after="120" w:line="240" w:lineRule="auto"/>
        <w:rPr>
          <w:szCs w:val="24"/>
        </w:rPr>
      </w:pPr>
      <w:r w:rsidRPr="009610A8">
        <w:rPr>
          <w:szCs w:val="24"/>
        </w:rPr>
        <w:t>focus</w:t>
      </w:r>
      <w:r w:rsidR="00D91F90" w:rsidRPr="009610A8">
        <w:rPr>
          <w:szCs w:val="24"/>
        </w:rPr>
        <w:t>ing</w:t>
      </w:r>
      <w:r w:rsidR="000E2EA6" w:rsidRPr="009610A8">
        <w:rPr>
          <w:szCs w:val="24"/>
        </w:rPr>
        <w:t xml:space="preserve"> on </w:t>
      </w:r>
      <w:r w:rsidRPr="009610A8">
        <w:rPr>
          <w:szCs w:val="24"/>
        </w:rPr>
        <w:t>opportunities in the s</w:t>
      </w:r>
      <w:r w:rsidR="000E2EA6" w:rsidRPr="009610A8">
        <w:rPr>
          <w:szCs w:val="24"/>
        </w:rPr>
        <w:t>chool</w:t>
      </w:r>
      <w:r w:rsidRPr="009610A8">
        <w:rPr>
          <w:szCs w:val="24"/>
        </w:rPr>
        <w:t xml:space="preserve"> sector</w:t>
      </w:r>
      <w:r w:rsidR="00D91F90" w:rsidRPr="009610A8">
        <w:rPr>
          <w:szCs w:val="24"/>
        </w:rPr>
        <w:t>,</w:t>
      </w:r>
    </w:p>
    <w:p w14:paraId="1C278BB8" w14:textId="68DA627A" w:rsidR="001D4FA5" w:rsidRPr="009610A8" w:rsidRDefault="00D91F90" w:rsidP="00CE47E1">
      <w:pPr>
        <w:pStyle w:val="ListParagraph"/>
        <w:numPr>
          <w:ilvl w:val="0"/>
          <w:numId w:val="7"/>
        </w:numPr>
        <w:spacing w:after="120" w:line="240" w:lineRule="auto"/>
        <w:rPr>
          <w:szCs w:val="24"/>
        </w:rPr>
      </w:pPr>
      <w:r w:rsidRPr="009610A8">
        <w:rPr>
          <w:szCs w:val="24"/>
        </w:rPr>
        <w:t xml:space="preserve">pursuing a strategic approach to </w:t>
      </w:r>
      <w:r w:rsidR="00E64D4F" w:rsidRPr="009610A8">
        <w:rPr>
          <w:szCs w:val="24"/>
        </w:rPr>
        <w:t>the</w:t>
      </w:r>
      <w:r w:rsidR="000E2EA6" w:rsidRPr="009610A8">
        <w:rPr>
          <w:szCs w:val="24"/>
        </w:rPr>
        <w:t xml:space="preserve"> marketing and branding</w:t>
      </w:r>
      <w:r w:rsidR="005B495D" w:rsidRPr="009610A8">
        <w:rPr>
          <w:szCs w:val="24"/>
        </w:rPr>
        <w:t xml:space="preserve"> of Australian education</w:t>
      </w:r>
      <w:r w:rsidR="00E64D4F" w:rsidRPr="009610A8">
        <w:rPr>
          <w:szCs w:val="24"/>
        </w:rPr>
        <w:t xml:space="preserve"> </w:t>
      </w:r>
    </w:p>
    <w:p w14:paraId="3427D521" w14:textId="77777777" w:rsidR="00D91F90" w:rsidRPr="009610A8" w:rsidRDefault="00E64D4F" w:rsidP="00CE47E1">
      <w:pPr>
        <w:pStyle w:val="ListParagraph"/>
        <w:numPr>
          <w:ilvl w:val="0"/>
          <w:numId w:val="7"/>
        </w:numPr>
        <w:spacing w:after="120" w:line="240" w:lineRule="auto"/>
        <w:rPr>
          <w:szCs w:val="24"/>
        </w:rPr>
      </w:pPr>
      <w:r w:rsidRPr="009610A8">
        <w:rPr>
          <w:szCs w:val="24"/>
        </w:rPr>
        <w:t>communicat</w:t>
      </w:r>
      <w:r w:rsidR="00D91F90" w:rsidRPr="009610A8">
        <w:rPr>
          <w:szCs w:val="24"/>
        </w:rPr>
        <w:t>ing</w:t>
      </w:r>
      <w:r w:rsidRPr="009610A8">
        <w:rPr>
          <w:szCs w:val="24"/>
        </w:rPr>
        <w:t xml:space="preserve"> </w:t>
      </w:r>
      <w:r w:rsidR="005B495D" w:rsidRPr="009610A8">
        <w:rPr>
          <w:szCs w:val="24"/>
        </w:rPr>
        <w:t xml:space="preserve">and spreading </w:t>
      </w:r>
      <w:r w:rsidR="00C26C16" w:rsidRPr="009610A8">
        <w:rPr>
          <w:szCs w:val="24"/>
        </w:rPr>
        <w:t>the</w:t>
      </w:r>
      <w:r w:rsidRPr="009610A8">
        <w:rPr>
          <w:szCs w:val="24"/>
        </w:rPr>
        <w:t xml:space="preserve"> benefits </w:t>
      </w:r>
      <w:r w:rsidR="00C26C16" w:rsidRPr="009610A8">
        <w:rPr>
          <w:szCs w:val="24"/>
        </w:rPr>
        <w:t xml:space="preserve">of international education </w:t>
      </w:r>
      <w:r w:rsidR="005B495D" w:rsidRPr="009610A8">
        <w:rPr>
          <w:szCs w:val="24"/>
        </w:rPr>
        <w:t>across Australia, and</w:t>
      </w:r>
    </w:p>
    <w:p w14:paraId="7728312C" w14:textId="78C4F430" w:rsidR="00367834" w:rsidRPr="009610A8" w:rsidRDefault="00D91F90" w:rsidP="00CE47E1">
      <w:pPr>
        <w:pStyle w:val="ListParagraph"/>
        <w:numPr>
          <w:ilvl w:val="0"/>
          <w:numId w:val="7"/>
        </w:numPr>
        <w:spacing w:after="120" w:line="240" w:lineRule="auto"/>
        <w:rPr>
          <w:szCs w:val="24"/>
        </w:rPr>
      </w:pPr>
      <w:r w:rsidRPr="009610A8">
        <w:rPr>
          <w:szCs w:val="24"/>
        </w:rPr>
        <w:t xml:space="preserve">refreshing our </w:t>
      </w:r>
      <w:r w:rsidR="00BA3828" w:rsidRPr="009610A8">
        <w:rPr>
          <w:szCs w:val="24"/>
        </w:rPr>
        <w:t>engagement</w:t>
      </w:r>
      <w:r w:rsidRPr="009610A8">
        <w:rPr>
          <w:szCs w:val="24"/>
        </w:rPr>
        <w:t xml:space="preserve"> </w:t>
      </w:r>
      <w:r w:rsidR="00BA3828" w:rsidRPr="009610A8">
        <w:rPr>
          <w:szCs w:val="24"/>
        </w:rPr>
        <w:t>with</w:t>
      </w:r>
      <w:r w:rsidRPr="009610A8">
        <w:rPr>
          <w:szCs w:val="24"/>
        </w:rPr>
        <w:t xml:space="preserve"> our two largest established </w:t>
      </w:r>
      <w:r w:rsidR="002D2E1A" w:rsidRPr="009610A8">
        <w:rPr>
          <w:szCs w:val="24"/>
        </w:rPr>
        <w:t>partners</w:t>
      </w:r>
      <w:r w:rsidRPr="009610A8">
        <w:rPr>
          <w:szCs w:val="24"/>
        </w:rPr>
        <w:t>; China and India.</w:t>
      </w:r>
    </w:p>
    <w:p w14:paraId="5BF34B2F" w14:textId="77777777" w:rsidR="00075404" w:rsidRPr="009610A8" w:rsidRDefault="00AD6935" w:rsidP="000A4B67">
      <w:pPr>
        <w:spacing w:after="120" w:line="240" w:lineRule="auto"/>
        <w:rPr>
          <w:szCs w:val="24"/>
        </w:rPr>
      </w:pPr>
      <w:r w:rsidRPr="009610A8">
        <w:rPr>
          <w:rFonts w:ascii="Calibri" w:eastAsia="DengXian" w:hAnsi="Calibri" w:cs="Times New Roman"/>
          <w:szCs w:val="24"/>
        </w:rPr>
        <w:t xml:space="preserve">The following report outlines the key achievements of the Council. This includes initiatives across government led by </w:t>
      </w:r>
      <w:r w:rsidR="001C3C60" w:rsidRPr="009610A8">
        <w:rPr>
          <w:rFonts w:ascii="Calibri" w:eastAsia="DengXian" w:hAnsi="Calibri" w:cs="Times New Roman"/>
          <w:szCs w:val="24"/>
        </w:rPr>
        <w:t xml:space="preserve">Council </w:t>
      </w:r>
      <w:r w:rsidRPr="009610A8">
        <w:rPr>
          <w:rFonts w:ascii="Calibri" w:eastAsia="DengXian" w:hAnsi="Calibri" w:cs="Times New Roman"/>
          <w:szCs w:val="24"/>
        </w:rPr>
        <w:t xml:space="preserve">Ministers and their departments, as well as activities led by the </w:t>
      </w:r>
      <w:r w:rsidR="007843D6" w:rsidRPr="009610A8">
        <w:rPr>
          <w:rFonts w:ascii="Calibri" w:eastAsia="DengXian" w:hAnsi="Calibri" w:cs="Times New Roman"/>
          <w:szCs w:val="24"/>
        </w:rPr>
        <w:t>E</w:t>
      </w:r>
      <w:r w:rsidRPr="009610A8">
        <w:rPr>
          <w:rFonts w:ascii="Calibri" w:eastAsia="DengXian" w:hAnsi="Calibri" w:cs="Times New Roman"/>
          <w:szCs w:val="24"/>
        </w:rPr>
        <w:t xml:space="preserve">xpert </w:t>
      </w:r>
      <w:r w:rsidR="007843D6" w:rsidRPr="009610A8">
        <w:rPr>
          <w:rFonts w:ascii="Calibri" w:eastAsia="DengXian" w:hAnsi="Calibri" w:cs="Times New Roman"/>
          <w:szCs w:val="24"/>
        </w:rPr>
        <w:t>M</w:t>
      </w:r>
      <w:r w:rsidRPr="009610A8">
        <w:rPr>
          <w:rFonts w:ascii="Calibri" w:eastAsia="DengXian" w:hAnsi="Calibri" w:cs="Times New Roman"/>
          <w:szCs w:val="24"/>
        </w:rPr>
        <w:t>embers</w:t>
      </w:r>
      <w:r w:rsidR="001C3C60" w:rsidRPr="009610A8">
        <w:rPr>
          <w:rFonts w:ascii="Calibri" w:eastAsia="DengXian" w:hAnsi="Calibri" w:cs="Times New Roman"/>
          <w:szCs w:val="24"/>
        </w:rPr>
        <w:t xml:space="preserve">. </w:t>
      </w:r>
      <w:r w:rsidRPr="009610A8">
        <w:rPr>
          <w:rFonts w:ascii="Calibri" w:eastAsia="DengXian" w:hAnsi="Calibri" w:cs="Times New Roman"/>
          <w:szCs w:val="24"/>
        </w:rPr>
        <w:t>The report concludes with the Council’s priorities for 2019 in response to the challenges and opportunities identified throughout the report.</w:t>
      </w:r>
      <w:r w:rsidR="000346FB" w:rsidRPr="009610A8">
        <w:rPr>
          <w:rFonts w:ascii="Calibri" w:eastAsia="DengXian" w:hAnsi="Calibri" w:cs="Times New Roman"/>
          <w:szCs w:val="24"/>
        </w:rPr>
        <w:t xml:space="preserve"> </w:t>
      </w:r>
      <w:r w:rsidR="00075404" w:rsidRPr="009610A8">
        <w:rPr>
          <w:szCs w:val="24"/>
        </w:rPr>
        <w:br w:type="page"/>
      </w:r>
    </w:p>
    <w:sdt>
      <w:sdtPr>
        <w:rPr>
          <w:rFonts w:asciiTheme="minorHAnsi" w:eastAsiaTheme="minorEastAsia" w:hAnsiTheme="minorHAnsi" w:cstheme="minorBidi"/>
          <w:color w:val="auto"/>
          <w:sz w:val="20"/>
          <w:szCs w:val="22"/>
        </w:rPr>
        <w:id w:val="-176660565"/>
        <w:docPartObj>
          <w:docPartGallery w:val="Table of Contents"/>
          <w:docPartUnique/>
        </w:docPartObj>
      </w:sdtPr>
      <w:sdtEndPr>
        <w:rPr>
          <w:b/>
          <w:bCs/>
          <w:noProof/>
          <w:sz w:val="16"/>
        </w:rPr>
      </w:sdtEndPr>
      <w:sdtContent>
        <w:p w14:paraId="1F9840FD" w14:textId="77777777" w:rsidR="00367834" w:rsidRPr="009610A8" w:rsidRDefault="00367834">
          <w:pPr>
            <w:pStyle w:val="TOCHeading"/>
            <w:rPr>
              <w:sz w:val="32"/>
            </w:rPr>
          </w:pPr>
          <w:r w:rsidRPr="009610A8">
            <w:rPr>
              <w:sz w:val="32"/>
            </w:rPr>
            <w:t>Contents</w:t>
          </w:r>
        </w:p>
        <w:p w14:paraId="6E871D57" w14:textId="4795BC4E" w:rsidR="00FA6D55" w:rsidRPr="009610A8" w:rsidRDefault="00367834">
          <w:pPr>
            <w:pStyle w:val="TOC1"/>
            <w:tabs>
              <w:tab w:val="left" w:pos="440"/>
              <w:tab w:val="right" w:leader="dot" w:pos="9962"/>
            </w:tabs>
            <w:rPr>
              <w:noProof/>
              <w:lang w:val="en-AU" w:eastAsia="en-AU"/>
            </w:rPr>
          </w:pPr>
          <w:r w:rsidRPr="009610A8">
            <w:rPr>
              <w:b/>
              <w:bCs/>
              <w:noProof/>
              <w:sz w:val="20"/>
            </w:rPr>
            <w:fldChar w:fldCharType="begin"/>
          </w:r>
          <w:r w:rsidRPr="009610A8">
            <w:rPr>
              <w:b/>
              <w:bCs/>
              <w:noProof/>
              <w:sz w:val="20"/>
            </w:rPr>
            <w:instrText xml:space="preserve"> TOC \o "1-3" \h \z \u </w:instrText>
          </w:r>
          <w:r w:rsidRPr="009610A8">
            <w:rPr>
              <w:b/>
              <w:bCs/>
              <w:noProof/>
              <w:sz w:val="20"/>
            </w:rPr>
            <w:fldChar w:fldCharType="separate"/>
          </w:r>
          <w:hyperlink w:anchor="_Toc530471829" w:history="1">
            <w:r w:rsidR="00FA6D55" w:rsidRPr="009610A8">
              <w:rPr>
                <w:rStyle w:val="Hyperlink"/>
                <w:noProof/>
              </w:rPr>
              <w:t>1.</w:t>
            </w:r>
            <w:r w:rsidR="00FA6D55" w:rsidRPr="009610A8">
              <w:rPr>
                <w:noProof/>
                <w:lang w:val="en-AU" w:eastAsia="en-AU"/>
              </w:rPr>
              <w:tab/>
            </w:r>
            <w:r w:rsidR="00FA6D55" w:rsidRPr="009610A8">
              <w:rPr>
                <w:rStyle w:val="Hyperlink"/>
                <w:noProof/>
              </w:rPr>
              <w:t>Sector Health Check</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_Toc530471829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07D7AAE" w14:textId="0B09D207" w:rsidR="00FA6D55" w:rsidRPr="009610A8" w:rsidRDefault="008B6F3B">
          <w:pPr>
            <w:pStyle w:val="TOC2"/>
            <w:tabs>
              <w:tab w:val="left" w:pos="880"/>
              <w:tab w:val="right" w:leader="dot" w:pos="9962"/>
            </w:tabs>
            <w:rPr>
              <w:noProof/>
              <w:lang w:val="en-AU" w:eastAsia="en-AU"/>
            </w:rPr>
          </w:pPr>
          <w:hyperlink w:anchor="_Toc530471830" w:history="1">
            <w:r w:rsidR="00FA6D55" w:rsidRPr="009610A8">
              <w:rPr>
                <w:rStyle w:val="Hyperlink"/>
                <w:noProof/>
              </w:rPr>
              <w:t>1.1.</w:t>
            </w:r>
            <w:r w:rsidR="00FA6D55" w:rsidRPr="009610A8">
              <w:rPr>
                <w:noProof/>
                <w:lang w:val="en-AU" w:eastAsia="en-AU"/>
              </w:rPr>
              <w:tab/>
            </w:r>
            <w:r w:rsidR="00FA6D55" w:rsidRPr="009610A8">
              <w:rPr>
                <w:rStyle w:val="Hyperlink"/>
                <w:noProof/>
              </w:rPr>
              <w:t>Higher education</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_Toc530471830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78D84A96" w14:textId="1540317A" w:rsidR="00FA6D55" w:rsidRPr="009610A8" w:rsidRDefault="008B6F3B">
          <w:pPr>
            <w:pStyle w:val="TOC2"/>
            <w:tabs>
              <w:tab w:val="left" w:pos="880"/>
              <w:tab w:val="right" w:leader="dot" w:pos="9962"/>
            </w:tabs>
            <w:rPr>
              <w:noProof/>
              <w:lang w:val="en-AU" w:eastAsia="en-AU"/>
            </w:rPr>
          </w:pPr>
          <w:hyperlink w:anchor="_Toc530471831" w:history="1">
            <w:r w:rsidR="00FA6D55" w:rsidRPr="009610A8">
              <w:rPr>
                <w:rStyle w:val="Hyperlink"/>
                <w:noProof/>
              </w:rPr>
              <w:t>1.2.</w:t>
            </w:r>
            <w:r w:rsidR="00FA6D55" w:rsidRPr="009610A8">
              <w:rPr>
                <w:noProof/>
                <w:lang w:val="en-AU" w:eastAsia="en-AU"/>
              </w:rPr>
              <w:tab/>
            </w:r>
            <w:r w:rsidR="00FA6D55" w:rsidRPr="009610A8">
              <w:rPr>
                <w:rStyle w:val="Hyperlink"/>
                <w:noProof/>
              </w:rPr>
              <w:t>Other sectors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_Toc530471831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CB2537B" w14:textId="357DBB07" w:rsidR="00FA6D55" w:rsidRPr="009610A8" w:rsidRDefault="008B6F3B">
          <w:pPr>
            <w:pStyle w:val="TOC2"/>
            <w:tabs>
              <w:tab w:val="left" w:pos="880"/>
              <w:tab w:val="right" w:leader="dot" w:pos="9962"/>
            </w:tabs>
            <w:rPr>
              <w:noProof/>
              <w:lang w:val="en-AU" w:eastAsia="en-AU"/>
            </w:rPr>
          </w:pPr>
          <w:hyperlink w:anchor="_Toc530471832" w:history="1">
            <w:r w:rsidR="00FA6D55" w:rsidRPr="009610A8">
              <w:rPr>
                <w:rStyle w:val="Hyperlink"/>
                <w:noProof/>
              </w:rPr>
              <w:t>1.3.</w:t>
            </w:r>
            <w:r w:rsidR="00FA6D55" w:rsidRPr="009610A8">
              <w:rPr>
                <w:noProof/>
                <w:lang w:val="en-AU" w:eastAsia="en-AU"/>
              </w:rPr>
              <w:tab/>
            </w:r>
            <w:r w:rsidR="00FA6D55" w:rsidRPr="009610A8">
              <w:rPr>
                <w:rStyle w:val="Hyperlink"/>
                <w:noProof/>
              </w:rPr>
              <w:t>Student satisfaction</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_Toc530471832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0395A3F" w14:textId="5424A407" w:rsidR="00FA6D55" w:rsidRPr="009610A8" w:rsidRDefault="008B6F3B">
          <w:pPr>
            <w:pStyle w:val="TOC1"/>
            <w:tabs>
              <w:tab w:val="left" w:pos="440"/>
              <w:tab w:val="right" w:leader="dot" w:pos="9962"/>
            </w:tabs>
            <w:rPr>
              <w:noProof/>
              <w:lang w:val="en-AU" w:eastAsia="en-AU"/>
            </w:rPr>
          </w:pPr>
          <w:hyperlink w:anchor="_Toc530471833" w:history="1">
            <w:r w:rsidR="00FA6D55" w:rsidRPr="009610A8">
              <w:rPr>
                <w:rStyle w:val="Hyperlink"/>
                <w:noProof/>
              </w:rPr>
              <w:t>2.</w:t>
            </w:r>
            <w:r w:rsidR="00FA6D55" w:rsidRPr="009610A8">
              <w:rPr>
                <w:noProof/>
                <w:lang w:val="en-AU" w:eastAsia="en-AU"/>
              </w:rPr>
              <w:tab/>
            </w:r>
            <w:r w:rsidR="00FA6D55" w:rsidRPr="009610A8">
              <w:rPr>
                <w:rStyle w:val="Hyperlink"/>
                <w:noProof/>
              </w:rPr>
              <w:t>Challenges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_Toc530471833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347DE15" w14:textId="794A3197" w:rsidR="00FA6D55" w:rsidRPr="009610A8" w:rsidRDefault="008B6F3B">
          <w:pPr>
            <w:pStyle w:val="TOC1"/>
            <w:tabs>
              <w:tab w:val="left" w:pos="440"/>
              <w:tab w:val="right" w:leader="dot" w:pos="9962"/>
            </w:tabs>
            <w:rPr>
              <w:noProof/>
              <w:lang w:val="en-AU" w:eastAsia="en-AU"/>
            </w:rPr>
          </w:pPr>
          <w:hyperlink w:anchor="_Toc530471834" w:history="1">
            <w:r w:rsidR="00FA6D55" w:rsidRPr="009610A8">
              <w:rPr>
                <w:rStyle w:val="Hyperlink"/>
                <w:noProof/>
              </w:rPr>
              <w:t>3.</w:t>
            </w:r>
            <w:r w:rsidR="00FA6D55" w:rsidRPr="009610A8">
              <w:rPr>
                <w:noProof/>
                <w:lang w:val="en-AU" w:eastAsia="en-AU"/>
              </w:rPr>
              <w:tab/>
            </w:r>
            <w:r w:rsidR="00FA6D55" w:rsidRPr="009610A8">
              <w:rPr>
                <w:rStyle w:val="Hyperlink"/>
                <w:noProof/>
              </w:rPr>
              <w:t>Opportunities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_Toc530471834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71F9223" w14:textId="4EFB424D" w:rsidR="00FA6D55" w:rsidRPr="009610A8" w:rsidRDefault="008B6F3B">
          <w:pPr>
            <w:pStyle w:val="TOC1"/>
            <w:tabs>
              <w:tab w:val="left" w:pos="440"/>
              <w:tab w:val="right" w:leader="dot" w:pos="9962"/>
            </w:tabs>
            <w:rPr>
              <w:noProof/>
              <w:lang w:val="en-AU" w:eastAsia="en-AU"/>
            </w:rPr>
          </w:pPr>
          <w:hyperlink w:anchor="_Toc530471835" w:history="1">
            <w:r w:rsidR="00FA6D55" w:rsidRPr="009610A8">
              <w:rPr>
                <w:rStyle w:val="Hyperlink"/>
                <w:noProof/>
              </w:rPr>
              <w:t>4.</w:t>
            </w:r>
            <w:r w:rsidR="00FA6D55" w:rsidRPr="009610A8">
              <w:rPr>
                <w:noProof/>
                <w:lang w:val="en-AU" w:eastAsia="en-AU"/>
              </w:rPr>
              <w:tab/>
            </w:r>
            <w:r w:rsidR="00FA6D55" w:rsidRPr="009610A8">
              <w:rPr>
                <w:rStyle w:val="Hyperlink"/>
                <w:noProof/>
              </w:rPr>
              <w:t>Delivering on the 2025 agenda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_Toc530471835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41362E05" w14:textId="5198734C" w:rsidR="00FA6D55" w:rsidRPr="009610A8" w:rsidRDefault="008B6F3B">
          <w:pPr>
            <w:pStyle w:val="TOC2"/>
            <w:tabs>
              <w:tab w:val="left" w:pos="880"/>
              <w:tab w:val="right" w:leader="dot" w:pos="9962"/>
            </w:tabs>
            <w:rPr>
              <w:noProof/>
              <w:lang w:val="en-AU" w:eastAsia="en-AU"/>
            </w:rPr>
          </w:pPr>
          <w:hyperlink w:anchor="_Toc530471836" w:history="1">
            <w:r w:rsidR="00FA6D55" w:rsidRPr="009610A8">
              <w:rPr>
                <w:rStyle w:val="Hyperlink"/>
                <w:noProof/>
              </w:rPr>
              <w:t>4.1.</w:t>
            </w:r>
            <w:r w:rsidR="00FA6D55" w:rsidRPr="009610A8">
              <w:rPr>
                <w:noProof/>
                <w:lang w:val="en-AU" w:eastAsia="en-AU"/>
              </w:rPr>
              <w:tab/>
            </w:r>
            <w:r w:rsidR="00FA6D55" w:rsidRPr="009610A8">
              <w:rPr>
                <w:rStyle w:val="Hyperlink"/>
                <w:noProof/>
              </w:rPr>
              <w:t>Pillar 1 - Strengthening the fundamentals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_Toc530471836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6903F78" w14:textId="75A4EC2E" w:rsidR="00FA6D55" w:rsidRPr="009610A8" w:rsidRDefault="008B6F3B">
          <w:pPr>
            <w:pStyle w:val="TOC3"/>
            <w:tabs>
              <w:tab w:val="left" w:pos="1320"/>
              <w:tab w:val="right" w:leader="dot" w:pos="9962"/>
            </w:tabs>
            <w:rPr>
              <w:noProof/>
              <w:lang w:val="en-AU" w:eastAsia="en-AU"/>
            </w:rPr>
          </w:pPr>
          <w:hyperlink w:anchor="_Toc530471837" w:history="1">
            <w:r w:rsidR="00FA6D55" w:rsidRPr="009610A8">
              <w:rPr>
                <w:rStyle w:val="Hyperlink"/>
                <w:noProof/>
              </w:rPr>
              <w:t>4.1.1.</w:t>
            </w:r>
            <w:r w:rsidR="00FA6D55" w:rsidRPr="009610A8">
              <w:rPr>
                <w:noProof/>
                <w:lang w:val="en-AU" w:eastAsia="en-AU"/>
              </w:rPr>
              <w:tab/>
            </w:r>
            <w:r w:rsidR="00FA6D55" w:rsidRPr="009610A8">
              <w:rPr>
                <w:rStyle w:val="Hyperlink"/>
                <w:noProof/>
              </w:rPr>
              <w:t>Improving the student experience</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_Toc530471837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76DFCDA2" w14:textId="196E292B" w:rsidR="00FA6D55" w:rsidRPr="009610A8" w:rsidRDefault="008B6F3B">
          <w:pPr>
            <w:pStyle w:val="TOC3"/>
            <w:tabs>
              <w:tab w:val="left" w:pos="1320"/>
              <w:tab w:val="right" w:leader="dot" w:pos="9962"/>
            </w:tabs>
            <w:rPr>
              <w:noProof/>
              <w:lang w:val="en-AU" w:eastAsia="en-AU"/>
            </w:rPr>
          </w:pPr>
          <w:hyperlink w:anchor="_Toc530471838" w:history="1">
            <w:r w:rsidR="00FA6D55" w:rsidRPr="009610A8">
              <w:rPr>
                <w:rStyle w:val="Hyperlink"/>
                <w:noProof/>
              </w:rPr>
              <w:t>4.1.2.</w:t>
            </w:r>
            <w:r w:rsidR="00FA6D55" w:rsidRPr="009610A8">
              <w:rPr>
                <w:noProof/>
                <w:lang w:val="en-AU" w:eastAsia="en-AU"/>
              </w:rPr>
              <w:tab/>
            </w:r>
            <w:r w:rsidR="00FA6D55" w:rsidRPr="009610A8">
              <w:rPr>
                <w:rStyle w:val="Hyperlink"/>
                <w:noProof/>
              </w:rPr>
              <w:t>Empowering international students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_Toc530471838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2E0C767" w14:textId="2ECFAA05" w:rsidR="00FA6D55" w:rsidRPr="009610A8" w:rsidRDefault="008B6F3B">
          <w:pPr>
            <w:pStyle w:val="TOC3"/>
            <w:tabs>
              <w:tab w:val="left" w:pos="1320"/>
              <w:tab w:val="right" w:leader="dot" w:pos="9962"/>
            </w:tabs>
            <w:rPr>
              <w:noProof/>
              <w:lang w:val="en-AU" w:eastAsia="en-AU"/>
            </w:rPr>
          </w:pPr>
          <w:hyperlink w:anchor="_Toc530471839" w:history="1">
            <w:r w:rsidR="00FA6D55" w:rsidRPr="009610A8">
              <w:rPr>
                <w:rStyle w:val="Hyperlink"/>
                <w:noProof/>
              </w:rPr>
              <w:t>4.1.3.</w:t>
            </w:r>
            <w:r w:rsidR="00FA6D55" w:rsidRPr="009610A8">
              <w:rPr>
                <w:noProof/>
                <w:lang w:val="en-AU" w:eastAsia="en-AU"/>
              </w:rPr>
              <w:tab/>
            </w:r>
            <w:r w:rsidR="00FA6D55" w:rsidRPr="009610A8">
              <w:rPr>
                <w:rStyle w:val="Hyperlink"/>
                <w:noProof/>
              </w:rPr>
              <w:t>Strengthening employability</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_Toc530471839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44E5E2A" w14:textId="5678A5F5" w:rsidR="00FA6D55" w:rsidRPr="009610A8" w:rsidRDefault="008B6F3B">
          <w:pPr>
            <w:pStyle w:val="TOC3"/>
            <w:tabs>
              <w:tab w:val="left" w:pos="1320"/>
              <w:tab w:val="right" w:leader="dot" w:pos="9962"/>
            </w:tabs>
            <w:rPr>
              <w:noProof/>
              <w:lang w:val="en-AU" w:eastAsia="en-AU"/>
            </w:rPr>
          </w:pPr>
          <w:hyperlink w:anchor="_Toc530471840" w:history="1">
            <w:r w:rsidR="00FA6D55" w:rsidRPr="009610A8">
              <w:rPr>
                <w:rStyle w:val="Hyperlink"/>
                <w:noProof/>
              </w:rPr>
              <w:t>4.1.4.</w:t>
            </w:r>
            <w:r w:rsidR="00FA6D55" w:rsidRPr="009610A8">
              <w:rPr>
                <w:noProof/>
                <w:lang w:val="en-AU" w:eastAsia="en-AU"/>
              </w:rPr>
              <w:tab/>
            </w:r>
            <w:r w:rsidR="00FA6D55" w:rsidRPr="009610A8">
              <w:rPr>
                <w:rStyle w:val="Hyperlink"/>
                <w:noProof/>
              </w:rPr>
              <w:t>Better access to data and research</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_Toc530471840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4D7F1706" w14:textId="6D3ADD8C" w:rsidR="00FA6D55" w:rsidRPr="009610A8" w:rsidRDefault="008B6F3B">
          <w:pPr>
            <w:pStyle w:val="TOC3"/>
            <w:tabs>
              <w:tab w:val="left" w:pos="1320"/>
              <w:tab w:val="right" w:leader="dot" w:pos="9962"/>
            </w:tabs>
            <w:rPr>
              <w:noProof/>
              <w:lang w:val="en-AU" w:eastAsia="en-AU"/>
            </w:rPr>
          </w:pPr>
          <w:hyperlink w:anchor="_Toc530471841" w:history="1">
            <w:r w:rsidR="00FA6D55" w:rsidRPr="009610A8">
              <w:rPr>
                <w:rStyle w:val="Hyperlink"/>
                <w:noProof/>
              </w:rPr>
              <w:t>4.1.5.</w:t>
            </w:r>
            <w:r w:rsidR="00FA6D55" w:rsidRPr="009610A8">
              <w:rPr>
                <w:noProof/>
                <w:lang w:val="en-AU" w:eastAsia="en-AU"/>
              </w:rPr>
              <w:tab/>
            </w:r>
            <w:r w:rsidR="00FA6D55" w:rsidRPr="009610A8">
              <w:rPr>
                <w:rStyle w:val="Hyperlink"/>
                <w:noProof/>
              </w:rPr>
              <w:t>Maintaining the reputation of our qualifications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_Toc530471841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FA320A2" w14:textId="19F08F41" w:rsidR="00FA6D55" w:rsidRPr="009610A8" w:rsidRDefault="008B6F3B">
          <w:pPr>
            <w:pStyle w:val="TOC3"/>
            <w:tabs>
              <w:tab w:val="left" w:pos="1320"/>
              <w:tab w:val="right" w:leader="dot" w:pos="9962"/>
            </w:tabs>
            <w:rPr>
              <w:noProof/>
              <w:lang w:val="en-AU" w:eastAsia="en-AU"/>
            </w:rPr>
          </w:pPr>
          <w:hyperlink w:anchor="_Toc530471842" w:history="1">
            <w:r w:rsidR="00FA6D55" w:rsidRPr="009610A8">
              <w:rPr>
                <w:rStyle w:val="Hyperlink"/>
                <w:noProof/>
              </w:rPr>
              <w:t>4.1.6.</w:t>
            </w:r>
            <w:r w:rsidR="00FA6D55" w:rsidRPr="009610A8">
              <w:rPr>
                <w:noProof/>
                <w:lang w:val="en-AU" w:eastAsia="en-AU"/>
              </w:rPr>
              <w:tab/>
            </w:r>
            <w:r w:rsidR="00FA6D55" w:rsidRPr="009610A8">
              <w:rPr>
                <w:rStyle w:val="Hyperlink"/>
                <w:noProof/>
              </w:rPr>
              <w:t>Enhancing the regulatory frameworks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_Toc530471842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0279AC7" w14:textId="742501D6" w:rsidR="00FA6D55" w:rsidRPr="009610A8" w:rsidRDefault="008B6F3B">
          <w:pPr>
            <w:pStyle w:val="TOC3"/>
            <w:tabs>
              <w:tab w:val="left" w:pos="1320"/>
              <w:tab w:val="right" w:leader="dot" w:pos="9962"/>
            </w:tabs>
            <w:rPr>
              <w:noProof/>
              <w:lang w:val="en-AU" w:eastAsia="en-AU"/>
            </w:rPr>
          </w:pPr>
          <w:hyperlink w:anchor="_Toc530471843" w:history="1">
            <w:r w:rsidR="00FA6D55" w:rsidRPr="009610A8">
              <w:rPr>
                <w:rStyle w:val="Hyperlink"/>
                <w:noProof/>
              </w:rPr>
              <w:t>4.1.7.</w:t>
            </w:r>
            <w:r w:rsidR="00FA6D55" w:rsidRPr="009610A8">
              <w:rPr>
                <w:noProof/>
                <w:lang w:val="en-AU" w:eastAsia="en-AU"/>
              </w:rPr>
              <w:tab/>
            </w:r>
            <w:r w:rsidR="00FA6D55" w:rsidRPr="009610A8">
              <w:rPr>
                <w:rStyle w:val="Hyperlink"/>
                <w:noProof/>
              </w:rPr>
              <w:t>Ensuring our ELICOS standards are fit for purpose</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_Toc530471843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A69996A" w14:textId="6CC16D02" w:rsidR="00FA6D55" w:rsidRPr="009610A8" w:rsidRDefault="008B6F3B">
          <w:pPr>
            <w:pStyle w:val="TOC3"/>
            <w:tabs>
              <w:tab w:val="left" w:pos="1320"/>
              <w:tab w:val="right" w:leader="dot" w:pos="9962"/>
            </w:tabs>
            <w:rPr>
              <w:noProof/>
              <w:lang w:val="en-AU" w:eastAsia="en-AU"/>
            </w:rPr>
          </w:pPr>
          <w:hyperlink w:anchor="_Toc530471844" w:history="1">
            <w:r w:rsidR="00FA6D55" w:rsidRPr="009610A8">
              <w:rPr>
                <w:rStyle w:val="Hyperlink"/>
                <w:noProof/>
              </w:rPr>
              <w:t>4.1.8.</w:t>
            </w:r>
            <w:r w:rsidR="00FA6D55" w:rsidRPr="009610A8">
              <w:rPr>
                <w:noProof/>
                <w:lang w:val="en-AU" w:eastAsia="en-AU"/>
              </w:rPr>
              <w:tab/>
            </w:r>
            <w:r w:rsidR="00FA6D55" w:rsidRPr="009610A8">
              <w:rPr>
                <w:rStyle w:val="Hyperlink"/>
                <w:noProof/>
              </w:rPr>
              <w:t>Reducing the financial burden on providers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_Toc530471844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02F382B" w14:textId="67DF043E" w:rsidR="00FA6D55" w:rsidRPr="009610A8" w:rsidRDefault="008B6F3B">
          <w:pPr>
            <w:pStyle w:val="TOC2"/>
            <w:tabs>
              <w:tab w:val="left" w:pos="880"/>
              <w:tab w:val="right" w:leader="dot" w:pos="9962"/>
            </w:tabs>
            <w:rPr>
              <w:noProof/>
              <w:lang w:val="en-AU" w:eastAsia="en-AU"/>
            </w:rPr>
          </w:pPr>
          <w:hyperlink w:anchor="_Toc530471845" w:history="1">
            <w:r w:rsidR="00FA6D55" w:rsidRPr="009610A8">
              <w:rPr>
                <w:rStyle w:val="Hyperlink"/>
                <w:noProof/>
              </w:rPr>
              <w:t>4.2.</w:t>
            </w:r>
            <w:r w:rsidR="00FA6D55" w:rsidRPr="009610A8">
              <w:rPr>
                <w:noProof/>
                <w:lang w:val="en-AU" w:eastAsia="en-AU"/>
              </w:rPr>
              <w:tab/>
            </w:r>
            <w:r w:rsidR="00FA6D55" w:rsidRPr="009610A8">
              <w:rPr>
                <w:rStyle w:val="Hyperlink"/>
                <w:noProof/>
              </w:rPr>
              <w:t>Pillar 2 - Making transformative partnerships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_Toc530471845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E8AC076" w14:textId="715456DA" w:rsidR="00FA6D55" w:rsidRPr="009610A8" w:rsidRDefault="008B6F3B">
          <w:pPr>
            <w:pStyle w:val="TOC3"/>
            <w:tabs>
              <w:tab w:val="left" w:pos="1320"/>
              <w:tab w:val="right" w:leader="dot" w:pos="9962"/>
            </w:tabs>
            <w:rPr>
              <w:noProof/>
              <w:lang w:val="en-AU" w:eastAsia="en-AU"/>
            </w:rPr>
          </w:pPr>
          <w:hyperlink w:anchor="_Toc530471846" w:history="1">
            <w:r w:rsidR="00FA6D55" w:rsidRPr="009610A8">
              <w:rPr>
                <w:rStyle w:val="Hyperlink"/>
                <w:noProof/>
              </w:rPr>
              <w:t>4.2.1.</w:t>
            </w:r>
            <w:r w:rsidR="00FA6D55" w:rsidRPr="009610A8">
              <w:rPr>
                <w:noProof/>
                <w:lang w:val="en-AU" w:eastAsia="en-AU"/>
              </w:rPr>
              <w:tab/>
            </w:r>
            <w:r w:rsidR="00FA6D55" w:rsidRPr="009610A8">
              <w:rPr>
                <w:rStyle w:val="Hyperlink"/>
                <w:noProof/>
              </w:rPr>
              <w:t>Fostering community and employer engagement</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_Toc530471846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7C06257D" w14:textId="28E215CA" w:rsidR="00FA6D55" w:rsidRPr="009610A8" w:rsidRDefault="008B6F3B">
          <w:pPr>
            <w:pStyle w:val="TOC3"/>
            <w:tabs>
              <w:tab w:val="left" w:pos="1320"/>
              <w:tab w:val="right" w:leader="dot" w:pos="9962"/>
            </w:tabs>
            <w:rPr>
              <w:noProof/>
              <w:lang w:val="en-AU" w:eastAsia="en-AU"/>
            </w:rPr>
          </w:pPr>
          <w:hyperlink w:anchor="_Toc530471847" w:history="1">
            <w:r w:rsidR="00FA6D55" w:rsidRPr="009610A8">
              <w:rPr>
                <w:rStyle w:val="Hyperlink"/>
                <w:noProof/>
              </w:rPr>
              <w:t>4.2.2.</w:t>
            </w:r>
            <w:r w:rsidR="00FA6D55" w:rsidRPr="009610A8">
              <w:rPr>
                <w:noProof/>
                <w:lang w:val="en-AU" w:eastAsia="en-AU"/>
              </w:rPr>
              <w:tab/>
            </w:r>
            <w:r w:rsidR="00FA6D55" w:rsidRPr="009610A8">
              <w:rPr>
                <w:rStyle w:val="Hyperlink"/>
                <w:noProof/>
              </w:rPr>
              <w:t>Developing new partnerships in Latin America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_Toc530471847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2D91636" w14:textId="0B18A204" w:rsidR="00FA6D55" w:rsidRPr="009610A8" w:rsidRDefault="008B6F3B">
          <w:pPr>
            <w:pStyle w:val="TOC3"/>
            <w:tabs>
              <w:tab w:val="left" w:pos="1320"/>
              <w:tab w:val="right" w:leader="dot" w:pos="9962"/>
            </w:tabs>
            <w:rPr>
              <w:noProof/>
              <w:lang w:val="en-AU" w:eastAsia="en-AU"/>
            </w:rPr>
          </w:pPr>
          <w:hyperlink w:anchor="_Toc530471848" w:history="1">
            <w:r w:rsidR="00FA6D55" w:rsidRPr="009610A8">
              <w:rPr>
                <w:rStyle w:val="Hyperlink"/>
                <w:noProof/>
              </w:rPr>
              <w:t>4.2.3.</w:t>
            </w:r>
            <w:r w:rsidR="00FA6D55" w:rsidRPr="009610A8">
              <w:rPr>
                <w:noProof/>
                <w:lang w:val="en-AU" w:eastAsia="en-AU"/>
              </w:rPr>
              <w:tab/>
            </w:r>
            <w:r w:rsidR="00FA6D55" w:rsidRPr="009610A8">
              <w:rPr>
                <w:rStyle w:val="Hyperlink"/>
                <w:noProof/>
              </w:rPr>
              <w:t>Building on the Indian Economic Strategy</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_Toc530471848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D35DB60" w14:textId="2DAB59B6" w:rsidR="00FA6D55" w:rsidRPr="009610A8" w:rsidRDefault="008B6F3B">
          <w:pPr>
            <w:pStyle w:val="TOC3"/>
            <w:tabs>
              <w:tab w:val="left" w:pos="1320"/>
              <w:tab w:val="right" w:leader="dot" w:pos="9962"/>
            </w:tabs>
            <w:rPr>
              <w:noProof/>
              <w:lang w:val="en-AU" w:eastAsia="en-AU"/>
            </w:rPr>
          </w:pPr>
          <w:hyperlink w:anchor="_Toc530471849" w:history="1">
            <w:r w:rsidR="00FA6D55" w:rsidRPr="009610A8">
              <w:rPr>
                <w:rStyle w:val="Hyperlink"/>
                <w:noProof/>
              </w:rPr>
              <w:t>4.2.4.</w:t>
            </w:r>
            <w:r w:rsidR="00FA6D55" w:rsidRPr="009610A8">
              <w:rPr>
                <w:noProof/>
                <w:lang w:val="en-AU" w:eastAsia="en-AU"/>
              </w:rPr>
              <w:tab/>
            </w:r>
            <w:r w:rsidR="00FA6D55" w:rsidRPr="009610A8">
              <w:rPr>
                <w:rStyle w:val="Hyperlink"/>
                <w:noProof/>
              </w:rPr>
              <w:t>Supporting student mobility</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_Toc530471849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62DCFD7" w14:textId="2CD9B800" w:rsidR="00FA6D55" w:rsidRPr="009610A8" w:rsidRDefault="008B6F3B">
          <w:pPr>
            <w:pStyle w:val="TOC3"/>
            <w:tabs>
              <w:tab w:val="left" w:pos="1320"/>
              <w:tab w:val="right" w:leader="dot" w:pos="9962"/>
            </w:tabs>
            <w:rPr>
              <w:noProof/>
              <w:lang w:val="en-AU" w:eastAsia="en-AU"/>
            </w:rPr>
          </w:pPr>
          <w:hyperlink w:anchor="_Toc530471850" w:history="1">
            <w:r w:rsidR="00FA6D55" w:rsidRPr="009610A8">
              <w:rPr>
                <w:rStyle w:val="Hyperlink"/>
                <w:noProof/>
              </w:rPr>
              <w:t>4.2.5.</w:t>
            </w:r>
            <w:r w:rsidR="00FA6D55" w:rsidRPr="009610A8">
              <w:rPr>
                <w:noProof/>
                <w:lang w:val="en-AU" w:eastAsia="en-AU"/>
              </w:rPr>
              <w:tab/>
            </w:r>
            <w:r w:rsidR="00FA6D55" w:rsidRPr="009610A8">
              <w:rPr>
                <w:rStyle w:val="Hyperlink"/>
                <w:noProof/>
              </w:rPr>
              <w:t>Building lasting connections with alumni</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_Toc530471850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68B160B" w14:textId="12B1F876" w:rsidR="00FA6D55" w:rsidRPr="009610A8" w:rsidRDefault="008B6F3B">
          <w:pPr>
            <w:pStyle w:val="TOC3"/>
            <w:tabs>
              <w:tab w:val="left" w:pos="1320"/>
              <w:tab w:val="right" w:leader="dot" w:pos="9962"/>
            </w:tabs>
            <w:rPr>
              <w:noProof/>
              <w:lang w:val="en-AU" w:eastAsia="en-AU"/>
            </w:rPr>
          </w:pPr>
          <w:hyperlink w:anchor="_Toc530471851" w:history="1">
            <w:r w:rsidR="00FA6D55" w:rsidRPr="009610A8">
              <w:rPr>
                <w:rStyle w:val="Hyperlink"/>
                <w:noProof/>
              </w:rPr>
              <w:t>4.2.6.</w:t>
            </w:r>
            <w:r w:rsidR="00FA6D55" w:rsidRPr="009610A8">
              <w:rPr>
                <w:noProof/>
                <w:lang w:val="en-AU" w:eastAsia="en-AU"/>
              </w:rPr>
              <w:tab/>
            </w:r>
            <w:r w:rsidR="00FA6D55" w:rsidRPr="009610A8">
              <w:rPr>
                <w:rStyle w:val="Hyperlink"/>
                <w:noProof/>
              </w:rPr>
              <w:t>Maintaining practical visa settings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_Toc530471851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40D95A8B" w14:textId="13B99A2B" w:rsidR="00FA6D55" w:rsidRPr="009610A8" w:rsidRDefault="008B6F3B">
          <w:pPr>
            <w:pStyle w:val="TOC3"/>
            <w:tabs>
              <w:tab w:val="left" w:pos="1320"/>
              <w:tab w:val="right" w:leader="dot" w:pos="9962"/>
            </w:tabs>
            <w:rPr>
              <w:noProof/>
              <w:lang w:val="en-AU" w:eastAsia="en-AU"/>
            </w:rPr>
          </w:pPr>
          <w:hyperlink w:anchor="_Toc530471852" w:history="1">
            <w:r w:rsidR="00FA6D55" w:rsidRPr="009610A8">
              <w:rPr>
                <w:rStyle w:val="Hyperlink"/>
                <w:noProof/>
              </w:rPr>
              <w:t>4.2.7.</w:t>
            </w:r>
            <w:r w:rsidR="00FA6D55" w:rsidRPr="009610A8">
              <w:rPr>
                <w:noProof/>
                <w:lang w:val="en-AU" w:eastAsia="en-AU"/>
              </w:rPr>
              <w:tab/>
            </w:r>
            <w:r w:rsidR="00FA6D55" w:rsidRPr="009610A8">
              <w:rPr>
                <w:rStyle w:val="Hyperlink"/>
                <w:noProof/>
              </w:rPr>
              <w:t>Improving coordination across government</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_Toc530471852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D736953" w14:textId="30EF1744" w:rsidR="00FA6D55" w:rsidRPr="009610A8" w:rsidRDefault="008B6F3B">
          <w:pPr>
            <w:pStyle w:val="TOC3"/>
            <w:tabs>
              <w:tab w:val="left" w:pos="1320"/>
              <w:tab w:val="right" w:leader="dot" w:pos="9962"/>
            </w:tabs>
            <w:rPr>
              <w:noProof/>
              <w:lang w:val="en-AU" w:eastAsia="en-AU"/>
            </w:rPr>
          </w:pPr>
          <w:hyperlink w:anchor="_Toc530471853" w:history="1">
            <w:r w:rsidR="00FA6D55" w:rsidRPr="009610A8">
              <w:rPr>
                <w:rStyle w:val="Hyperlink"/>
                <w:noProof/>
              </w:rPr>
              <w:t>4.2.8.</w:t>
            </w:r>
            <w:r w:rsidR="00FA6D55" w:rsidRPr="009610A8">
              <w:rPr>
                <w:noProof/>
                <w:lang w:val="en-AU" w:eastAsia="en-AU"/>
              </w:rPr>
              <w:tab/>
            </w:r>
            <w:r w:rsidR="00FA6D55" w:rsidRPr="009610A8">
              <w:rPr>
                <w:rStyle w:val="Hyperlink"/>
                <w:noProof/>
              </w:rPr>
              <w:t>Leveraging multilateral partnerships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_Toc530471853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7F9C8564" w14:textId="7418550A" w:rsidR="00FA6D55" w:rsidRPr="009610A8" w:rsidRDefault="008B6F3B">
          <w:pPr>
            <w:pStyle w:val="TOC3"/>
            <w:tabs>
              <w:tab w:val="left" w:pos="1320"/>
              <w:tab w:val="right" w:leader="dot" w:pos="9962"/>
            </w:tabs>
            <w:rPr>
              <w:noProof/>
              <w:lang w:val="en-AU" w:eastAsia="en-AU"/>
            </w:rPr>
          </w:pPr>
          <w:hyperlink w:anchor="_Toc530471854" w:history="1">
            <w:r w:rsidR="00FA6D55" w:rsidRPr="009610A8">
              <w:rPr>
                <w:rStyle w:val="Hyperlink"/>
                <w:noProof/>
              </w:rPr>
              <w:t>4.2.9.</w:t>
            </w:r>
            <w:r w:rsidR="00FA6D55" w:rsidRPr="009610A8">
              <w:rPr>
                <w:noProof/>
                <w:lang w:val="en-AU" w:eastAsia="en-AU"/>
              </w:rPr>
              <w:tab/>
            </w:r>
            <w:r w:rsidR="00FA6D55" w:rsidRPr="009610A8">
              <w:rPr>
                <w:rStyle w:val="Hyperlink"/>
                <w:noProof/>
              </w:rPr>
              <w:t>Growing bilateral partnerships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_Toc530471854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2B6516E" w14:textId="1E0470A1" w:rsidR="00FA6D55" w:rsidRPr="009610A8" w:rsidRDefault="008B6F3B">
          <w:pPr>
            <w:pStyle w:val="TOC2"/>
            <w:tabs>
              <w:tab w:val="left" w:pos="880"/>
              <w:tab w:val="right" w:leader="dot" w:pos="9962"/>
            </w:tabs>
            <w:rPr>
              <w:noProof/>
              <w:lang w:val="en-AU" w:eastAsia="en-AU"/>
            </w:rPr>
          </w:pPr>
          <w:hyperlink w:anchor="_Toc530471857" w:history="1">
            <w:r w:rsidR="00FA6D55" w:rsidRPr="009610A8">
              <w:rPr>
                <w:rStyle w:val="Hyperlink"/>
                <w:noProof/>
              </w:rPr>
              <w:t>4.3.</w:t>
            </w:r>
            <w:r w:rsidR="00FA6D55" w:rsidRPr="009610A8">
              <w:rPr>
                <w:noProof/>
                <w:lang w:val="en-AU" w:eastAsia="en-AU"/>
              </w:rPr>
              <w:tab/>
            </w:r>
            <w:r w:rsidR="00FA6D55" w:rsidRPr="009610A8">
              <w:rPr>
                <w:rStyle w:val="Hyperlink"/>
                <w:noProof/>
              </w:rPr>
              <w:t>Pillar 3 - Competing globally</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_Toc530471857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75EA56E" w14:textId="58387F15" w:rsidR="00FA6D55" w:rsidRPr="009610A8" w:rsidRDefault="008B6F3B">
          <w:pPr>
            <w:pStyle w:val="TOC3"/>
            <w:tabs>
              <w:tab w:val="left" w:pos="1320"/>
              <w:tab w:val="right" w:leader="dot" w:pos="9962"/>
            </w:tabs>
            <w:rPr>
              <w:noProof/>
              <w:lang w:val="en-AU" w:eastAsia="en-AU"/>
            </w:rPr>
          </w:pPr>
          <w:hyperlink w:anchor="_Toc530471858" w:history="1">
            <w:r w:rsidR="00FA6D55" w:rsidRPr="009610A8">
              <w:rPr>
                <w:rStyle w:val="Hyperlink"/>
                <w:noProof/>
              </w:rPr>
              <w:t>4.3.1.</w:t>
            </w:r>
            <w:r w:rsidR="00FA6D55" w:rsidRPr="009610A8">
              <w:rPr>
                <w:noProof/>
                <w:lang w:val="en-AU" w:eastAsia="en-AU"/>
              </w:rPr>
              <w:tab/>
            </w:r>
            <w:r w:rsidR="00FA6D55" w:rsidRPr="009610A8">
              <w:rPr>
                <w:rStyle w:val="Hyperlink"/>
                <w:noProof/>
              </w:rPr>
              <w:t>Ensuring a coordinated approach to destination marketing</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_Toc530471858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4FD36D8" w14:textId="0A770C50" w:rsidR="00FA6D55" w:rsidRPr="009610A8" w:rsidRDefault="008B6F3B">
          <w:pPr>
            <w:pStyle w:val="TOC3"/>
            <w:tabs>
              <w:tab w:val="left" w:pos="1320"/>
              <w:tab w:val="right" w:leader="dot" w:pos="9962"/>
            </w:tabs>
            <w:rPr>
              <w:noProof/>
              <w:lang w:val="en-AU" w:eastAsia="en-AU"/>
            </w:rPr>
          </w:pPr>
          <w:hyperlink w:anchor="_Toc530471859" w:history="1">
            <w:r w:rsidR="00FA6D55" w:rsidRPr="009610A8">
              <w:rPr>
                <w:rStyle w:val="Hyperlink"/>
                <w:noProof/>
              </w:rPr>
              <w:t>4.3.2.</w:t>
            </w:r>
            <w:r w:rsidR="00FA6D55" w:rsidRPr="009610A8">
              <w:rPr>
                <w:noProof/>
                <w:lang w:val="en-AU" w:eastAsia="en-AU"/>
              </w:rPr>
              <w:tab/>
            </w:r>
            <w:r w:rsidR="00FA6D55" w:rsidRPr="009610A8">
              <w:rPr>
                <w:rStyle w:val="Hyperlink"/>
                <w:noProof/>
              </w:rPr>
              <w:t>Promoting Australia’s excellence</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_Toc530471859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12DB3B1" w14:textId="2D93700A" w:rsidR="00FA6D55" w:rsidRPr="009610A8" w:rsidRDefault="008B6F3B">
          <w:pPr>
            <w:pStyle w:val="TOC3"/>
            <w:tabs>
              <w:tab w:val="left" w:pos="1320"/>
              <w:tab w:val="right" w:leader="dot" w:pos="9962"/>
            </w:tabs>
            <w:rPr>
              <w:noProof/>
              <w:lang w:val="en-AU" w:eastAsia="en-AU"/>
            </w:rPr>
          </w:pPr>
          <w:hyperlink w:anchor="_Toc530471860" w:history="1">
            <w:r w:rsidR="00FA6D55" w:rsidRPr="009610A8">
              <w:rPr>
                <w:rStyle w:val="Hyperlink"/>
                <w:noProof/>
              </w:rPr>
              <w:t>4.3.3.</w:t>
            </w:r>
            <w:r w:rsidR="00FA6D55" w:rsidRPr="009610A8">
              <w:rPr>
                <w:noProof/>
                <w:lang w:val="en-AU" w:eastAsia="en-AU"/>
              </w:rPr>
              <w:tab/>
            </w:r>
            <w:r w:rsidR="00FA6D55" w:rsidRPr="009610A8">
              <w:rPr>
                <w:rStyle w:val="Hyperlink"/>
                <w:noProof/>
              </w:rPr>
              <w:t>Growing international education in regional Australia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_Toc530471860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7153621E" w14:textId="3E77CCBF" w:rsidR="00FA6D55" w:rsidRPr="009610A8" w:rsidRDefault="008B6F3B">
          <w:pPr>
            <w:pStyle w:val="TOC3"/>
            <w:tabs>
              <w:tab w:val="left" w:pos="1320"/>
              <w:tab w:val="right" w:leader="dot" w:pos="9962"/>
            </w:tabs>
            <w:rPr>
              <w:noProof/>
              <w:lang w:val="en-AU" w:eastAsia="en-AU"/>
            </w:rPr>
          </w:pPr>
          <w:hyperlink w:anchor="_Toc530471862" w:history="1">
            <w:r w:rsidR="00FA6D55" w:rsidRPr="009610A8">
              <w:rPr>
                <w:rStyle w:val="Hyperlink"/>
                <w:noProof/>
              </w:rPr>
              <w:t>4.3.4.</w:t>
            </w:r>
            <w:r w:rsidR="00FA6D55" w:rsidRPr="009610A8">
              <w:rPr>
                <w:noProof/>
                <w:lang w:val="en-AU" w:eastAsia="en-AU"/>
              </w:rPr>
              <w:tab/>
            </w:r>
            <w:r w:rsidR="00FA6D55" w:rsidRPr="009610A8">
              <w:rPr>
                <w:rStyle w:val="Hyperlink"/>
                <w:noProof/>
              </w:rPr>
              <w:t>Pursuing strategic growth opportunities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_Toc530471862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6E80A6B" w14:textId="5462B13F" w:rsidR="00FA6D55" w:rsidRPr="009610A8" w:rsidRDefault="008B6F3B">
          <w:pPr>
            <w:pStyle w:val="TOC3"/>
            <w:tabs>
              <w:tab w:val="left" w:pos="1320"/>
              <w:tab w:val="right" w:leader="dot" w:pos="9962"/>
            </w:tabs>
            <w:rPr>
              <w:noProof/>
              <w:lang w:val="en-AU" w:eastAsia="en-AU"/>
            </w:rPr>
          </w:pPr>
          <w:hyperlink w:anchor="_Toc530471863" w:history="1">
            <w:r w:rsidR="00FA6D55" w:rsidRPr="009610A8">
              <w:rPr>
                <w:rStyle w:val="Hyperlink"/>
                <w:noProof/>
              </w:rPr>
              <w:t>4.3.5.</w:t>
            </w:r>
            <w:r w:rsidR="00FA6D55" w:rsidRPr="009610A8">
              <w:rPr>
                <w:noProof/>
                <w:lang w:val="en-AU" w:eastAsia="en-AU"/>
              </w:rPr>
              <w:tab/>
            </w:r>
            <w:r w:rsidR="00FA6D55" w:rsidRPr="009610A8">
              <w:rPr>
                <w:rStyle w:val="Hyperlink"/>
                <w:noProof/>
              </w:rPr>
              <w:t>Building the capacity of our schools to engage internationally</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_Toc530471863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EE4658B" w14:textId="720242BA" w:rsidR="00FA6D55" w:rsidRPr="009610A8" w:rsidRDefault="008B6F3B">
          <w:pPr>
            <w:pStyle w:val="TOC3"/>
            <w:tabs>
              <w:tab w:val="left" w:pos="1320"/>
              <w:tab w:val="right" w:leader="dot" w:pos="9962"/>
            </w:tabs>
            <w:rPr>
              <w:noProof/>
              <w:lang w:val="en-AU" w:eastAsia="en-AU"/>
            </w:rPr>
          </w:pPr>
          <w:hyperlink w:anchor="_Toc530471864" w:history="1">
            <w:r w:rsidR="00FA6D55" w:rsidRPr="009610A8">
              <w:rPr>
                <w:rStyle w:val="Hyperlink"/>
                <w:noProof/>
              </w:rPr>
              <w:t>4.3.6.</w:t>
            </w:r>
            <w:r w:rsidR="00FA6D55" w:rsidRPr="009610A8">
              <w:rPr>
                <w:noProof/>
                <w:lang w:val="en-AU" w:eastAsia="en-AU"/>
              </w:rPr>
              <w:tab/>
            </w:r>
            <w:r w:rsidR="00FA6D55" w:rsidRPr="009610A8">
              <w:rPr>
                <w:rStyle w:val="Hyperlink"/>
                <w:noProof/>
              </w:rPr>
              <w:t>Facilitating offshore delivery of VET</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_Toc530471864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0B184198" w14:textId="73C61378" w:rsidR="00FA6D55" w:rsidRPr="009610A8" w:rsidRDefault="008B6F3B">
          <w:pPr>
            <w:pStyle w:val="TOC3"/>
            <w:tabs>
              <w:tab w:val="left" w:pos="1320"/>
              <w:tab w:val="right" w:leader="dot" w:pos="9962"/>
            </w:tabs>
            <w:rPr>
              <w:noProof/>
              <w:lang w:val="en-AU" w:eastAsia="en-AU"/>
            </w:rPr>
          </w:pPr>
          <w:hyperlink w:anchor="_Toc530471865" w:history="1">
            <w:r w:rsidR="00FA6D55" w:rsidRPr="009610A8">
              <w:rPr>
                <w:rStyle w:val="Hyperlink"/>
                <w:noProof/>
              </w:rPr>
              <w:t>4.3.7.</w:t>
            </w:r>
            <w:r w:rsidR="00FA6D55" w:rsidRPr="009610A8">
              <w:rPr>
                <w:noProof/>
                <w:lang w:val="en-AU" w:eastAsia="en-AU"/>
              </w:rPr>
              <w:tab/>
            </w:r>
            <w:r w:rsidR="00FA6D55" w:rsidRPr="009610A8">
              <w:rPr>
                <w:rStyle w:val="Hyperlink"/>
                <w:noProof/>
              </w:rPr>
              <w:t>Supporting diversification into growth areas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_Toc530471865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C990B42" w14:textId="5B85BD19" w:rsidR="00FA6D55" w:rsidRPr="009610A8" w:rsidRDefault="008B6F3B">
          <w:pPr>
            <w:pStyle w:val="TOC3"/>
            <w:tabs>
              <w:tab w:val="left" w:pos="1320"/>
              <w:tab w:val="right" w:leader="dot" w:pos="9962"/>
            </w:tabs>
            <w:rPr>
              <w:noProof/>
              <w:lang w:val="en-AU" w:eastAsia="en-AU"/>
            </w:rPr>
          </w:pPr>
          <w:hyperlink w:anchor="_Toc530471866" w:history="1">
            <w:r w:rsidR="00FA6D55" w:rsidRPr="009610A8">
              <w:rPr>
                <w:rStyle w:val="Hyperlink"/>
                <w:noProof/>
              </w:rPr>
              <w:t>4.3.8.</w:t>
            </w:r>
            <w:r w:rsidR="00FA6D55" w:rsidRPr="009610A8">
              <w:rPr>
                <w:noProof/>
                <w:lang w:val="en-AU" w:eastAsia="en-AU"/>
              </w:rPr>
              <w:tab/>
            </w:r>
            <w:r w:rsidR="00FA6D55" w:rsidRPr="009610A8">
              <w:rPr>
                <w:rStyle w:val="Hyperlink"/>
                <w:noProof/>
              </w:rPr>
              <w:t>Competing at scale through consortia and partnerships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_Toc530471866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651AECE" w14:textId="03B35C81" w:rsidR="00FA6D55" w:rsidRPr="009610A8" w:rsidRDefault="008B6F3B">
          <w:pPr>
            <w:pStyle w:val="TOC1"/>
            <w:tabs>
              <w:tab w:val="left" w:pos="440"/>
              <w:tab w:val="right" w:leader="dot" w:pos="9962"/>
            </w:tabs>
            <w:rPr>
              <w:noProof/>
              <w:lang w:val="en-AU" w:eastAsia="en-AU"/>
            </w:rPr>
          </w:pPr>
          <w:hyperlink w:anchor="_Toc530471867" w:history="1">
            <w:r w:rsidR="00FA6D55" w:rsidRPr="009610A8">
              <w:rPr>
                <w:rStyle w:val="Hyperlink"/>
                <w:noProof/>
              </w:rPr>
              <w:t>5.</w:t>
            </w:r>
            <w:r w:rsidR="00FA6D55" w:rsidRPr="009610A8">
              <w:rPr>
                <w:noProof/>
                <w:lang w:val="en-AU" w:eastAsia="en-AU"/>
              </w:rPr>
              <w:tab/>
            </w:r>
            <w:r w:rsidR="00FA6D55" w:rsidRPr="009610A8">
              <w:rPr>
                <w:rStyle w:val="Hyperlink"/>
                <w:noProof/>
              </w:rPr>
              <w:t>The year ahead</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_Toc530471867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16ABE7C9" w14:textId="2C616E27" w:rsidR="00FA6D55" w:rsidRPr="009610A8" w:rsidRDefault="008B6F3B">
          <w:pPr>
            <w:pStyle w:val="TOC2"/>
            <w:tabs>
              <w:tab w:val="left" w:pos="880"/>
              <w:tab w:val="right" w:leader="dot" w:pos="9962"/>
            </w:tabs>
            <w:rPr>
              <w:noProof/>
              <w:lang w:val="en-AU" w:eastAsia="en-AU"/>
            </w:rPr>
          </w:pPr>
          <w:hyperlink w:anchor="_Toc530471868" w:history="1">
            <w:r w:rsidR="00FA6D55" w:rsidRPr="009610A8">
              <w:rPr>
                <w:rStyle w:val="Hyperlink"/>
                <w:noProof/>
              </w:rPr>
              <w:t>5.1.</w:t>
            </w:r>
            <w:r w:rsidR="00FA6D55" w:rsidRPr="009610A8">
              <w:rPr>
                <w:noProof/>
                <w:lang w:val="en-AU" w:eastAsia="en-AU"/>
              </w:rPr>
              <w:tab/>
            </w:r>
            <w:r w:rsidR="00FA6D55" w:rsidRPr="009610A8">
              <w:rPr>
                <w:rStyle w:val="Hyperlink"/>
                <w:noProof/>
              </w:rPr>
              <w:t>Ensuring sustainable growth of the international education sector</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_Toc530471868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BE7C06B" w14:textId="0C3071FC" w:rsidR="00FA6D55" w:rsidRPr="009610A8" w:rsidRDefault="008B6F3B">
          <w:pPr>
            <w:pStyle w:val="TOC2"/>
            <w:tabs>
              <w:tab w:val="left" w:pos="880"/>
              <w:tab w:val="right" w:leader="dot" w:pos="9962"/>
            </w:tabs>
            <w:rPr>
              <w:noProof/>
              <w:lang w:val="en-AU" w:eastAsia="en-AU"/>
            </w:rPr>
          </w:pPr>
          <w:hyperlink w:anchor="_Toc530471869" w:history="1">
            <w:r w:rsidR="00FA6D55" w:rsidRPr="009610A8">
              <w:rPr>
                <w:rStyle w:val="Hyperlink"/>
                <w:noProof/>
              </w:rPr>
              <w:t>5.2.</w:t>
            </w:r>
            <w:r w:rsidR="00FA6D55" w:rsidRPr="009610A8">
              <w:rPr>
                <w:noProof/>
                <w:lang w:val="en-AU" w:eastAsia="en-AU"/>
              </w:rPr>
              <w:tab/>
            </w:r>
            <w:r w:rsidR="00FA6D55" w:rsidRPr="009610A8">
              <w:rPr>
                <w:rStyle w:val="Hyperlink"/>
                <w:noProof/>
              </w:rPr>
              <w:t>Communicating the benefits of international education to Australia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_Toc530471869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4CD9DC3" w14:textId="1F997F4F" w:rsidR="00FA6D55" w:rsidRPr="009610A8" w:rsidRDefault="008B6F3B">
          <w:pPr>
            <w:pStyle w:val="TOC2"/>
            <w:tabs>
              <w:tab w:val="left" w:pos="880"/>
              <w:tab w:val="right" w:leader="dot" w:pos="9962"/>
            </w:tabs>
            <w:rPr>
              <w:noProof/>
              <w:lang w:val="en-AU" w:eastAsia="en-AU"/>
            </w:rPr>
          </w:pPr>
          <w:hyperlink w:anchor="_Toc530471870" w:history="1">
            <w:r w:rsidR="00FA6D55" w:rsidRPr="009610A8">
              <w:rPr>
                <w:rStyle w:val="Hyperlink"/>
                <w:noProof/>
              </w:rPr>
              <w:t>5.3.</w:t>
            </w:r>
            <w:r w:rsidR="00FA6D55" w:rsidRPr="009610A8">
              <w:rPr>
                <w:noProof/>
                <w:lang w:val="en-AU" w:eastAsia="en-AU"/>
              </w:rPr>
              <w:tab/>
            </w:r>
            <w:r w:rsidR="00FA6D55" w:rsidRPr="009610A8">
              <w:rPr>
                <w:rStyle w:val="Hyperlink"/>
                <w:noProof/>
              </w:rPr>
              <w:t>Growing opportunities for VET</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_Toc530471870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F2A3A53" w14:textId="7E05E362" w:rsidR="00FA6D55" w:rsidRPr="009610A8" w:rsidRDefault="008B6F3B">
          <w:pPr>
            <w:pStyle w:val="TOC2"/>
            <w:tabs>
              <w:tab w:val="left" w:pos="880"/>
              <w:tab w:val="right" w:leader="dot" w:pos="9962"/>
            </w:tabs>
            <w:rPr>
              <w:noProof/>
              <w:lang w:val="en-AU" w:eastAsia="en-AU"/>
            </w:rPr>
          </w:pPr>
          <w:hyperlink w:anchor="_Toc530471871" w:history="1">
            <w:r w:rsidR="00FA6D55" w:rsidRPr="009610A8">
              <w:rPr>
                <w:rStyle w:val="Hyperlink"/>
                <w:noProof/>
              </w:rPr>
              <w:t>5.4.</w:t>
            </w:r>
            <w:r w:rsidR="00FA6D55" w:rsidRPr="009610A8">
              <w:rPr>
                <w:noProof/>
                <w:lang w:val="en-AU" w:eastAsia="en-AU"/>
              </w:rPr>
              <w:tab/>
            </w:r>
            <w:r w:rsidR="00FA6D55" w:rsidRPr="009610A8">
              <w:rPr>
                <w:rStyle w:val="Hyperlink"/>
                <w:noProof/>
              </w:rPr>
              <w:t>Improving the transparency and practice of education agents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_Toc530471871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20C5EFD" w14:textId="36DAF07C" w:rsidR="00FA6D55" w:rsidRPr="009610A8" w:rsidRDefault="008B6F3B">
          <w:pPr>
            <w:pStyle w:val="TOC2"/>
            <w:tabs>
              <w:tab w:val="left" w:pos="880"/>
              <w:tab w:val="right" w:leader="dot" w:pos="9962"/>
            </w:tabs>
            <w:rPr>
              <w:noProof/>
              <w:lang w:val="en-AU" w:eastAsia="en-AU"/>
            </w:rPr>
          </w:pPr>
          <w:hyperlink w:anchor="_Toc530471872" w:history="1">
            <w:r w:rsidR="00FA6D55" w:rsidRPr="009610A8">
              <w:rPr>
                <w:rStyle w:val="Hyperlink"/>
                <w:noProof/>
              </w:rPr>
              <w:t>5.5.</w:t>
            </w:r>
            <w:r w:rsidR="00FA6D55" w:rsidRPr="009610A8">
              <w:rPr>
                <w:noProof/>
                <w:lang w:val="en-AU" w:eastAsia="en-AU"/>
              </w:rPr>
              <w:tab/>
            </w:r>
            <w:r w:rsidR="00FA6D55" w:rsidRPr="009610A8">
              <w:rPr>
                <w:rStyle w:val="Hyperlink"/>
                <w:noProof/>
              </w:rPr>
              <w:t>Improving work-integrated learning opportunities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_Toc530471872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FA4EBC6" w14:textId="648E6170" w:rsidR="00FA6D55" w:rsidRPr="009610A8" w:rsidRDefault="008B6F3B">
          <w:pPr>
            <w:pStyle w:val="TOC2"/>
            <w:tabs>
              <w:tab w:val="left" w:pos="880"/>
              <w:tab w:val="right" w:leader="dot" w:pos="9962"/>
            </w:tabs>
            <w:rPr>
              <w:noProof/>
              <w:lang w:val="en-AU" w:eastAsia="en-AU"/>
            </w:rPr>
          </w:pPr>
          <w:hyperlink w:anchor="_Toc530471873" w:history="1">
            <w:r w:rsidR="00FA6D55" w:rsidRPr="009610A8">
              <w:rPr>
                <w:rStyle w:val="Hyperlink"/>
                <w:noProof/>
              </w:rPr>
              <w:t>5.6.</w:t>
            </w:r>
            <w:r w:rsidR="00FA6D55" w:rsidRPr="009610A8">
              <w:rPr>
                <w:noProof/>
                <w:lang w:val="en-AU" w:eastAsia="en-AU"/>
              </w:rPr>
              <w:tab/>
            </w:r>
            <w:r w:rsidR="00FA6D55" w:rsidRPr="009610A8">
              <w:rPr>
                <w:rStyle w:val="Hyperlink"/>
                <w:noProof/>
              </w:rPr>
              <w:t>Facilitating greater international engagement in the schools sector</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_Toc530471873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4F5D8EE" w14:textId="4D99D5B8" w:rsidR="00FA6D55" w:rsidRPr="009610A8" w:rsidRDefault="008B6F3B">
          <w:pPr>
            <w:pStyle w:val="TOC2"/>
            <w:tabs>
              <w:tab w:val="left" w:pos="880"/>
              <w:tab w:val="right" w:leader="dot" w:pos="9962"/>
            </w:tabs>
            <w:rPr>
              <w:noProof/>
              <w:lang w:val="en-AU" w:eastAsia="en-AU"/>
            </w:rPr>
          </w:pPr>
          <w:hyperlink w:anchor="_Toc530471874" w:history="1">
            <w:r w:rsidR="00FA6D55" w:rsidRPr="009610A8">
              <w:rPr>
                <w:rStyle w:val="Hyperlink"/>
                <w:noProof/>
              </w:rPr>
              <w:t>5.7.</w:t>
            </w:r>
            <w:r w:rsidR="00FA6D55" w:rsidRPr="009610A8">
              <w:rPr>
                <w:noProof/>
                <w:lang w:val="en-AU" w:eastAsia="en-AU"/>
              </w:rPr>
              <w:tab/>
            </w:r>
            <w:r w:rsidR="00FA6D55" w:rsidRPr="009610A8">
              <w:rPr>
                <w:rStyle w:val="Hyperlink"/>
                <w:noProof/>
              </w:rPr>
              <w:t>Implementing the recommendations from the Latin America Working Group Report</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_Toc530471874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568FFFAC" w14:textId="662F09FE" w:rsidR="00FA6D55" w:rsidRPr="009610A8" w:rsidRDefault="008B6F3B">
          <w:pPr>
            <w:pStyle w:val="TOC2"/>
            <w:tabs>
              <w:tab w:val="left" w:pos="880"/>
              <w:tab w:val="right" w:leader="dot" w:pos="9962"/>
            </w:tabs>
            <w:rPr>
              <w:noProof/>
              <w:lang w:val="en-AU" w:eastAsia="en-AU"/>
            </w:rPr>
          </w:pPr>
          <w:hyperlink w:anchor="_Toc530471875" w:history="1">
            <w:r w:rsidR="00FA6D55" w:rsidRPr="009610A8">
              <w:rPr>
                <w:rStyle w:val="Hyperlink"/>
                <w:noProof/>
              </w:rPr>
              <w:t>5.8.</w:t>
            </w:r>
            <w:r w:rsidR="00FA6D55" w:rsidRPr="009610A8">
              <w:rPr>
                <w:noProof/>
                <w:lang w:val="en-AU" w:eastAsia="en-AU"/>
              </w:rPr>
              <w:tab/>
            </w:r>
            <w:r w:rsidR="00FA6D55" w:rsidRPr="009610A8">
              <w:rPr>
                <w:rStyle w:val="Hyperlink"/>
                <w:noProof/>
              </w:rPr>
              <w:t>A focus on China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_Toc530471875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D5041D3" w14:textId="37EA912E" w:rsidR="00FA6D55" w:rsidRPr="009610A8" w:rsidRDefault="008B6F3B">
          <w:pPr>
            <w:pStyle w:val="TOC2"/>
            <w:tabs>
              <w:tab w:val="left" w:pos="880"/>
              <w:tab w:val="right" w:leader="dot" w:pos="9962"/>
            </w:tabs>
            <w:rPr>
              <w:noProof/>
              <w:lang w:val="en-AU" w:eastAsia="en-AU"/>
            </w:rPr>
          </w:pPr>
          <w:hyperlink w:anchor="_Toc530471876" w:history="1">
            <w:r w:rsidR="00FA6D55" w:rsidRPr="009610A8">
              <w:rPr>
                <w:rStyle w:val="Hyperlink"/>
                <w:noProof/>
              </w:rPr>
              <w:t>5.9.</w:t>
            </w:r>
            <w:r w:rsidR="00FA6D55" w:rsidRPr="009610A8">
              <w:rPr>
                <w:noProof/>
                <w:lang w:val="en-AU" w:eastAsia="en-AU"/>
              </w:rPr>
              <w:tab/>
            </w:r>
            <w:r w:rsidR="00FA6D55" w:rsidRPr="009610A8">
              <w:rPr>
                <w:rStyle w:val="Hyperlink"/>
                <w:noProof/>
              </w:rPr>
              <w:t>A focus on India</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_Toc530471876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3AFA1B69" w14:textId="22B7F207" w:rsidR="00FA6D55" w:rsidRPr="009610A8" w:rsidRDefault="008B6F3B">
          <w:pPr>
            <w:pStyle w:val="TOC1"/>
            <w:tabs>
              <w:tab w:val="left" w:pos="440"/>
              <w:tab w:val="right" w:leader="dot" w:pos="9962"/>
            </w:tabs>
            <w:rPr>
              <w:noProof/>
              <w:lang w:val="en-AU" w:eastAsia="en-AU"/>
            </w:rPr>
          </w:pPr>
          <w:hyperlink w:anchor="_Toc530471877" w:history="1">
            <w:r w:rsidR="00FA6D55" w:rsidRPr="009610A8">
              <w:rPr>
                <w:rStyle w:val="Hyperlink"/>
                <w:noProof/>
              </w:rPr>
              <w:t>6.</w:t>
            </w:r>
            <w:r w:rsidR="00FA6D55" w:rsidRPr="009610A8">
              <w:rPr>
                <w:noProof/>
                <w:lang w:val="en-AU" w:eastAsia="en-AU"/>
              </w:rPr>
              <w:tab/>
            </w:r>
            <w:r w:rsidR="00FA6D55" w:rsidRPr="009610A8">
              <w:rPr>
                <w:rStyle w:val="Hyperlink"/>
                <w:noProof/>
              </w:rPr>
              <w:t>Conclusion</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_Toc530471877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27FA6A61" w14:textId="18302D27" w:rsidR="00FA6D55" w:rsidRPr="009610A8" w:rsidRDefault="008B6F3B">
          <w:pPr>
            <w:pStyle w:val="TOC1"/>
            <w:tabs>
              <w:tab w:val="right" w:leader="dot" w:pos="9962"/>
            </w:tabs>
            <w:rPr>
              <w:noProof/>
              <w:lang w:val="en-AU" w:eastAsia="en-AU"/>
            </w:rPr>
          </w:pPr>
          <w:hyperlink w:anchor="_Toc530471878" w:history="1">
            <w:r w:rsidR="00FA6D55" w:rsidRPr="009610A8">
              <w:rPr>
                <w:rStyle w:val="Hyperlink"/>
                <w:noProof/>
              </w:rPr>
              <w:t>Attachment A: Enabling Growth and Innovation Projects</w:t>
            </w:r>
            <w:r w:rsidR="00FA6D55" w:rsidRPr="009610A8">
              <w:rPr>
                <w:noProof/>
                <w:webHidden/>
              </w:rPr>
              <w:tab/>
            </w:r>
            <w:r w:rsidR="00FA6D55" w:rsidRPr="009610A8">
              <w:rPr>
                <w:noProof/>
                <w:webHidden/>
              </w:rPr>
              <w:fldChar w:fldCharType="begin"/>
            </w:r>
            <w:r w:rsidR="00FA6D55" w:rsidRPr="009610A8">
              <w:rPr>
                <w:noProof/>
                <w:webHidden/>
              </w:rPr>
              <w:instrText xml:space="preserve"> PAGEREF _Toc530471878 \h </w:instrText>
            </w:r>
            <w:r w:rsidR="00FA6D55" w:rsidRPr="009610A8">
              <w:rPr>
                <w:noProof/>
                <w:webHidden/>
              </w:rPr>
            </w:r>
            <w:r w:rsidR="00FA6D55" w:rsidRPr="009610A8">
              <w:rPr>
                <w:noProof/>
                <w:webHidden/>
              </w:rPr>
              <w:fldChar w:fldCharType="separate"/>
            </w:r>
            <w:r w:rsidR="00382AA2">
              <w:rPr>
                <w:noProof/>
                <w:webHidden/>
              </w:rPr>
              <w:t>1</w:t>
            </w:r>
            <w:r w:rsidR="00FA6D55" w:rsidRPr="009610A8">
              <w:rPr>
                <w:noProof/>
                <w:webHidden/>
              </w:rPr>
              <w:fldChar w:fldCharType="end"/>
            </w:r>
          </w:hyperlink>
        </w:p>
        <w:p w14:paraId="6B38C048" w14:textId="47977DFB" w:rsidR="000059AC" w:rsidRPr="009610A8" w:rsidRDefault="00367834" w:rsidP="000059AC">
          <w:pPr>
            <w:spacing w:after="0" w:line="240" w:lineRule="auto"/>
            <w:rPr>
              <w:b/>
              <w:bCs/>
              <w:noProof/>
              <w:sz w:val="16"/>
            </w:rPr>
          </w:pPr>
          <w:r w:rsidRPr="009610A8">
            <w:rPr>
              <w:b/>
              <w:bCs/>
              <w:noProof/>
              <w:sz w:val="20"/>
            </w:rPr>
            <w:fldChar w:fldCharType="end"/>
          </w:r>
        </w:p>
      </w:sdtContent>
    </w:sdt>
    <w:p w14:paraId="7B358243" w14:textId="77777777" w:rsidR="000E2EA6" w:rsidRPr="009610A8" w:rsidRDefault="000E2EA6" w:rsidP="000059AC">
      <w:pPr>
        <w:spacing w:after="0" w:line="240" w:lineRule="auto"/>
        <w:rPr>
          <w:sz w:val="20"/>
        </w:rPr>
      </w:pPr>
      <w:r w:rsidRPr="009610A8">
        <w:rPr>
          <w:sz w:val="20"/>
        </w:rPr>
        <w:br w:type="page"/>
      </w:r>
    </w:p>
    <w:p w14:paraId="4ED34B23" w14:textId="77777777" w:rsidR="00EA37B6" w:rsidRPr="009610A8" w:rsidRDefault="00F5711B" w:rsidP="0009701F">
      <w:pPr>
        <w:pStyle w:val="Heading1"/>
        <w:numPr>
          <w:ilvl w:val="0"/>
          <w:numId w:val="25"/>
        </w:numPr>
        <w:ind w:left="357" w:hanging="357"/>
        <w:rPr>
          <w:sz w:val="32"/>
        </w:rPr>
      </w:pPr>
      <w:bookmarkStart w:id="3" w:name="_Toc530471829"/>
      <w:r w:rsidRPr="009610A8">
        <w:rPr>
          <w:sz w:val="32"/>
        </w:rPr>
        <w:lastRenderedPageBreak/>
        <w:t>Sector Health Check</w:t>
      </w:r>
      <w:bookmarkEnd w:id="3"/>
    </w:p>
    <w:p w14:paraId="1AF64EDD" w14:textId="3F56B028" w:rsidR="00443D7B" w:rsidRPr="009610A8" w:rsidRDefault="007E7215" w:rsidP="00D909F6">
      <w:pPr>
        <w:tabs>
          <w:tab w:val="left" w:pos="5100"/>
        </w:tabs>
        <w:spacing w:after="120" w:line="240" w:lineRule="auto"/>
        <w:rPr>
          <w:szCs w:val="24"/>
        </w:rPr>
      </w:pPr>
      <w:r w:rsidRPr="009610A8">
        <w:rPr>
          <w:szCs w:val="24"/>
        </w:rPr>
        <w:t>International education</w:t>
      </w:r>
      <w:r w:rsidR="00147373" w:rsidRPr="009610A8">
        <w:rPr>
          <w:szCs w:val="24"/>
        </w:rPr>
        <w:t xml:space="preserve"> contributed </w:t>
      </w:r>
      <w:r w:rsidR="00446390" w:rsidRPr="009610A8">
        <w:rPr>
          <w:szCs w:val="24"/>
        </w:rPr>
        <w:t xml:space="preserve">more than $32 </w:t>
      </w:r>
      <w:r w:rsidR="00147373" w:rsidRPr="009610A8">
        <w:rPr>
          <w:szCs w:val="24"/>
        </w:rPr>
        <w:t>billion</w:t>
      </w:r>
      <w:r w:rsidR="009C36E7" w:rsidRPr="009610A8">
        <w:rPr>
          <w:vertAlign w:val="superscript"/>
        </w:rPr>
        <w:footnoteReference w:id="1"/>
      </w:r>
      <w:r w:rsidRPr="009610A8">
        <w:rPr>
          <w:szCs w:val="24"/>
        </w:rPr>
        <w:t xml:space="preserve"> to the Australian economy</w:t>
      </w:r>
      <w:r w:rsidR="00147373" w:rsidRPr="009610A8">
        <w:rPr>
          <w:szCs w:val="24"/>
        </w:rPr>
        <w:t xml:space="preserve"> in 2017</w:t>
      </w:r>
      <w:r w:rsidR="002E6278" w:rsidRPr="009610A8">
        <w:rPr>
          <w:szCs w:val="24"/>
        </w:rPr>
        <w:t>-18</w:t>
      </w:r>
      <w:r w:rsidR="00446390" w:rsidRPr="009610A8">
        <w:rPr>
          <w:szCs w:val="24"/>
        </w:rPr>
        <w:t xml:space="preserve">. </w:t>
      </w:r>
      <w:r w:rsidR="00147373" w:rsidRPr="009610A8">
        <w:rPr>
          <w:szCs w:val="24"/>
        </w:rPr>
        <w:t>Recent e</w:t>
      </w:r>
      <w:r w:rsidR="002B21B1" w:rsidRPr="009610A8">
        <w:rPr>
          <w:szCs w:val="24"/>
        </w:rPr>
        <w:t>s</w:t>
      </w:r>
      <w:r w:rsidR="00147373" w:rsidRPr="009610A8">
        <w:rPr>
          <w:szCs w:val="24"/>
        </w:rPr>
        <w:t>tima</w:t>
      </w:r>
      <w:r w:rsidR="002B21B1" w:rsidRPr="009610A8">
        <w:rPr>
          <w:szCs w:val="24"/>
        </w:rPr>
        <w:t>t</w:t>
      </w:r>
      <w:r w:rsidR="00147373" w:rsidRPr="009610A8">
        <w:rPr>
          <w:szCs w:val="24"/>
        </w:rPr>
        <w:t>es suggest</w:t>
      </w:r>
      <w:r w:rsidRPr="009610A8">
        <w:rPr>
          <w:szCs w:val="24"/>
        </w:rPr>
        <w:t xml:space="preserve"> the sector</w:t>
      </w:r>
      <w:r w:rsidR="00147373" w:rsidRPr="009610A8">
        <w:rPr>
          <w:szCs w:val="24"/>
        </w:rPr>
        <w:t xml:space="preserve"> support</w:t>
      </w:r>
      <w:r w:rsidR="0080111C" w:rsidRPr="009610A8">
        <w:rPr>
          <w:szCs w:val="24"/>
        </w:rPr>
        <w:t>ed</w:t>
      </w:r>
      <w:r w:rsidR="00147373" w:rsidRPr="009610A8">
        <w:rPr>
          <w:szCs w:val="24"/>
        </w:rPr>
        <w:t xml:space="preserve"> more than 240,000</w:t>
      </w:r>
      <w:r w:rsidR="009C36E7" w:rsidRPr="009610A8">
        <w:rPr>
          <w:vertAlign w:val="superscript"/>
        </w:rPr>
        <w:footnoteReference w:id="2"/>
      </w:r>
      <w:r w:rsidR="00147373" w:rsidRPr="009610A8">
        <w:rPr>
          <w:szCs w:val="24"/>
          <w:vertAlign w:val="superscript"/>
        </w:rPr>
        <w:t xml:space="preserve"> </w:t>
      </w:r>
      <w:r w:rsidR="00147373" w:rsidRPr="009610A8">
        <w:rPr>
          <w:szCs w:val="24"/>
        </w:rPr>
        <w:t>jobs</w:t>
      </w:r>
      <w:r w:rsidRPr="009610A8">
        <w:rPr>
          <w:szCs w:val="24"/>
        </w:rPr>
        <w:t xml:space="preserve"> across the country</w:t>
      </w:r>
      <w:r w:rsidR="00281EA7" w:rsidRPr="009610A8">
        <w:rPr>
          <w:szCs w:val="24"/>
        </w:rPr>
        <w:t xml:space="preserve"> in 2017</w:t>
      </w:r>
      <w:r w:rsidRPr="009610A8">
        <w:rPr>
          <w:szCs w:val="24"/>
        </w:rPr>
        <w:t xml:space="preserve">. </w:t>
      </w:r>
    </w:p>
    <w:p w14:paraId="763C4342" w14:textId="6AFEB353" w:rsidR="00EE6A50" w:rsidRPr="009610A8" w:rsidRDefault="007E7215" w:rsidP="00207B65">
      <w:pPr>
        <w:tabs>
          <w:tab w:val="left" w:pos="5100"/>
        </w:tabs>
        <w:spacing w:after="120" w:line="240" w:lineRule="auto"/>
        <w:rPr>
          <w:szCs w:val="24"/>
        </w:rPr>
      </w:pPr>
      <w:r w:rsidRPr="009610A8">
        <w:rPr>
          <w:szCs w:val="24"/>
        </w:rPr>
        <w:t>In 2017, there were</w:t>
      </w:r>
      <w:r w:rsidR="00E11C1B" w:rsidRPr="009610A8">
        <w:rPr>
          <w:szCs w:val="24"/>
        </w:rPr>
        <w:t xml:space="preserve"> over</w:t>
      </w:r>
      <w:r w:rsidRPr="009610A8">
        <w:rPr>
          <w:szCs w:val="24"/>
        </w:rPr>
        <w:t xml:space="preserve"> </w:t>
      </w:r>
      <w:r w:rsidR="00446390" w:rsidRPr="009610A8">
        <w:rPr>
          <w:szCs w:val="24"/>
        </w:rPr>
        <w:t>624,00</w:t>
      </w:r>
      <w:r w:rsidR="00E11C1B" w:rsidRPr="009610A8">
        <w:rPr>
          <w:szCs w:val="24"/>
        </w:rPr>
        <w:t>0</w:t>
      </w:r>
      <w:r w:rsidR="009C36E7" w:rsidRPr="009610A8">
        <w:rPr>
          <w:vertAlign w:val="superscript"/>
        </w:rPr>
        <w:footnoteReference w:id="3"/>
      </w:r>
      <w:r w:rsidRPr="009610A8">
        <w:rPr>
          <w:szCs w:val="24"/>
          <w:vertAlign w:val="superscript"/>
        </w:rPr>
        <w:t xml:space="preserve"> </w:t>
      </w:r>
      <w:r w:rsidRPr="009610A8">
        <w:rPr>
          <w:szCs w:val="24"/>
        </w:rPr>
        <w:t>international students in Australia</w:t>
      </w:r>
      <w:r w:rsidR="00443D7B" w:rsidRPr="009610A8">
        <w:rPr>
          <w:szCs w:val="24"/>
        </w:rPr>
        <w:t>, with g</w:t>
      </w:r>
      <w:r w:rsidR="00BB49A8" w:rsidRPr="009610A8">
        <w:rPr>
          <w:szCs w:val="24"/>
        </w:rPr>
        <w:t>rowth averag</w:t>
      </w:r>
      <w:r w:rsidR="00443D7B" w:rsidRPr="009610A8">
        <w:rPr>
          <w:szCs w:val="24"/>
        </w:rPr>
        <w:t>ing</w:t>
      </w:r>
      <w:r w:rsidRPr="009610A8">
        <w:rPr>
          <w:szCs w:val="24"/>
        </w:rPr>
        <w:t xml:space="preserve"> 11</w:t>
      </w:r>
      <w:r w:rsidR="00856D8E" w:rsidRPr="009610A8">
        <w:rPr>
          <w:szCs w:val="24"/>
        </w:rPr>
        <w:t xml:space="preserve"> per cent</w:t>
      </w:r>
      <w:r w:rsidRPr="009610A8">
        <w:rPr>
          <w:szCs w:val="24"/>
        </w:rPr>
        <w:t xml:space="preserve"> per annum since 2013.</w:t>
      </w:r>
      <w:r w:rsidR="001D50FA" w:rsidRPr="009610A8">
        <w:rPr>
          <w:szCs w:val="24"/>
        </w:rPr>
        <w:t xml:space="preserve"> T</w:t>
      </w:r>
      <w:r w:rsidR="00EE6A50" w:rsidRPr="009610A8">
        <w:rPr>
          <w:szCs w:val="24"/>
        </w:rPr>
        <w:t>his r</w:t>
      </w:r>
      <w:r w:rsidRPr="009610A8">
        <w:rPr>
          <w:szCs w:val="24"/>
        </w:rPr>
        <w:t xml:space="preserve">ate </w:t>
      </w:r>
      <w:r w:rsidR="00446390" w:rsidRPr="009610A8">
        <w:rPr>
          <w:szCs w:val="24"/>
        </w:rPr>
        <w:t xml:space="preserve">of growth </w:t>
      </w:r>
      <w:r w:rsidRPr="009610A8">
        <w:rPr>
          <w:szCs w:val="24"/>
        </w:rPr>
        <w:t xml:space="preserve">is </w:t>
      </w:r>
      <w:r w:rsidR="00F9046C" w:rsidRPr="009610A8">
        <w:rPr>
          <w:szCs w:val="24"/>
        </w:rPr>
        <w:t>showing early signs of</w:t>
      </w:r>
      <w:r w:rsidR="00BE72AF" w:rsidRPr="009610A8">
        <w:rPr>
          <w:szCs w:val="24"/>
        </w:rPr>
        <w:t xml:space="preserve"> slowing</w:t>
      </w:r>
      <w:r w:rsidR="00F9046C" w:rsidRPr="009610A8">
        <w:rPr>
          <w:szCs w:val="24"/>
        </w:rPr>
        <w:t xml:space="preserve">, and is expected </w:t>
      </w:r>
      <w:r w:rsidR="00446390" w:rsidRPr="009610A8">
        <w:rPr>
          <w:szCs w:val="24"/>
        </w:rPr>
        <w:t>to settle</w:t>
      </w:r>
      <w:r w:rsidRPr="009610A8">
        <w:rPr>
          <w:szCs w:val="24"/>
        </w:rPr>
        <w:t xml:space="preserve"> over the next few years.</w:t>
      </w:r>
      <w:r w:rsidR="008E70CE" w:rsidRPr="009610A8">
        <w:rPr>
          <w:szCs w:val="24"/>
        </w:rPr>
        <w:t xml:space="preserve"> </w:t>
      </w:r>
      <w:r w:rsidR="00207B65" w:rsidRPr="009610A8">
        <w:rPr>
          <w:szCs w:val="24"/>
        </w:rPr>
        <w:t xml:space="preserve">The smaller sectors of Australia’s international education offerings are also showing signs of softening. </w:t>
      </w:r>
      <w:r w:rsidR="006853F6" w:rsidRPr="009610A8">
        <w:rPr>
          <w:szCs w:val="24"/>
        </w:rPr>
        <w:t>In 2018, commencements in the English language, school and non-award courses all declined slightly. Despite strong growth in Chinese school enrolments in 2017, school commencements in 2018 have declined by over 6%.</w:t>
      </w:r>
    </w:p>
    <w:p w14:paraId="00ED260E" w14:textId="627E1087" w:rsidR="00281EA7" w:rsidRPr="009610A8" w:rsidRDefault="00C5164B" w:rsidP="00D909F6">
      <w:pPr>
        <w:tabs>
          <w:tab w:val="left" w:pos="5100"/>
        </w:tabs>
        <w:spacing w:after="120" w:line="240" w:lineRule="auto"/>
        <w:rPr>
          <w:szCs w:val="24"/>
        </w:rPr>
      </w:pPr>
      <w:r w:rsidRPr="009610A8">
        <w:rPr>
          <w:szCs w:val="24"/>
        </w:rPr>
        <w:t xml:space="preserve">While total student visa grants </w:t>
      </w:r>
      <w:r w:rsidR="00E11C1B" w:rsidRPr="009610A8">
        <w:rPr>
          <w:szCs w:val="24"/>
        </w:rPr>
        <w:t>grew</w:t>
      </w:r>
      <w:r w:rsidRPr="009610A8">
        <w:rPr>
          <w:szCs w:val="24"/>
        </w:rPr>
        <w:t xml:space="preserve"> by 10 per cent</w:t>
      </w:r>
      <w:r w:rsidR="00E11C1B" w:rsidRPr="009610A8">
        <w:rPr>
          <w:szCs w:val="24"/>
        </w:rPr>
        <w:t xml:space="preserve"> in 2017-18</w:t>
      </w:r>
      <w:r w:rsidRPr="009610A8">
        <w:rPr>
          <w:szCs w:val="24"/>
        </w:rPr>
        <w:t>, g</w:t>
      </w:r>
      <w:r w:rsidR="00F5711B" w:rsidRPr="009610A8">
        <w:rPr>
          <w:szCs w:val="24"/>
        </w:rPr>
        <w:t>rowth in offshore visa</w:t>
      </w:r>
      <w:r w:rsidR="00E11C1B" w:rsidRPr="009610A8">
        <w:rPr>
          <w:szCs w:val="24"/>
        </w:rPr>
        <w:t>s</w:t>
      </w:r>
      <w:r w:rsidR="00F5711B" w:rsidRPr="009610A8">
        <w:rPr>
          <w:szCs w:val="24"/>
        </w:rPr>
        <w:t xml:space="preserve"> grant</w:t>
      </w:r>
      <w:r w:rsidR="00E11C1B" w:rsidRPr="009610A8">
        <w:rPr>
          <w:szCs w:val="24"/>
        </w:rPr>
        <w:t>ed</w:t>
      </w:r>
      <w:r w:rsidR="00F5711B" w:rsidRPr="009610A8">
        <w:rPr>
          <w:szCs w:val="24"/>
        </w:rPr>
        <w:t xml:space="preserve"> slowed to three per cent, </w:t>
      </w:r>
      <w:r w:rsidR="00281EA7" w:rsidRPr="009610A8">
        <w:rPr>
          <w:szCs w:val="24"/>
        </w:rPr>
        <w:t>compared to 11 per cent growth in 2016-17</w:t>
      </w:r>
      <w:r w:rsidR="00E11C1B" w:rsidRPr="009610A8">
        <w:rPr>
          <w:rStyle w:val="FootnoteReference"/>
          <w:szCs w:val="24"/>
        </w:rPr>
        <w:footnoteReference w:id="4"/>
      </w:r>
      <w:r w:rsidR="00F5711B" w:rsidRPr="009610A8">
        <w:rPr>
          <w:szCs w:val="24"/>
        </w:rPr>
        <w:t xml:space="preserve">. </w:t>
      </w:r>
      <w:r w:rsidR="00E11C1B" w:rsidRPr="009610A8">
        <w:rPr>
          <w:szCs w:val="24"/>
        </w:rPr>
        <w:t xml:space="preserve">Further, the current growth in students commencing new courses is only six per cent. Assuming this six per cent growth is the likely growth trend for </w:t>
      </w:r>
      <w:r w:rsidR="00281EA7" w:rsidRPr="009610A8">
        <w:rPr>
          <w:szCs w:val="24"/>
        </w:rPr>
        <w:t xml:space="preserve">2019 and later years, the value of the sector would </w:t>
      </w:r>
      <w:r w:rsidR="00161A59">
        <w:rPr>
          <w:szCs w:val="24"/>
        </w:rPr>
        <w:t xml:space="preserve">be </w:t>
      </w:r>
      <w:r w:rsidR="00E11C1B" w:rsidRPr="009610A8">
        <w:rPr>
          <w:szCs w:val="24"/>
        </w:rPr>
        <w:t xml:space="preserve">lower than it might have been if the current 11 per cent growth had persisted. Nonetheless, six per cent annual growth will still see the sector worth </w:t>
      </w:r>
      <w:r w:rsidR="00281EA7" w:rsidRPr="009610A8">
        <w:rPr>
          <w:szCs w:val="24"/>
        </w:rPr>
        <w:t xml:space="preserve">$50 billion in 2022, supporting 315,000 jobs. A </w:t>
      </w:r>
      <w:r w:rsidR="000F6776" w:rsidRPr="009610A8">
        <w:rPr>
          <w:szCs w:val="24"/>
        </w:rPr>
        <w:t>low growth</w:t>
      </w:r>
      <w:r w:rsidR="00281EA7" w:rsidRPr="009610A8">
        <w:rPr>
          <w:szCs w:val="24"/>
        </w:rPr>
        <w:t xml:space="preserve"> scenario of </w:t>
      </w:r>
      <w:r w:rsidR="008E70CE" w:rsidRPr="009610A8">
        <w:rPr>
          <w:szCs w:val="24"/>
        </w:rPr>
        <w:t xml:space="preserve">three </w:t>
      </w:r>
      <w:r w:rsidR="00F5711B" w:rsidRPr="009610A8">
        <w:rPr>
          <w:szCs w:val="24"/>
        </w:rPr>
        <w:t xml:space="preserve">per </w:t>
      </w:r>
      <w:r w:rsidR="00BE72AF" w:rsidRPr="009610A8">
        <w:rPr>
          <w:szCs w:val="24"/>
        </w:rPr>
        <w:t xml:space="preserve">would </w:t>
      </w:r>
      <w:r w:rsidR="00F5711B" w:rsidRPr="009610A8">
        <w:rPr>
          <w:szCs w:val="24"/>
        </w:rPr>
        <w:t>see a sector worth $43 billion and supporting just over 280,000 jobs in 2022.</w:t>
      </w:r>
    </w:p>
    <w:p w14:paraId="24D989EE" w14:textId="77777777" w:rsidR="00F5711B" w:rsidRPr="009610A8" w:rsidRDefault="00F5711B" w:rsidP="00D909F6">
      <w:pPr>
        <w:tabs>
          <w:tab w:val="left" w:pos="5100"/>
        </w:tabs>
        <w:spacing w:after="120" w:line="240" w:lineRule="auto"/>
        <w:rPr>
          <w:szCs w:val="24"/>
        </w:rPr>
      </w:pPr>
      <w:r w:rsidRPr="009610A8">
        <w:rPr>
          <w:szCs w:val="24"/>
        </w:rPr>
        <w:t xml:space="preserve"> </w:t>
      </w:r>
    </w:p>
    <w:p w14:paraId="488D34B2" w14:textId="77777777" w:rsidR="002B36A1" w:rsidRPr="009610A8" w:rsidRDefault="002B36A1" w:rsidP="00D909F6">
      <w:pPr>
        <w:pStyle w:val="ListParagraph"/>
        <w:numPr>
          <w:ilvl w:val="0"/>
          <w:numId w:val="47"/>
        </w:numPr>
        <w:spacing w:after="0" w:line="240" w:lineRule="auto"/>
        <w:ind w:left="993" w:hanging="993"/>
        <w:rPr>
          <w:color w:val="2E74B5" w:themeColor="accent1" w:themeShade="BF"/>
        </w:rPr>
      </w:pPr>
      <w:r w:rsidRPr="009610A8">
        <w:rPr>
          <w:color w:val="2E74B5" w:themeColor="accent1" w:themeShade="BF"/>
        </w:rPr>
        <w:t>Possible Growth Scenarios</w:t>
      </w:r>
      <w:r w:rsidR="00B7337D" w:rsidRPr="009610A8">
        <w:rPr>
          <w:rStyle w:val="FootnoteReference"/>
          <w:color w:val="2E74B5" w:themeColor="accent1" w:themeShade="BF"/>
        </w:rPr>
        <w:footnoteReference w:id="5"/>
      </w:r>
    </w:p>
    <w:p w14:paraId="6C2B6FB5" w14:textId="491C5819" w:rsidR="00D821D5" w:rsidRPr="009610A8" w:rsidRDefault="00E11C1B" w:rsidP="00A239B3">
      <w:pPr>
        <w:spacing w:after="0" w:line="240" w:lineRule="auto"/>
        <w:jc w:val="center"/>
      </w:pPr>
      <w:r w:rsidRPr="009610A8">
        <w:rPr>
          <w:noProof/>
          <w:lang w:val="en-AU" w:eastAsia="en-AU"/>
        </w:rPr>
        <w:drawing>
          <wp:inline distT="0" distB="0" distL="0" distR="0" wp14:anchorId="7129FA00" wp14:editId="4CA7929B">
            <wp:extent cx="5343525" cy="373177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421" cy="3740780"/>
                    </a:xfrm>
                    <a:prstGeom prst="rect">
                      <a:avLst/>
                    </a:prstGeom>
                    <a:noFill/>
                  </pic:spPr>
                </pic:pic>
              </a:graphicData>
            </a:graphic>
          </wp:inline>
        </w:drawing>
      </w:r>
    </w:p>
    <w:p w14:paraId="59696F95" w14:textId="77777777" w:rsidR="00D821D5" w:rsidRPr="009610A8" w:rsidRDefault="00D821D5" w:rsidP="00A239B3">
      <w:pPr>
        <w:spacing w:after="0" w:line="240" w:lineRule="auto"/>
      </w:pPr>
    </w:p>
    <w:p w14:paraId="3CEA98A5" w14:textId="77777777" w:rsidR="00856D8E" w:rsidRPr="009610A8" w:rsidRDefault="000E2EA6" w:rsidP="00A239B3">
      <w:pPr>
        <w:pStyle w:val="Heading2"/>
        <w:numPr>
          <w:ilvl w:val="1"/>
          <w:numId w:val="25"/>
        </w:numPr>
        <w:spacing w:before="360"/>
        <w:ind w:left="709" w:hanging="709"/>
        <w:rPr>
          <w:sz w:val="28"/>
        </w:rPr>
      </w:pPr>
      <w:bookmarkStart w:id="4" w:name="_Toc529538259"/>
      <w:bookmarkStart w:id="5" w:name="_Toc529538261"/>
      <w:bookmarkStart w:id="6" w:name="_Toc529538262"/>
      <w:bookmarkStart w:id="7" w:name="_Toc529288496"/>
      <w:bookmarkStart w:id="8" w:name="_Toc529431891"/>
      <w:bookmarkStart w:id="9" w:name="_Toc529444161"/>
      <w:bookmarkStart w:id="10" w:name="_Toc529446964"/>
      <w:bookmarkStart w:id="11" w:name="_Toc529456938"/>
      <w:bookmarkStart w:id="12" w:name="_Toc529461670"/>
      <w:bookmarkStart w:id="13" w:name="_Toc529538263"/>
      <w:bookmarkStart w:id="14" w:name="_Toc530471830"/>
      <w:bookmarkEnd w:id="4"/>
      <w:bookmarkEnd w:id="5"/>
      <w:bookmarkEnd w:id="6"/>
      <w:bookmarkEnd w:id="7"/>
      <w:bookmarkEnd w:id="8"/>
      <w:bookmarkEnd w:id="9"/>
      <w:bookmarkEnd w:id="10"/>
      <w:bookmarkEnd w:id="11"/>
      <w:bookmarkEnd w:id="12"/>
      <w:bookmarkEnd w:id="13"/>
      <w:r w:rsidRPr="009610A8">
        <w:rPr>
          <w:sz w:val="28"/>
        </w:rPr>
        <w:t>Higher education</w:t>
      </w:r>
      <w:bookmarkEnd w:id="14"/>
    </w:p>
    <w:p w14:paraId="0EEED2E7" w14:textId="438D1197" w:rsidR="00BA3396" w:rsidRPr="009610A8" w:rsidRDefault="00BA3396" w:rsidP="00CE47E1">
      <w:pPr>
        <w:spacing w:after="120" w:line="240" w:lineRule="auto"/>
        <w:rPr>
          <w:szCs w:val="24"/>
        </w:rPr>
      </w:pPr>
      <w:r w:rsidRPr="009610A8">
        <w:rPr>
          <w:szCs w:val="24"/>
        </w:rPr>
        <w:t>Higher education</w:t>
      </w:r>
      <w:r w:rsidR="007E7215" w:rsidRPr="009610A8">
        <w:rPr>
          <w:szCs w:val="24"/>
        </w:rPr>
        <w:t xml:space="preserve">, </w:t>
      </w:r>
      <w:r w:rsidRPr="009610A8">
        <w:rPr>
          <w:szCs w:val="24"/>
        </w:rPr>
        <w:t>compris</w:t>
      </w:r>
      <w:r w:rsidR="007E7215" w:rsidRPr="009610A8">
        <w:rPr>
          <w:szCs w:val="24"/>
        </w:rPr>
        <w:t>ing</w:t>
      </w:r>
      <w:r w:rsidRPr="009610A8">
        <w:rPr>
          <w:szCs w:val="24"/>
        </w:rPr>
        <w:t xml:space="preserve"> </w:t>
      </w:r>
      <w:r w:rsidR="009843C2" w:rsidRPr="009610A8">
        <w:rPr>
          <w:szCs w:val="24"/>
        </w:rPr>
        <w:t>48</w:t>
      </w:r>
      <w:r w:rsidR="00856D8E" w:rsidRPr="009610A8">
        <w:rPr>
          <w:szCs w:val="24"/>
        </w:rPr>
        <w:t xml:space="preserve"> per cent</w:t>
      </w:r>
      <w:r w:rsidR="001D50FA" w:rsidRPr="009610A8">
        <w:rPr>
          <w:szCs w:val="24"/>
        </w:rPr>
        <w:t xml:space="preserve"> of all international student enrolments</w:t>
      </w:r>
      <w:r w:rsidR="009843C2" w:rsidRPr="009610A8">
        <w:rPr>
          <w:szCs w:val="24"/>
        </w:rPr>
        <w:t xml:space="preserve"> in 2018</w:t>
      </w:r>
      <w:r w:rsidR="00BB49A8" w:rsidRPr="009610A8">
        <w:rPr>
          <w:szCs w:val="24"/>
        </w:rPr>
        <w:t>, is the largest sector</w:t>
      </w:r>
      <w:r w:rsidRPr="009610A8">
        <w:rPr>
          <w:szCs w:val="24"/>
        </w:rPr>
        <w:t xml:space="preserve"> of Australia’s </w:t>
      </w:r>
      <w:r w:rsidR="00BB49A8" w:rsidRPr="009610A8">
        <w:rPr>
          <w:szCs w:val="24"/>
        </w:rPr>
        <w:t xml:space="preserve">onshore </w:t>
      </w:r>
      <w:r w:rsidRPr="009610A8">
        <w:rPr>
          <w:szCs w:val="24"/>
        </w:rPr>
        <w:t xml:space="preserve">international education </w:t>
      </w:r>
      <w:r w:rsidR="00BB49A8" w:rsidRPr="009610A8">
        <w:rPr>
          <w:szCs w:val="24"/>
        </w:rPr>
        <w:t>industry</w:t>
      </w:r>
      <w:r w:rsidR="00F04DB1" w:rsidRPr="009610A8">
        <w:rPr>
          <w:rStyle w:val="FootnoteReference"/>
          <w:szCs w:val="24"/>
        </w:rPr>
        <w:footnoteReference w:id="6"/>
      </w:r>
      <w:r w:rsidRPr="009610A8">
        <w:rPr>
          <w:szCs w:val="24"/>
        </w:rPr>
        <w:t>.</w:t>
      </w:r>
    </w:p>
    <w:p w14:paraId="7B1D9D0A" w14:textId="79F04146" w:rsidR="00A77BE1" w:rsidRPr="009610A8" w:rsidRDefault="009A42FA" w:rsidP="001D50FA">
      <w:pPr>
        <w:spacing w:after="120" w:line="240" w:lineRule="auto"/>
        <w:rPr>
          <w:szCs w:val="24"/>
        </w:rPr>
      </w:pPr>
      <w:r w:rsidRPr="009610A8">
        <w:rPr>
          <w:szCs w:val="24"/>
        </w:rPr>
        <w:t>The c</w:t>
      </w:r>
      <w:r w:rsidR="00F56F2F" w:rsidRPr="009610A8">
        <w:rPr>
          <w:szCs w:val="24"/>
        </w:rPr>
        <w:t xml:space="preserve">omposition of </w:t>
      </w:r>
      <w:r w:rsidR="00856D8E" w:rsidRPr="009610A8">
        <w:rPr>
          <w:szCs w:val="24"/>
        </w:rPr>
        <w:t xml:space="preserve">Australia’s </w:t>
      </w:r>
      <w:r w:rsidR="00BB49A8" w:rsidRPr="009610A8">
        <w:rPr>
          <w:szCs w:val="24"/>
        </w:rPr>
        <w:t xml:space="preserve">higher education </w:t>
      </w:r>
      <w:r w:rsidR="00F56F2F" w:rsidRPr="009610A8">
        <w:rPr>
          <w:szCs w:val="24"/>
        </w:rPr>
        <w:t xml:space="preserve">student intake is shifting. China, India and Nepal </w:t>
      </w:r>
      <w:r w:rsidR="0050714F">
        <w:rPr>
          <w:szCs w:val="24"/>
        </w:rPr>
        <w:t>a</w:t>
      </w:r>
      <w:r w:rsidR="009843C2" w:rsidRPr="009610A8">
        <w:rPr>
          <w:szCs w:val="24"/>
        </w:rPr>
        <w:t>re the top three student countries in 2018,</w:t>
      </w:r>
      <w:r w:rsidR="00F56F2F" w:rsidRPr="009610A8">
        <w:rPr>
          <w:szCs w:val="24"/>
        </w:rPr>
        <w:t xml:space="preserve"> China by a significant margin (</w:t>
      </w:r>
      <w:r w:rsidR="00F43D5A" w:rsidRPr="009610A8">
        <w:rPr>
          <w:szCs w:val="24"/>
        </w:rPr>
        <w:t xml:space="preserve">nearly </w:t>
      </w:r>
      <w:r w:rsidR="00D72DF5" w:rsidRPr="009610A8">
        <w:rPr>
          <w:szCs w:val="24"/>
        </w:rPr>
        <w:t>40</w:t>
      </w:r>
      <w:r w:rsidR="00F43D5A" w:rsidRPr="009610A8">
        <w:rPr>
          <w:szCs w:val="24"/>
        </w:rPr>
        <w:t xml:space="preserve"> </w:t>
      </w:r>
      <w:r w:rsidR="00856D8E" w:rsidRPr="009610A8">
        <w:rPr>
          <w:szCs w:val="24"/>
        </w:rPr>
        <w:t>per cent</w:t>
      </w:r>
      <w:r w:rsidR="00F56F2F" w:rsidRPr="009610A8">
        <w:rPr>
          <w:szCs w:val="24"/>
        </w:rPr>
        <w:t xml:space="preserve"> in 201</w:t>
      </w:r>
      <w:r w:rsidR="009843C2" w:rsidRPr="009610A8">
        <w:rPr>
          <w:szCs w:val="24"/>
        </w:rPr>
        <w:t>8</w:t>
      </w:r>
      <w:r w:rsidR="00F56F2F" w:rsidRPr="009610A8">
        <w:rPr>
          <w:szCs w:val="24"/>
        </w:rPr>
        <w:t xml:space="preserve">). </w:t>
      </w:r>
      <w:r w:rsidR="00517809" w:rsidRPr="009610A8">
        <w:rPr>
          <w:szCs w:val="24"/>
        </w:rPr>
        <w:t>Based on</w:t>
      </w:r>
      <w:r w:rsidR="003219DB" w:rsidRPr="009610A8">
        <w:rPr>
          <w:szCs w:val="24"/>
        </w:rPr>
        <w:t xml:space="preserve"> current trends in offshore visa grants, o</w:t>
      </w:r>
      <w:r w:rsidR="00F56F2F" w:rsidRPr="009610A8">
        <w:rPr>
          <w:szCs w:val="24"/>
        </w:rPr>
        <w:t xml:space="preserve">ver the coming </w:t>
      </w:r>
      <w:r w:rsidR="004C27FF" w:rsidRPr="009610A8">
        <w:rPr>
          <w:szCs w:val="24"/>
        </w:rPr>
        <w:t>years</w:t>
      </w:r>
      <w:r w:rsidR="00BE72AF" w:rsidRPr="009610A8">
        <w:rPr>
          <w:szCs w:val="24"/>
        </w:rPr>
        <w:t xml:space="preserve"> </w:t>
      </w:r>
      <w:r w:rsidR="003219DB" w:rsidRPr="009610A8">
        <w:rPr>
          <w:szCs w:val="24"/>
        </w:rPr>
        <w:t xml:space="preserve">demand from </w:t>
      </w:r>
      <w:r w:rsidR="00BE72AF" w:rsidRPr="009610A8">
        <w:rPr>
          <w:szCs w:val="24"/>
        </w:rPr>
        <w:t xml:space="preserve">India and Nepal </w:t>
      </w:r>
      <w:r w:rsidR="003219DB" w:rsidRPr="009610A8">
        <w:rPr>
          <w:szCs w:val="24"/>
        </w:rPr>
        <w:t>is</w:t>
      </w:r>
      <w:r w:rsidR="00BE72AF" w:rsidRPr="009610A8">
        <w:rPr>
          <w:szCs w:val="24"/>
        </w:rPr>
        <w:t xml:space="preserve"> </w:t>
      </w:r>
      <w:r w:rsidR="00F56F2F" w:rsidRPr="009610A8">
        <w:rPr>
          <w:szCs w:val="24"/>
        </w:rPr>
        <w:t xml:space="preserve">forecast to continue growing, </w:t>
      </w:r>
      <w:r w:rsidR="000F6776" w:rsidRPr="009610A8">
        <w:rPr>
          <w:szCs w:val="24"/>
        </w:rPr>
        <w:t xml:space="preserve">as demand from </w:t>
      </w:r>
      <w:r w:rsidR="00BE72AF" w:rsidRPr="009610A8">
        <w:rPr>
          <w:szCs w:val="24"/>
        </w:rPr>
        <w:t xml:space="preserve">China </w:t>
      </w:r>
      <w:r w:rsidR="000F6776" w:rsidRPr="009610A8">
        <w:rPr>
          <w:szCs w:val="24"/>
        </w:rPr>
        <w:t>softens</w:t>
      </w:r>
      <w:r w:rsidR="00BE72AF" w:rsidRPr="009610A8">
        <w:rPr>
          <w:szCs w:val="24"/>
        </w:rPr>
        <w:t>.</w:t>
      </w:r>
      <w:r w:rsidR="001D50FA" w:rsidRPr="009610A8">
        <w:rPr>
          <w:szCs w:val="24"/>
        </w:rPr>
        <w:t xml:space="preserve"> In the first quarter of 2018-19, offshore grants from China declined by 10 per cent, incorporating a 12</w:t>
      </w:r>
      <w:r w:rsidR="00BA3828" w:rsidRPr="009610A8">
        <w:rPr>
          <w:szCs w:val="24"/>
        </w:rPr>
        <w:t xml:space="preserve"> </w:t>
      </w:r>
      <w:r w:rsidR="000F6776" w:rsidRPr="009610A8">
        <w:rPr>
          <w:szCs w:val="24"/>
        </w:rPr>
        <w:t xml:space="preserve">per cent </w:t>
      </w:r>
      <w:r w:rsidR="001D50FA" w:rsidRPr="009610A8">
        <w:rPr>
          <w:szCs w:val="24"/>
        </w:rPr>
        <w:t>decline in higher education visa grants</w:t>
      </w:r>
      <w:r w:rsidR="009843C2" w:rsidRPr="009610A8">
        <w:rPr>
          <w:rStyle w:val="FootnoteReference"/>
          <w:szCs w:val="24"/>
        </w:rPr>
        <w:footnoteReference w:id="7"/>
      </w:r>
      <w:r w:rsidR="001D50FA" w:rsidRPr="009610A8">
        <w:rPr>
          <w:szCs w:val="24"/>
        </w:rPr>
        <w:t xml:space="preserve">.  At this stage, these figures represent the best early indicators of likely trends for new Chinese students commencing higher education in 2019. </w:t>
      </w:r>
    </w:p>
    <w:p w14:paraId="3A1E8085" w14:textId="7DADA018" w:rsidR="00F56F2F" w:rsidRPr="009610A8" w:rsidRDefault="00F56F2F" w:rsidP="00CE47E1">
      <w:pPr>
        <w:tabs>
          <w:tab w:val="left" w:pos="5100"/>
        </w:tabs>
        <w:spacing w:after="120" w:line="240" w:lineRule="auto"/>
        <w:rPr>
          <w:szCs w:val="24"/>
        </w:rPr>
      </w:pPr>
      <w:r w:rsidRPr="009610A8">
        <w:rPr>
          <w:szCs w:val="24"/>
        </w:rPr>
        <w:t xml:space="preserve">On average, one in five students on </w:t>
      </w:r>
      <w:r w:rsidR="00D63FCF" w:rsidRPr="009610A8">
        <w:rPr>
          <w:szCs w:val="24"/>
        </w:rPr>
        <w:t xml:space="preserve">Australian </w:t>
      </w:r>
      <w:r w:rsidRPr="009610A8">
        <w:rPr>
          <w:szCs w:val="24"/>
        </w:rPr>
        <w:t xml:space="preserve">higher education campuses </w:t>
      </w:r>
      <w:r w:rsidR="00D91F90" w:rsidRPr="009610A8">
        <w:rPr>
          <w:szCs w:val="24"/>
        </w:rPr>
        <w:t xml:space="preserve">is an </w:t>
      </w:r>
      <w:r w:rsidRPr="009610A8">
        <w:rPr>
          <w:szCs w:val="24"/>
        </w:rPr>
        <w:t>international student</w:t>
      </w:r>
      <w:r w:rsidR="003219DB" w:rsidRPr="009610A8">
        <w:rPr>
          <w:szCs w:val="24"/>
        </w:rPr>
        <w:t>.</w:t>
      </w:r>
      <w:r w:rsidR="001C3C60" w:rsidRPr="009610A8">
        <w:rPr>
          <w:szCs w:val="24"/>
        </w:rPr>
        <w:t xml:space="preserve"> </w:t>
      </w:r>
      <w:r w:rsidR="003219DB" w:rsidRPr="009610A8">
        <w:rPr>
          <w:szCs w:val="24"/>
        </w:rPr>
        <w:t>T</w:t>
      </w:r>
      <w:r w:rsidRPr="009610A8">
        <w:rPr>
          <w:szCs w:val="24"/>
        </w:rPr>
        <w:t>hey are not</w:t>
      </w:r>
      <w:r w:rsidR="003219DB" w:rsidRPr="009610A8">
        <w:rPr>
          <w:szCs w:val="24"/>
        </w:rPr>
        <w:t>, however,</w:t>
      </w:r>
      <w:r w:rsidRPr="009610A8">
        <w:rPr>
          <w:szCs w:val="24"/>
        </w:rPr>
        <w:t xml:space="preserve"> distributed evenly across Australia</w:t>
      </w:r>
      <w:r w:rsidR="001C3C60" w:rsidRPr="009610A8">
        <w:rPr>
          <w:szCs w:val="24"/>
        </w:rPr>
        <w:t>.</w:t>
      </w:r>
      <w:r w:rsidRPr="009610A8">
        <w:rPr>
          <w:szCs w:val="24"/>
        </w:rPr>
        <w:t xml:space="preserve"> </w:t>
      </w:r>
      <w:r w:rsidR="001C3C60" w:rsidRPr="009610A8">
        <w:rPr>
          <w:szCs w:val="24"/>
        </w:rPr>
        <w:t xml:space="preserve">Instead, they </w:t>
      </w:r>
      <w:r w:rsidRPr="009610A8">
        <w:rPr>
          <w:szCs w:val="24"/>
        </w:rPr>
        <w:t xml:space="preserve">are concentrated </w:t>
      </w:r>
      <w:r w:rsidR="00BA3396" w:rsidRPr="009610A8">
        <w:rPr>
          <w:szCs w:val="24"/>
        </w:rPr>
        <w:t xml:space="preserve">in </w:t>
      </w:r>
      <w:r w:rsidR="00D91F90" w:rsidRPr="009610A8">
        <w:rPr>
          <w:szCs w:val="24"/>
        </w:rPr>
        <w:t>Melbourne, Sydney and Brisbane, w</w:t>
      </w:r>
      <w:r w:rsidR="005B495D" w:rsidRPr="009610A8">
        <w:rPr>
          <w:szCs w:val="24"/>
        </w:rPr>
        <w:t>here most educational institutions</w:t>
      </w:r>
      <w:r w:rsidR="00D91F90" w:rsidRPr="009610A8">
        <w:rPr>
          <w:szCs w:val="24"/>
        </w:rPr>
        <w:t xml:space="preserve"> are located and where</w:t>
      </w:r>
      <w:r w:rsidR="004640EB" w:rsidRPr="009610A8">
        <w:rPr>
          <w:szCs w:val="24"/>
        </w:rPr>
        <w:t xml:space="preserve"> some of</w:t>
      </w:r>
      <w:r w:rsidR="00D91F90" w:rsidRPr="009610A8">
        <w:rPr>
          <w:szCs w:val="24"/>
        </w:rPr>
        <w:t xml:space="preserve"> Australia’s highest profile universities are headquartered</w:t>
      </w:r>
      <w:r w:rsidR="00BA3396" w:rsidRPr="009610A8">
        <w:rPr>
          <w:szCs w:val="24"/>
        </w:rPr>
        <w:t xml:space="preserve">. </w:t>
      </w:r>
      <w:r w:rsidR="00080C14" w:rsidRPr="009610A8">
        <w:rPr>
          <w:szCs w:val="24"/>
        </w:rPr>
        <w:t>Over 40 per cent</w:t>
      </w:r>
      <w:r w:rsidR="00BA3396" w:rsidRPr="009610A8">
        <w:rPr>
          <w:szCs w:val="24"/>
        </w:rPr>
        <w:t xml:space="preserve"> of </w:t>
      </w:r>
      <w:r w:rsidR="005B495D" w:rsidRPr="009610A8">
        <w:rPr>
          <w:szCs w:val="24"/>
        </w:rPr>
        <w:t xml:space="preserve">all Chinese </w:t>
      </w:r>
      <w:r w:rsidR="00080C14" w:rsidRPr="009610A8">
        <w:rPr>
          <w:szCs w:val="24"/>
        </w:rPr>
        <w:t xml:space="preserve">higher education </w:t>
      </w:r>
      <w:r w:rsidR="005B495D" w:rsidRPr="009610A8">
        <w:rPr>
          <w:szCs w:val="24"/>
        </w:rPr>
        <w:t>student</w:t>
      </w:r>
      <w:r w:rsidR="0001037C" w:rsidRPr="009610A8">
        <w:rPr>
          <w:szCs w:val="24"/>
        </w:rPr>
        <w:t>s</w:t>
      </w:r>
      <w:r w:rsidR="005B495D" w:rsidRPr="009610A8">
        <w:rPr>
          <w:szCs w:val="24"/>
        </w:rPr>
        <w:t xml:space="preserve"> </w:t>
      </w:r>
      <w:r w:rsidR="0001037C" w:rsidRPr="009610A8">
        <w:rPr>
          <w:szCs w:val="24"/>
        </w:rPr>
        <w:t xml:space="preserve">study </w:t>
      </w:r>
      <w:r w:rsidR="001C3C60" w:rsidRPr="009610A8">
        <w:rPr>
          <w:szCs w:val="24"/>
        </w:rPr>
        <w:t xml:space="preserve">at just </w:t>
      </w:r>
      <w:r w:rsidR="00BA3396" w:rsidRPr="009610A8">
        <w:rPr>
          <w:szCs w:val="24"/>
        </w:rPr>
        <w:t>four universities – Monash, Melbourne, UNSW and Sydney</w:t>
      </w:r>
      <w:r w:rsidR="005B495D" w:rsidRPr="009610A8">
        <w:rPr>
          <w:szCs w:val="24"/>
        </w:rPr>
        <w:t>.</w:t>
      </w:r>
      <w:r w:rsidR="009C36E7" w:rsidRPr="009610A8">
        <w:rPr>
          <w:rStyle w:val="FootnoteReference"/>
          <w:szCs w:val="24"/>
        </w:rPr>
        <w:footnoteReference w:id="8"/>
      </w:r>
      <w:r w:rsidR="005B495D" w:rsidRPr="009610A8">
        <w:rPr>
          <w:szCs w:val="24"/>
        </w:rPr>
        <w:t xml:space="preserve">  </w:t>
      </w:r>
    </w:p>
    <w:p w14:paraId="77F61108" w14:textId="77777777" w:rsidR="003219DB" w:rsidRPr="009610A8" w:rsidRDefault="003219DB" w:rsidP="006C73AF">
      <w:pPr>
        <w:pStyle w:val="Heading2"/>
        <w:numPr>
          <w:ilvl w:val="1"/>
          <w:numId w:val="25"/>
        </w:numPr>
        <w:spacing w:before="360"/>
        <w:ind w:left="709" w:hanging="709"/>
      </w:pPr>
      <w:bookmarkStart w:id="15" w:name="_Toc530471831"/>
      <w:r w:rsidRPr="009610A8">
        <w:t>Other sectors</w:t>
      </w:r>
      <w:bookmarkEnd w:id="15"/>
    </w:p>
    <w:p w14:paraId="35F85146" w14:textId="1397D121" w:rsidR="00BA3396" w:rsidRPr="009610A8" w:rsidRDefault="00BB49A8" w:rsidP="00CE47E1">
      <w:pPr>
        <w:spacing w:after="120" w:line="240" w:lineRule="auto"/>
        <w:rPr>
          <w:szCs w:val="24"/>
        </w:rPr>
      </w:pPr>
      <w:r w:rsidRPr="009610A8">
        <w:rPr>
          <w:szCs w:val="24"/>
        </w:rPr>
        <w:t xml:space="preserve">VET </w:t>
      </w:r>
      <w:r w:rsidR="00BA3396" w:rsidRPr="009610A8">
        <w:rPr>
          <w:szCs w:val="24"/>
        </w:rPr>
        <w:t xml:space="preserve">comprises </w:t>
      </w:r>
      <w:r w:rsidR="00F73DFA" w:rsidRPr="009610A8">
        <w:rPr>
          <w:szCs w:val="24"/>
        </w:rPr>
        <w:t>27</w:t>
      </w:r>
      <w:r w:rsidR="00856D8E" w:rsidRPr="009610A8">
        <w:rPr>
          <w:szCs w:val="24"/>
        </w:rPr>
        <w:t xml:space="preserve"> per cent</w:t>
      </w:r>
      <w:r w:rsidR="00BA3396" w:rsidRPr="009610A8">
        <w:rPr>
          <w:szCs w:val="24"/>
        </w:rPr>
        <w:t xml:space="preserve"> of </w:t>
      </w:r>
      <w:r w:rsidRPr="009610A8">
        <w:rPr>
          <w:szCs w:val="24"/>
        </w:rPr>
        <w:t>the</w:t>
      </w:r>
      <w:r w:rsidR="00BA3396" w:rsidRPr="009610A8">
        <w:rPr>
          <w:szCs w:val="24"/>
        </w:rPr>
        <w:t xml:space="preserve"> </w:t>
      </w:r>
      <w:r w:rsidR="000E52F1" w:rsidRPr="009610A8">
        <w:rPr>
          <w:szCs w:val="24"/>
        </w:rPr>
        <w:t>i</w:t>
      </w:r>
      <w:r w:rsidR="00BA3396" w:rsidRPr="009610A8">
        <w:rPr>
          <w:szCs w:val="24"/>
        </w:rPr>
        <w:t>nternational education</w:t>
      </w:r>
      <w:r w:rsidRPr="009610A8">
        <w:rPr>
          <w:szCs w:val="24"/>
        </w:rPr>
        <w:t xml:space="preserve"> sector</w:t>
      </w:r>
      <w:r w:rsidR="00BA3396" w:rsidRPr="009610A8">
        <w:rPr>
          <w:szCs w:val="24"/>
        </w:rPr>
        <w:t>, and has a more diverse student composition</w:t>
      </w:r>
      <w:r w:rsidR="009A42FA" w:rsidRPr="009610A8">
        <w:rPr>
          <w:szCs w:val="24"/>
        </w:rPr>
        <w:t xml:space="preserve"> than higher education</w:t>
      </w:r>
      <w:r w:rsidR="00BA3396" w:rsidRPr="009610A8">
        <w:rPr>
          <w:szCs w:val="24"/>
        </w:rPr>
        <w:t>. The</w:t>
      </w:r>
      <w:r w:rsidR="00F73DFA" w:rsidRPr="009610A8">
        <w:rPr>
          <w:szCs w:val="24"/>
        </w:rPr>
        <w:t xml:space="preserve"> top countries of origin are India (</w:t>
      </w:r>
      <w:r w:rsidR="009843C2" w:rsidRPr="009610A8">
        <w:rPr>
          <w:szCs w:val="24"/>
        </w:rPr>
        <w:t>12</w:t>
      </w:r>
      <w:r w:rsidR="00531555" w:rsidRPr="009610A8">
        <w:rPr>
          <w:szCs w:val="24"/>
        </w:rPr>
        <w:t xml:space="preserve"> </w:t>
      </w:r>
      <w:r w:rsidR="00F73DFA" w:rsidRPr="009610A8">
        <w:rPr>
          <w:szCs w:val="24"/>
        </w:rPr>
        <w:t>per cent), China</w:t>
      </w:r>
      <w:r w:rsidR="009843C2" w:rsidRPr="009610A8">
        <w:rPr>
          <w:szCs w:val="24"/>
        </w:rPr>
        <w:t xml:space="preserve"> (nine per cent)</w:t>
      </w:r>
      <w:r w:rsidR="00531555" w:rsidRPr="009610A8">
        <w:rPr>
          <w:szCs w:val="24"/>
        </w:rPr>
        <w:t>, Korea and Thailand</w:t>
      </w:r>
      <w:r w:rsidR="00F73DFA" w:rsidRPr="009610A8">
        <w:rPr>
          <w:szCs w:val="24"/>
        </w:rPr>
        <w:t xml:space="preserve"> (</w:t>
      </w:r>
      <w:r w:rsidR="00531555" w:rsidRPr="009610A8">
        <w:rPr>
          <w:szCs w:val="24"/>
        </w:rPr>
        <w:t xml:space="preserve">eight </w:t>
      </w:r>
      <w:r w:rsidR="00F73DFA" w:rsidRPr="009610A8">
        <w:rPr>
          <w:szCs w:val="24"/>
        </w:rPr>
        <w:t>per</w:t>
      </w:r>
      <w:r w:rsidR="000F6776" w:rsidRPr="009610A8">
        <w:rPr>
          <w:szCs w:val="24"/>
        </w:rPr>
        <w:t xml:space="preserve"> </w:t>
      </w:r>
      <w:r w:rsidR="00F73DFA" w:rsidRPr="009610A8">
        <w:rPr>
          <w:szCs w:val="24"/>
        </w:rPr>
        <w:t>cent</w:t>
      </w:r>
      <w:r w:rsidR="00531555" w:rsidRPr="009610A8">
        <w:rPr>
          <w:szCs w:val="24"/>
        </w:rPr>
        <w:t xml:space="preserve"> each</w:t>
      </w:r>
      <w:r w:rsidR="00F73DFA" w:rsidRPr="009610A8">
        <w:rPr>
          <w:szCs w:val="24"/>
        </w:rPr>
        <w:t>), and Brazil (</w:t>
      </w:r>
      <w:r w:rsidR="00531555" w:rsidRPr="009610A8">
        <w:rPr>
          <w:szCs w:val="24"/>
        </w:rPr>
        <w:t xml:space="preserve">seven </w:t>
      </w:r>
      <w:r w:rsidR="00F73DFA" w:rsidRPr="009610A8">
        <w:rPr>
          <w:szCs w:val="24"/>
        </w:rPr>
        <w:t>per cent)</w:t>
      </w:r>
      <w:r w:rsidR="009C36E7" w:rsidRPr="009610A8">
        <w:rPr>
          <w:rStyle w:val="FootnoteReference"/>
          <w:szCs w:val="24"/>
        </w:rPr>
        <w:footnoteReference w:id="9"/>
      </w:r>
      <w:r w:rsidR="00F73DFA" w:rsidRPr="009610A8">
        <w:rPr>
          <w:szCs w:val="24"/>
        </w:rPr>
        <w:t>.</w:t>
      </w:r>
    </w:p>
    <w:p w14:paraId="1252BD87" w14:textId="5C4AF3AB" w:rsidR="00F73DFA" w:rsidRPr="009610A8" w:rsidRDefault="00F73DFA" w:rsidP="00CF1283">
      <w:pPr>
        <w:spacing w:after="120" w:line="240" w:lineRule="auto"/>
        <w:rPr>
          <w:szCs w:val="24"/>
        </w:rPr>
      </w:pPr>
      <w:r w:rsidRPr="009610A8">
        <w:rPr>
          <w:szCs w:val="24"/>
        </w:rPr>
        <w:t>English Lang</w:t>
      </w:r>
      <w:r w:rsidR="00BB49A8" w:rsidRPr="009610A8">
        <w:rPr>
          <w:szCs w:val="24"/>
        </w:rPr>
        <w:t>ua</w:t>
      </w:r>
      <w:r w:rsidRPr="009610A8">
        <w:rPr>
          <w:szCs w:val="24"/>
        </w:rPr>
        <w:t xml:space="preserve">ge Intensive Courses for Overseas Students (ELICOS) represents </w:t>
      </w:r>
      <w:r w:rsidR="009843C2" w:rsidRPr="009610A8">
        <w:rPr>
          <w:szCs w:val="24"/>
        </w:rPr>
        <w:t>16</w:t>
      </w:r>
      <w:r w:rsidR="004E7D2E" w:rsidRPr="009610A8">
        <w:rPr>
          <w:szCs w:val="24"/>
        </w:rPr>
        <w:t xml:space="preserve"> </w:t>
      </w:r>
      <w:r w:rsidRPr="009610A8">
        <w:rPr>
          <w:szCs w:val="24"/>
        </w:rPr>
        <w:t xml:space="preserve">per cent </w:t>
      </w:r>
      <w:r w:rsidR="00BB49A8" w:rsidRPr="009610A8">
        <w:rPr>
          <w:szCs w:val="24"/>
        </w:rPr>
        <w:t>of the sector</w:t>
      </w:r>
      <w:r w:rsidRPr="009610A8">
        <w:rPr>
          <w:szCs w:val="24"/>
        </w:rPr>
        <w:t xml:space="preserve">. </w:t>
      </w:r>
      <w:r w:rsidR="002E6278" w:rsidRPr="009610A8">
        <w:rPr>
          <w:szCs w:val="24"/>
        </w:rPr>
        <w:t xml:space="preserve">Nearly a third </w:t>
      </w:r>
      <w:r w:rsidRPr="009610A8">
        <w:rPr>
          <w:szCs w:val="24"/>
        </w:rPr>
        <w:t>of students are from China</w:t>
      </w:r>
      <w:r w:rsidR="002E6278" w:rsidRPr="009610A8">
        <w:rPr>
          <w:szCs w:val="24"/>
        </w:rPr>
        <w:t xml:space="preserve"> (</w:t>
      </w:r>
      <w:r w:rsidR="009843C2" w:rsidRPr="009610A8">
        <w:rPr>
          <w:szCs w:val="24"/>
        </w:rPr>
        <w:t>30</w:t>
      </w:r>
      <w:r w:rsidR="002E6278" w:rsidRPr="009610A8">
        <w:rPr>
          <w:szCs w:val="24"/>
        </w:rPr>
        <w:t xml:space="preserve"> per cent)</w:t>
      </w:r>
      <w:r w:rsidRPr="009610A8">
        <w:rPr>
          <w:szCs w:val="24"/>
        </w:rPr>
        <w:t xml:space="preserve">, </w:t>
      </w:r>
      <w:r w:rsidR="009A42FA" w:rsidRPr="009610A8">
        <w:rPr>
          <w:szCs w:val="24"/>
        </w:rPr>
        <w:t xml:space="preserve">followed by </w:t>
      </w:r>
      <w:r w:rsidRPr="009610A8">
        <w:rPr>
          <w:szCs w:val="24"/>
        </w:rPr>
        <w:t>Brazil (12 per cent), Colombia (</w:t>
      </w:r>
      <w:r w:rsidR="009843C2" w:rsidRPr="009610A8">
        <w:rPr>
          <w:szCs w:val="24"/>
        </w:rPr>
        <w:t>ten</w:t>
      </w:r>
      <w:r w:rsidR="004E7D2E" w:rsidRPr="009610A8">
        <w:rPr>
          <w:szCs w:val="24"/>
        </w:rPr>
        <w:t xml:space="preserve"> </w:t>
      </w:r>
      <w:r w:rsidRPr="009610A8">
        <w:rPr>
          <w:szCs w:val="24"/>
        </w:rPr>
        <w:t>per cent), Thailand and Japan</w:t>
      </w:r>
      <w:r w:rsidR="009843C2" w:rsidRPr="009610A8">
        <w:rPr>
          <w:szCs w:val="24"/>
        </w:rPr>
        <w:t xml:space="preserve"> (six per cent each).</w:t>
      </w:r>
      <w:r w:rsidRPr="009610A8">
        <w:rPr>
          <w:szCs w:val="24"/>
        </w:rPr>
        <w:t xml:space="preserve"> </w:t>
      </w:r>
      <w:r w:rsidR="00CF1283" w:rsidRPr="009610A8">
        <w:rPr>
          <w:szCs w:val="24"/>
        </w:rPr>
        <w:t>The majority of ELICOS students study English as a pathway to further study, with 70 per cent of international students completing ELICOS in 2017 going on to further study in another international education sector</w:t>
      </w:r>
      <w:r w:rsidR="009843C2" w:rsidRPr="009610A8">
        <w:rPr>
          <w:szCs w:val="24"/>
        </w:rPr>
        <w:t xml:space="preserve"> in 2018</w:t>
      </w:r>
      <w:r w:rsidR="00CF1283" w:rsidRPr="009610A8">
        <w:rPr>
          <w:rStyle w:val="FootnoteReference"/>
          <w:szCs w:val="24"/>
        </w:rPr>
        <w:footnoteReference w:id="10"/>
      </w:r>
      <w:r w:rsidR="00CD2CD7" w:rsidRPr="009610A8">
        <w:rPr>
          <w:szCs w:val="24"/>
        </w:rPr>
        <w:t>.</w:t>
      </w:r>
    </w:p>
    <w:p w14:paraId="33B18422" w14:textId="423E257E" w:rsidR="000A6126" w:rsidRPr="009610A8" w:rsidRDefault="00F73DFA" w:rsidP="00D909F6">
      <w:pPr>
        <w:rPr>
          <w:szCs w:val="24"/>
        </w:rPr>
      </w:pPr>
      <w:r w:rsidRPr="009610A8">
        <w:rPr>
          <w:szCs w:val="24"/>
        </w:rPr>
        <w:t>Schools represent</w:t>
      </w:r>
      <w:r w:rsidR="00A652AA" w:rsidRPr="009610A8">
        <w:rPr>
          <w:szCs w:val="24"/>
        </w:rPr>
        <w:t xml:space="preserve"> </w:t>
      </w:r>
      <w:r w:rsidR="004E7D2E" w:rsidRPr="009610A8">
        <w:rPr>
          <w:szCs w:val="24"/>
        </w:rPr>
        <w:t xml:space="preserve">four </w:t>
      </w:r>
      <w:r w:rsidRPr="009610A8">
        <w:rPr>
          <w:szCs w:val="24"/>
        </w:rPr>
        <w:t>per cent</w:t>
      </w:r>
      <w:r w:rsidR="00BB49A8" w:rsidRPr="009610A8">
        <w:rPr>
          <w:szCs w:val="24"/>
        </w:rPr>
        <w:t xml:space="preserve"> of the sector</w:t>
      </w:r>
      <w:r w:rsidRPr="009610A8">
        <w:rPr>
          <w:szCs w:val="24"/>
        </w:rPr>
        <w:t xml:space="preserve">. </w:t>
      </w:r>
      <w:r w:rsidR="00A66DFE" w:rsidRPr="009610A8">
        <w:rPr>
          <w:szCs w:val="24"/>
        </w:rPr>
        <w:t>In 2017, a</w:t>
      </w:r>
      <w:r w:rsidRPr="009610A8">
        <w:rPr>
          <w:szCs w:val="24"/>
        </w:rPr>
        <w:t xml:space="preserve">lmost half of international </w:t>
      </w:r>
      <w:r w:rsidR="001D692F" w:rsidRPr="009610A8">
        <w:rPr>
          <w:szCs w:val="24"/>
        </w:rPr>
        <w:t xml:space="preserve">student </w:t>
      </w:r>
      <w:r w:rsidRPr="009610A8">
        <w:rPr>
          <w:szCs w:val="24"/>
        </w:rPr>
        <w:t>commencements</w:t>
      </w:r>
      <w:r w:rsidR="001D692F" w:rsidRPr="009610A8">
        <w:rPr>
          <w:szCs w:val="24"/>
        </w:rPr>
        <w:t xml:space="preserve"> in</w:t>
      </w:r>
      <w:r w:rsidRPr="009610A8">
        <w:rPr>
          <w:szCs w:val="24"/>
        </w:rPr>
        <w:t xml:space="preserve"> </w:t>
      </w:r>
      <w:r w:rsidR="001D692F" w:rsidRPr="009610A8">
        <w:rPr>
          <w:szCs w:val="24"/>
        </w:rPr>
        <w:t xml:space="preserve">schools </w:t>
      </w:r>
      <w:r w:rsidRPr="009610A8">
        <w:rPr>
          <w:szCs w:val="24"/>
        </w:rPr>
        <w:t>were from China</w:t>
      </w:r>
      <w:r w:rsidR="00420FED" w:rsidRPr="009610A8">
        <w:rPr>
          <w:szCs w:val="24"/>
        </w:rPr>
        <w:t xml:space="preserve"> (</w:t>
      </w:r>
      <w:r w:rsidR="009843C2" w:rsidRPr="009610A8">
        <w:rPr>
          <w:szCs w:val="24"/>
        </w:rPr>
        <w:t>51</w:t>
      </w:r>
      <w:r w:rsidR="00420FED" w:rsidRPr="009610A8">
        <w:rPr>
          <w:szCs w:val="24"/>
        </w:rPr>
        <w:t xml:space="preserve"> per cent)</w:t>
      </w:r>
      <w:r w:rsidRPr="009610A8">
        <w:rPr>
          <w:szCs w:val="24"/>
        </w:rPr>
        <w:t xml:space="preserve">, with </w:t>
      </w:r>
      <w:r w:rsidR="009843C2" w:rsidRPr="009610A8">
        <w:rPr>
          <w:szCs w:val="24"/>
        </w:rPr>
        <w:t>13</w:t>
      </w:r>
      <w:r w:rsidR="00420FED" w:rsidRPr="009610A8">
        <w:rPr>
          <w:szCs w:val="24"/>
        </w:rPr>
        <w:t xml:space="preserve"> </w:t>
      </w:r>
      <w:r w:rsidRPr="009610A8">
        <w:rPr>
          <w:szCs w:val="24"/>
        </w:rPr>
        <w:t xml:space="preserve">per cent from Vietnam, </w:t>
      </w:r>
      <w:r w:rsidR="009843C2" w:rsidRPr="009610A8">
        <w:rPr>
          <w:szCs w:val="24"/>
        </w:rPr>
        <w:t>five</w:t>
      </w:r>
      <w:r w:rsidR="00420FED" w:rsidRPr="009610A8">
        <w:rPr>
          <w:szCs w:val="24"/>
        </w:rPr>
        <w:t xml:space="preserve"> </w:t>
      </w:r>
      <w:r w:rsidRPr="009610A8">
        <w:rPr>
          <w:szCs w:val="24"/>
        </w:rPr>
        <w:t xml:space="preserve">per cent from </w:t>
      </w:r>
      <w:r w:rsidR="009843C2" w:rsidRPr="009610A8">
        <w:rPr>
          <w:szCs w:val="24"/>
        </w:rPr>
        <w:t>South Korea</w:t>
      </w:r>
      <w:r w:rsidRPr="009610A8">
        <w:rPr>
          <w:szCs w:val="24"/>
        </w:rPr>
        <w:t xml:space="preserve">, </w:t>
      </w:r>
      <w:r w:rsidR="00A66DFE" w:rsidRPr="009610A8">
        <w:rPr>
          <w:szCs w:val="24"/>
        </w:rPr>
        <w:t xml:space="preserve">four </w:t>
      </w:r>
      <w:r w:rsidRPr="009610A8">
        <w:rPr>
          <w:szCs w:val="24"/>
        </w:rPr>
        <w:t>per cent from Hong Kong</w:t>
      </w:r>
      <w:r w:rsidR="009843C2" w:rsidRPr="009610A8">
        <w:rPr>
          <w:szCs w:val="24"/>
        </w:rPr>
        <w:t xml:space="preserve"> and three per cent from Germany</w:t>
      </w:r>
      <w:r w:rsidR="009C36E7" w:rsidRPr="009610A8">
        <w:rPr>
          <w:rStyle w:val="FootnoteReference"/>
          <w:szCs w:val="24"/>
        </w:rPr>
        <w:footnoteReference w:id="11"/>
      </w:r>
      <w:r w:rsidRPr="009610A8">
        <w:rPr>
          <w:szCs w:val="24"/>
        </w:rPr>
        <w:t>.</w:t>
      </w:r>
      <w:r w:rsidR="00A92609" w:rsidRPr="009610A8">
        <w:rPr>
          <w:szCs w:val="24"/>
        </w:rPr>
        <w:t xml:space="preserve"> </w:t>
      </w:r>
      <w:r w:rsidR="00E82DB6" w:rsidRPr="009610A8">
        <w:rPr>
          <w:szCs w:val="24"/>
        </w:rPr>
        <w:t xml:space="preserve"> </w:t>
      </w:r>
      <w:r w:rsidR="002D2E1A" w:rsidRPr="009610A8">
        <w:rPr>
          <w:szCs w:val="24"/>
        </w:rPr>
        <w:t>This small proportion is in contrast to other competitor countries, such as New Zealand where international school students account for 20 per cent of their international education students</w:t>
      </w:r>
      <w:r w:rsidR="002D2E1A" w:rsidRPr="009610A8">
        <w:rPr>
          <w:rStyle w:val="FootnoteReference"/>
          <w:szCs w:val="24"/>
        </w:rPr>
        <w:footnoteReference w:id="12"/>
      </w:r>
      <w:r w:rsidR="002D2E1A" w:rsidRPr="009610A8">
        <w:rPr>
          <w:szCs w:val="24"/>
        </w:rPr>
        <w:t>. As the vast majority of school students progress through to more education, our underperformance remains a vulnerability. In recognition of this vulnerability, m</w:t>
      </w:r>
      <w:r w:rsidR="00E82DB6" w:rsidRPr="009610A8">
        <w:rPr>
          <w:szCs w:val="24"/>
        </w:rPr>
        <w:t xml:space="preserve">ost states and territories are delivering high school curriculum under license offshore, most notably the Victorian state government, which is delivering the Victorian Certificate of Education in </w:t>
      </w:r>
      <w:r w:rsidR="006C73AF" w:rsidRPr="009610A8">
        <w:rPr>
          <w:szCs w:val="24"/>
        </w:rPr>
        <w:t>37 locations across six countries</w:t>
      </w:r>
      <w:r w:rsidR="00CD2CD7" w:rsidRPr="009610A8">
        <w:rPr>
          <w:rStyle w:val="FootnoteReference"/>
          <w:szCs w:val="24"/>
        </w:rPr>
        <w:footnoteReference w:id="13"/>
      </w:r>
      <w:r w:rsidR="00CD2CD7" w:rsidRPr="009610A8">
        <w:rPr>
          <w:szCs w:val="24"/>
        </w:rPr>
        <w:t>.</w:t>
      </w:r>
      <w:r w:rsidR="004640EB" w:rsidRPr="009610A8">
        <w:rPr>
          <w:szCs w:val="24"/>
        </w:rPr>
        <w:t xml:space="preserve"> </w:t>
      </w:r>
    </w:p>
    <w:p w14:paraId="466260BB" w14:textId="653124D1" w:rsidR="004640EB" w:rsidRPr="009610A8" w:rsidRDefault="00CD2CD7" w:rsidP="00D909F6">
      <w:r w:rsidRPr="009610A8">
        <w:lastRenderedPageBreak/>
        <w:t xml:space="preserve">Another important area of Australian international education is the </w:t>
      </w:r>
      <w:r w:rsidR="003541F3" w:rsidRPr="009610A8">
        <w:t xml:space="preserve">delivery of education </w:t>
      </w:r>
      <w:r w:rsidRPr="009610A8">
        <w:t>offshor</w:t>
      </w:r>
      <w:r w:rsidR="003541F3" w:rsidRPr="009610A8">
        <w:t>e</w:t>
      </w:r>
      <w:r w:rsidRPr="009610A8">
        <w:t xml:space="preserve"> to</w:t>
      </w:r>
      <w:r w:rsidR="003541F3" w:rsidRPr="009610A8">
        <w:t xml:space="preserve"> 119,351</w:t>
      </w:r>
      <w:r w:rsidR="00CD169F" w:rsidRPr="009610A8">
        <w:t xml:space="preserve"> higher education and </w:t>
      </w:r>
      <w:r w:rsidR="003541F3" w:rsidRPr="009610A8">
        <w:t>36</w:t>
      </w:r>
      <w:r w:rsidR="00CD169F" w:rsidRPr="009610A8">
        <w:t>,</w:t>
      </w:r>
      <w:r w:rsidR="003541F3" w:rsidRPr="009610A8">
        <w:t xml:space="preserve">765 </w:t>
      </w:r>
      <w:r w:rsidR="00AD4B38" w:rsidRPr="009610A8">
        <w:t xml:space="preserve">VET </w:t>
      </w:r>
      <w:r w:rsidR="00CD169F" w:rsidRPr="009610A8">
        <w:t xml:space="preserve">students in </w:t>
      </w:r>
      <w:r w:rsidR="003541F3" w:rsidRPr="009610A8">
        <w:t>2017</w:t>
      </w:r>
      <w:r w:rsidR="00CD169F" w:rsidRPr="009610A8">
        <w:t xml:space="preserve">. </w:t>
      </w:r>
      <w:r w:rsidR="003541F3" w:rsidRPr="009610A8">
        <w:t xml:space="preserve">While higher education students studying offshore increased by 6.2 per cent between 2016 and 2017, there </w:t>
      </w:r>
      <w:r w:rsidRPr="009610A8">
        <w:t>was a</w:t>
      </w:r>
      <w:r w:rsidR="003541F3" w:rsidRPr="009610A8">
        <w:t xml:space="preserve"> seven per cent decline in VET students over the same period. </w:t>
      </w:r>
      <w:r w:rsidRPr="009610A8">
        <w:t>However, this comprised a 21 per cent decline in China countered by a 21 per cent rise elsewhere in the world. The decline in China is largely a readjustment</w:t>
      </w:r>
      <w:r w:rsidR="003F56FC" w:rsidRPr="009610A8">
        <w:t xml:space="preserve"> following substantial growth</w:t>
      </w:r>
      <w:r w:rsidRPr="009610A8">
        <w:t xml:space="preserve"> and there continues to be plenty of opportunity for further growth in other parts of the world</w:t>
      </w:r>
      <w:r w:rsidRPr="009610A8">
        <w:rPr>
          <w:rStyle w:val="FootnoteReference"/>
        </w:rPr>
        <w:footnoteReference w:id="14"/>
      </w:r>
      <w:r w:rsidRPr="009610A8">
        <w:t xml:space="preserve">. </w:t>
      </w:r>
    </w:p>
    <w:p w14:paraId="332BC6B3" w14:textId="77777777" w:rsidR="00856D8E" w:rsidRPr="009610A8" w:rsidRDefault="00856D8E" w:rsidP="00D37B89">
      <w:pPr>
        <w:pStyle w:val="Heading2"/>
        <w:numPr>
          <w:ilvl w:val="1"/>
          <w:numId w:val="25"/>
        </w:numPr>
        <w:spacing w:before="360"/>
        <w:ind w:left="709" w:hanging="709"/>
        <w:rPr>
          <w:sz w:val="28"/>
        </w:rPr>
      </w:pPr>
      <w:bookmarkStart w:id="16" w:name="_Toc530471832"/>
      <w:r w:rsidRPr="009610A8">
        <w:rPr>
          <w:sz w:val="28"/>
        </w:rPr>
        <w:t>Student satisfaction</w:t>
      </w:r>
      <w:bookmarkEnd w:id="16"/>
    </w:p>
    <w:p w14:paraId="317296D2" w14:textId="05360C1B" w:rsidR="00B55E69" w:rsidRPr="009610A8" w:rsidRDefault="00050F93" w:rsidP="00D37B89">
      <w:pPr>
        <w:keepNext/>
        <w:keepLines/>
        <w:spacing w:after="120" w:line="240" w:lineRule="auto"/>
        <w:rPr>
          <w:szCs w:val="24"/>
        </w:rPr>
      </w:pPr>
      <w:r w:rsidRPr="009610A8">
        <w:rPr>
          <w:szCs w:val="24"/>
        </w:rPr>
        <w:t>The majority of i</w:t>
      </w:r>
      <w:r w:rsidR="00BB49A8" w:rsidRPr="009610A8">
        <w:rPr>
          <w:szCs w:val="24"/>
        </w:rPr>
        <w:t xml:space="preserve">nternational students in Australia are satisfied or very satisfied with their </w:t>
      </w:r>
      <w:r w:rsidR="000F6776" w:rsidRPr="009610A8">
        <w:rPr>
          <w:szCs w:val="24"/>
        </w:rPr>
        <w:t xml:space="preserve">study and living </w:t>
      </w:r>
      <w:r w:rsidR="00BB49A8" w:rsidRPr="009610A8">
        <w:rPr>
          <w:szCs w:val="24"/>
        </w:rPr>
        <w:t>experience.</w:t>
      </w:r>
      <w:r w:rsidR="00574A36" w:rsidRPr="009610A8">
        <w:rPr>
          <w:szCs w:val="24"/>
        </w:rPr>
        <w:t xml:space="preserve"> P</w:t>
      </w:r>
      <w:r w:rsidR="00A92609" w:rsidRPr="009610A8">
        <w:rPr>
          <w:szCs w:val="24"/>
        </w:rPr>
        <w:t xml:space="preserve">reliminary </w:t>
      </w:r>
      <w:r w:rsidR="00353719" w:rsidRPr="009610A8">
        <w:rPr>
          <w:szCs w:val="24"/>
        </w:rPr>
        <w:t>data from the 2018 International Student Survey</w:t>
      </w:r>
      <w:r w:rsidR="009A42FA" w:rsidRPr="009610A8">
        <w:rPr>
          <w:szCs w:val="24"/>
        </w:rPr>
        <w:t xml:space="preserve"> </w:t>
      </w:r>
      <w:r w:rsidR="00574A36" w:rsidRPr="009610A8">
        <w:rPr>
          <w:szCs w:val="24"/>
        </w:rPr>
        <w:t>(</w:t>
      </w:r>
      <w:r w:rsidR="009A42FA" w:rsidRPr="009610A8">
        <w:rPr>
          <w:szCs w:val="24"/>
        </w:rPr>
        <w:t>with</w:t>
      </w:r>
      <w:r w:rsidR="00353719" w:rsidRPr="009610A8">
        <w:rPr>
          <w:szCs w:val="24"/>
        </w:rPr>
        <w:t xml:space="preserve"> more than 84,000 respondents</w:t>
      </w:r>
      <w:r w:rsidR="00574A36" w:rsidRPr="009610A8">
        <w:rPr>
          <w:szCs w:val="24"/>
        </w:rPr>
        <w:t>)</w:t>
      </w:r>
      <w:r w:rsidR="00353719" w:rsidRPr="009610A8">
        <w:rPr>
          <w:szCs w:val="24"/>
        </w:rPr>
        <w:t xml:space="preserve"> </w:t>
      </w:r>
      <w:r w:rsidR="00574A36" w:rsidRPr="009610A8">
        <w:rPr>
          <w:szCs w:val="24"/>
        </w:rPr>
        <w:t>shows that</w:t>
      </w:r>
      <w:r w:rsidR="00353719" w:rsidRPr="009610A8">
        <w:rPr>
          <w:szCs w:val="24"/>
        </w:rPr>
        <w:t xml:space="preserve"> 87</w:t>
      </w:r>
      <w:r w:rsidR="00856D8E" w:rsidRPr="009610A8">
        <w:rPr>
          <w:szCs w:val="24"/>
        </w:rPr>
        <w:t xml:space="preserve"> per cent</w:t>
      </w:r>
      <w:r w:rsidR="00353719" w:rsidRPr="009610A8">
        <w:rPr>
          <w:szCs w:val="24"/>
        </w:rPr>
        <w:t xml:space="preserve"> of international VET students and 89</w:t>
      </w:r>
      <w:r w:rsidR="00856D8E" w:rsidRPr="009610A8">
        <w:rPr>
          <w:szCs w:val="24"/>
        </w:rPr>
        <w:t xml:space="preserve"> per cent</w:t>
      </w:r>
      <w:r w:rsidR="00353719" w:rsidRPr="009610A8">
        <w:rPr>
          <w:szCs w:val="24"/>
        </w:rPr>
        <w:t xml:space="preserve"> of </w:t>
      </w:r>
      <w:r w:rsidR="00A471CE" w:rsidRPr="009610A8">
        <w:rPr>
          <w:szCs w:val="24"/>
        </w:rPr>
        <w:t xml:space="preserve">international </w:t>
      </w:r>
      <w:r w:rsidR="00080C14" w:rsidRPr="009610A8">
        <w:rPr>
          <w:szCs w:val="24"/>
        </w:rPr>
        <w:t>university</w:t>
      </w:r>
      <w:r w:rsidR="000E52F1" w:rsidRPr="009610A8">
        <w:rPr>
          <w:szCs w:val="24"/>
        </w:rPr>
        <w:t xml:space="preserve"> students </w:t>
      </w:r>
      <w:r w:rsidR="00353719" w:rsidRPr="009610A8">
        <w:rPr>
          <w:szCs w:val="24"/>
        </w:rPr>
        <w:t>were satisfied or very satisfied with their overall study experience</w:t>
      </w:r>
      <w:r w:rsidRPr="009610A8">
        <w:rPr>
          <w:szCs w:val="24"/>
        </w:rPr>
        <w:t>. T</w:t>
      </w:r>
      <w:r w:rsidR="00BB49A8" w:rsidRPr="009610A8">
        <w:rPr>
          <w:szCs w:val="24"/>
        </w:rPr>
        <w:t xml:space="preserve">he rates </w:t>
      </w:r>
      <w:r w:rsidRPr="009610A8">
        <w:rPr>
          <w:szCs w:val="24"/>
        </w:rPr>
        <w:t xml:space="preserve">are </w:t>
      </w:r>
      <w:r w:rsidR="009A42FA" w:rsidRPr="009610A8">
        <w:rPr>
          <w:szCs w:val="24"/>
        </w:rPr>
        <w:t xml:space="preserve">even higher among </w:t>
      </w:r>
      <w:r w:rsidR="00353719" w:rsidRPr="009610A8">
        <w:rPr>
          <w:szCs w:val="24"/>
        </w:rPr>
        <w:t>private higher education</w:t>
      </w:r>
      <w:r w:rsidR="00B55E69" w:rsidRPr="009610A8">
        <w:rPr>
          <w:szCs w:val="24"/>
        </w:rPr>
        <w:t xml:space="preserve"> (</w:t>
      </w:r>
      <w:r w:rsidR="00574A36" w:rsidRPr="009610A8">
        <w:rPr>
          <w:szCs w:val="24"/>
        </w:rPr>
        <w:t>91 per </w:t>
      </w:r>
      <w:r w:rsidR="00856D8E" w:rsidRPr="009610A8">
        <w:rPr>
          <w:szCs w:val="24"/>
        </w:rPr>
        <w:t>cent</w:t>
      </w:r>
      <w:r w:rsidR="00B55E69" w:rsidRPr="009610A8">
        <w:rPr>
          <w:szCs w:val="24"/>
        </w:rPr>
        <w:t>)</w:t>
      </w:r>
      <w:r w:rsidR="00353719" w:rsidRPr="009610A8">
        <w:rPr>
          <w:szCs w:val="24"/>
        </w:rPr>
        <w:t xml:space="preserve"> and </w:t>
      </w:r>
      <w:r w:rsidR="00B55E69" w:rsidRPr="009610A8">
        <w:rPr>
          <w:szCs w:val="24"/>
        </w:rPr>
        <w:t>ELICOS (</w:t>
      </w:r>
      <w:r w:rsidR="00574A36" w:rsidRPr="009610A8">
        <w:rPr>
          <w:szCs w:val="24"/>
        </w:rPr>
        <w:t>90 per </w:t>
      </w:r>
      <w:r w:rsidR="00856D8E" w:rsidRPr="009610A8">
        <w:rPr>
          <w:szCs w:val="24"/>
        </w:rPr>
        <w:t>cent</w:t>
      </w:r>
      <w:r w:rsidR="00B55E69" w:rsidRPr="009610A8">
        <w:rPr>
          <w:szCs w:val="24"/>
        </w:rPr>
        <w:t>)</w:t>
      </w:r>
      <w:r w:rsidR="009A42FA" w:rsidRPr="009610A8">
        <w:rPr>
          <w:szCs w:val="24"/>
        </w:rPr>
        <w:t xml:space="preserve"> students</w:t>
      </w:r>
      <w:r w:rsidR="009C36E7" w:rsidRPr="009610A8">
        <w:rPr>
          <w:rStyle w:val="FootnoteReference"/>
          <w:szCs w:val="24"/>
        </w:rPr>
        <w:footnoteReference w:id="15"/>
      </w:r>
      <w:r w:rsidR="009A42FA" w:rsidRPr="009610A8">
        <w:rPr>
          <w:szCs w:val="24"/>
        </w:rPr>
        <w:t>.</w:t>
      </w:r>
    </w:p>
    <w:p w14:paraId="1410CF4F" w14:textId="77777777" w:rsidR="0001037C" w:rsidRPr="009610A8" w:rsidRDefault="00080C14" w:rsidP="00CE47E1">
      <w:pPr>
        <w:spacing w:after="120" w:line="240" w:lineRule="auto"/>
        <w:rPr>
          <w:szCs w:val="24"/>
        </w:rPr>
      </w:pPr>
      <w:r w:rsidRPr="009610A8">
        <w:rPr>
          <w:szCs w:val="24"/>
        </w:rPr>
        <w:t>Other survey data has shown that i</w:t>
      </w:r>
      <w:r w:rsidR="0001037C" w:rsidRPr="009610A8">
        <w:rPr>
          <w:szCs w:val="24"/>
        </w:rPr>
        <w:t>nternational students studying in regional locations report slightly higher overall satisfaction than students studying in metropolitan locations.</w:t>
      </w:r>
    </w:p>
    <w:p w14:paraId="63EDB515" w14:textId="77777777" w:rsidR="00EA37B6" w:rsidRPr="009610A8" w:rsidRDefault="00EA37B6" w:rsidP="00D37B89">
      <w:pPr>
        <w:pStyle w:val="Heading1"/>
        <w:pageBreakBefore/>
        <w:numPr>
          <w:ilvl w:val="0"/>
          <w:numId w:val="25"/>
        </w:numPr>
        <w:spacing w:after="120"/>
        <w:ind w:left="357" w:hanging="357"/>
        <w:rPr>
          <w:sz w:val="32"/>
        </w:rPr>
      </w:pPr>
      <w:bookmarkStart w:id="17" w:name="_Toc530471833"/>
      <w:r w:rsidRPr="009610A8">
        <w:rPr>
          <w:sz w:val="32"/>
        </w:rPr>
        <w:lastRenderedPageBreak/>
        <w:t>Challenges</w:t>
      </w:r>
      <w:bookmarkEnd w:id="17"/>
    </w:p>
    <w:p w14:paraId="5006A203" w14:textId="24E87884" w:rsidR="00E6398B" w:rsidRPr="009610A8" w:rsidRDefault="00C81F6D" w:rsidP="00CE47E1">
      <w:pPr>
        <w:spacing w:after="120" w:line="240" w:lineRule="auto"/>
        <w:rPr>
          <w:szCs w:val="24"/>
        </w:rPr>
      </w:pPr>
      <w:r w:rsidRPr="009610A8">
        <w:rPr>
          <w:szCs w:val="24"/>
        </w:rPr>
        <w:t>O</w:t>
      </w:r>
      <w:r w:rsidR="0026051F" w:rsidRPr="009610A8">
        <w:rPr>
          <w:szCs w:val="24"/>
        </w:rPr>
        <w:t xml:space="preserve">ther nations </w:t>
      </w:r>
      <w:r w:rsidRPr="009610A8">
        <w:rPr>
          <w:szCs w:val="24"/>
        </w:rPr>
        <w:t xml:space="preserve">are </w:t>
      </w:r>
      <w:r w:rsidR="00574A36" w:rsidRPr="009610A8">
        <w:rPr>
          <w:szCs w:val="24"/>
        </w:rPr>
        <w:t>taking a more prominent place in the</w:t>
      </w:r>
      <w:r w:rsidRPr="009610A8">
        <w:rPr>
          <w:szCs w:val="24"/>
        </w:rPr>
        <w:t xml:space="preserve"> global education market as they</w:t>
      </w:r>
      <w:r w:rsidR="0026051F" w:rsidRPr="009610A8">
        <w:rPr>
          <w:szCs w:val="24"/>
        </w:rPr>
        <w:t xml:space="preserve"> see the economic, social and diplomatic benefits of international education</w:t>
      </w:r>
      <w:r w:rsidRPr="009610A8">
        <w:rPr>
          <w:szCs w:val="24"/>
        </w:rPr>
        <w:t xml:space="preserve"> and </w:t>
      </w:r>
      <w:r w:rsidR="00EE62FD" w:rsidRPr="009610A8">
        <w:rPr>
          <w:szCs w:val="24"/>
        </w:rPr>
        <w:t xml:space="preserve">as </w:t>
      </w:r>
      <w:r w:rsidRPr="009610A8">
        <w:rPr>
          <w:szCs w:val="24"/>
        </w:rPr>
        <w:t xml:space="preserve">the </w:t>
      </w:r>
      <w:r w:rsidR="0026051F" w:rsidRPr="009610A8">
        <w:rPr>
          <w:szCs w:val="24"/>
        </w:rPr>
        <w:t>quality of their education systems</w:t>
      </w:r>
      <w:r w:rsidR="00EB549E" w:rsidRPr="009610A8">
        <w:rPr>
          <w:szCs w:val="24"/>
        </w:rPr>
        <w:t xml:space="preserve"> improv</w:t>
      </w:r>
      <w:r w:rsidR="00574A36" w:rsidRPr="009610A8">
        <w:rPr>
          <w:szCs w:val="24"/>
        </w:rPr>
        <w:t>e</w:t>
      </w:r>
      <w:r w:rsidRPr="009610A8">
        <w:rPr>
          <w:szCs w:val="24"/>
        </w:rPr>
        <w:t>.</w:t>
      </w:r>
      <w:r w:rsidR="0026051F" w:rsidRPr="009610A8">
        <w:rPr>
          <w:szCs w:val="24"/>
        </w:rPr>
        <w:t xml:space="preserve"> </w:t>
      </w:r>
      <w:r w:rsidRPr="009610A8">
        <w:rPr>
          <w:szCs w:val="24"/>
        </w:rPr>
        <w:t>M</w:t>
      </w:r>
      <w:r w:rsidR="00EA37B6" w:rsidRPr="009610A8">
        <w:rPr>
          <w:szCs w:val="24"/>
        </w:rPr>
        <w:t xml:space="preserve">aintaining </w:t>
      </w:r>
      <w:r w:rsidRPr="009610A8">
        <w:rPr>
          <w:szCs w:val="24"/>
        </w:rPr>
        <w:t xml:space="preserve">Australia’s </w:t>
      </w:r>
      <w:r w:rsidR="00EA37B6" w:rsidRPr="009610A8">
        <w:rPr>
          <w:szCs w:val="24"/>
        </w:rPr>
        <w:t>value for money</w:t>
      </w:r>
      <w:r w:rsidRPr="009610A8">
        <w:rPr>
          <w:szCs w:val="24"/>
        </w:rPr>
        <w:t xml:space="preserve"> proposition</w:t>
      </w:r>
      <w:r w:rsidR="00EA37B6" w:rsidRPr="009610A8">
        <w:rPr>
          <w:szCs w:val="24"/>
        </w:rPr>
        <w:t xml:space="preserve"> in </w:t>
      </w:r>
      <w:r w:rsidR="00A471CE" w:rsidRPr="009610A8">
        <w:rPr>
          <w:szCs w:val="24"/>
        </w:rPr>
        <w:t xml:space="preserve">the </w:t>
      </w:r>
      <w:r w:rsidR="00EA37B6" w:rsidRPr="009610A8">
        <w:rPr>
          <w:szCs w:val="24"/>
        </w:rPr>
        <w:t xml:space="preserve">face of </w:t>
      </w:r>
      <w:r w:rsidRPr="009610A8">
        <w:rPr>
          <w:szCs w:val="24"/>
        </w:rPr>
        <w:t xml:space="preserve">growing </w:t>
      </w:r>
      <w:r w:rsidR="00EA37B6" w:rsidRPr="009610A8">
        <w:rPr>
          <w:szCs w:val="24"/>
        </w:rPr>
        <w:t>competi</w:t>
      </w:r>
      <w:r w:rsidR="00353719" w:rsidRPr="009610A8">
        <w:rPr>
          <w:szCs w:val="24"/>
        </w:rPr>
        <w:t>tion</w:t>
      </w:r>
      <w:r w:rsidR="00574A36" w:rsidRPr="009610A8">
        <w:rPr>
          <w:szCs w:val="24"/>
        </w:rPr>
        <w:t xml:space="preserve">, including from </w:t>
      </w:r>
      <w:r w:rsidR="00BE223A" w:rsidRPr="009610A8">
        <w:rPr>
          <w:szCs w:val="24"/>
        </w:rPr>
        <w:t>less expensive</w:t>
      </w:r>
      <w:r w:rsidR="00574A36" w:rsidRPr="009610A8">
        <w:rPr>
          <w:szCs w:val="24"/>
        </w:rPr>
        <w:t xml:space="preserve"> countries,</w:t>
      </w:r>
      <w:r w:rsidR="00353719" w:rsidRPr="009610A8">
        <w:rPr>
          <w:szCs w:val="24"/>
        </w:rPr>
        <w:t xml:space="preserve"> </w:t>
      </w:r>
      <w:r w:rsidR="009A42FA" w:rsidRPr="009610A8">
        <w:rPr>
          <w:szCs w:val="24"/>
        </w:rPr>
        <w:t>is a challenge</w:t>
      </w:r>
      <w:r w:rsidR="00B00CFB" w:rsidRPr="009610A8">
        <w:rPr>
          <w:szCs w:val="24"/>
        </w:rPr>
        <w:t xml:space="preserve">. While Australia’s way of life, natural </w:t>
      </w:r>
      <w:r w:rsidR="009A42FA" w:rsidRPr="009610A8">
        <w:rPr>
          <w:szCs w:val="24"/>
        </w:rPr>
        <w:t>environment</w:t>
      </w:r>
      <w:r w:rsidR="00B00CFB" w:rsidRPr="009610A8">
        <w:rPr>
          <w:szCs w:val="24"/>
        </w:rPr>
        <w:t>, stability</w:t>
      </w:r>
      <w:r w:rsidR="00436674" w:rsidRPr="009610A8">
        <w:rPr>
          <w:szCs w:val="24"/>
        </w:rPr>
        <w:t xml:space="preserve">, </w:t>
      </w:r>
      <w:r w:rsidR="00B00CFB" w:rsidRPr="009610A8">
        <w:rPr>
          <w:szCs w:val="24"/>
        </w:rPr>
        <w:t xml:space="preserve">openness </w:t>
      </w:r>
      <w:r w:rsidR="00436674" w:rsidRPr="009610A8">
        <w:rPr>
          <w:szCs w:val="24"/>
        </w:rPr>
        <w:t xml:space="preserve">and quality of education </w:t>
      </w:r>
      <w:r w:rsidR="00B00CFB" w:rsidRPr="009610A8">
        <w:rPr>
          <w:szCs w:val="24"/>
        </w:rPr>
        <w:t>are</w:t>
      </w:r>
      <w:r w:rsidR="0026051F" w:rsidRPr="009610A8">
        <w:rPr>
          <w:szCs w:val="24"/>
        </w:rPr>
        <w:t xml:space="preserve"> distinguishing</w:t>
      </w:r>
      <w:r w:rsidR="00B00CFB" w:rsidRPr="009610A8">
        <w:rPr>
          <w:szCs w:val="24"/>
        </w:rPr>
        <w:t xml:space="preserve"> </w:t>
      </w:r>
      <w:r w:rsidR="009A42FA" w:rsidRPr="009610A8">
        <w:rPr>
          <w:szCs w:val="24"/>
        </w:rPr>
        <w:t xml:space="preserve">assets </w:t>
      </w:r>
      <w:r w:rsidR="00B00CFB" w:rsidRPr="009610A8">
        <w:rPr>
          <w:szCs w:val="24"/>
        </w:rPr>
        <w:t xml:space="preserve">that we maintain, the </w:t>
      </w:r>
      <w:r w:rsidR="007B01DC" w:rsidRPr="009610A8">
        <w:rPr>
          <w:szCs w:val="24"/>
        </w:rPr>
        <w:t>cost of livin</w:t>
      </w:r>
      <w:r w:rsidR="00C5164B" w:rsidRPr="009610A8">
        <w:rPr>
          <w:szCs w:val="24"/>
        </w:rPr>
        <w:t xml:space="preserve">g and </w:t>
      </w:r>
      <w:r w:rsidR="00353719" w:rsidRPr="009610A8">
        <w:rPr>
          <w:szCs w:val="24"/>
        </w:rPr>
        <w:t xml:space="preserve">rising tuition </w:t>
      </w:r>
      <w:r w:rsidR="00EA37B6" w:rsidRPr="009610A8">
        <w:rPr>
          <w:szCs w:val="24"/>
        </w:rPr>
        <w:t>fee</w:t>
      </w:r>
      <w:r w:rsidR="00353719" w:rsidRPr="009610A8">
        <w:rPr>
          <w:szCs w:val="24"/>
        </w:rPr>
        <w:t xml:space="preserve">s </w:t>
      </w:r>
      <w:r w:rsidR="0001037C" w:rsidRPr="009610A8">
        <w:rPr>
          <w:szCs w:val="24"/>
        </w:rPr>
        <w:t>risk</w:t>
      </w:r>
      <w:r w:rsidR="00E82DB6" w:rsidRPr="009610A8">
        <w:rPr>
          <w:szCs w:val="24"/>
        </w:rPr>
        <w:t xml:space="preserve"> </w:t>
      </w:r>
      <w:r w:rsidR="0026051F" w:rsidRPr="009610A8">
        <w:rPr>
          <w:szCs w:val="24"/>
        </w:rPr>
        <w:t>Australia</w:t>
      </w:r>
      <w:r w:rsidR="00574A36" w:rsidRPr="009610A8">
        <w:rPr>
          <w:szCs w:val="24"/>
        </w:rPr>
        <w:t xml:space="preserve"> being viewed as</w:t>
      </w:r>
      <w:r w:rsidR="0026051F" w:rsidRPr="009610A8">
        <w:rPr>
          <w:szCs w:val="24"/>
        </w:rPr>
        <w:t xml:space="preserve"> </w:t>
      </w:r>
      <w:r w:rsidR="00A92609" w:rsidRPr="009610A8">
        <w:rPr>
          <w:szCs w:val="24"/>
        </w:rPr>
        <w:t>a</w:t>
      </w:r>
      <w:r w:rsidR="00EE62FD" w:rsidRPr="009610A8">
        <w:rPr>
          <w:szCs w:val="24"/>
        </w:rPr>
        <w:t>n</w:t>
      </w:r>
      <w:r w:rsidR="00A92609" w:rsidRPr="009610A8">
        <w:rPr>
          <w:szCs w:val="24"/>
        </w:rPr>
        <w:t xml:space="preserve"> </w:t>
      </w:r>
      <w:r w:rsidR="00353719" w:rsidRPr="009610A8">
        <w:rPr>
          <w:szCs w:val="24"/>
        </w:rPr>
        <w:t>expensive</w:t>
      </w:r>
      <w:r w:rsidR="009A42FA" w:rsidRPr="009610A8">
        <w:rPr>
          <w:szCs w:val="24"/>
        </w:rPr>
        <w:t xml:space="preserve"> </w:t>
      </w:r>
      <w:r w:rsidR="006B04CD" w:rsidRPr="009610A8">
        <w:rPr>
          <w:szCs w:val="24"/>
        </w:rPr>
        <w:t xml:space="preserve">study </w:t>
      </w:r>
      <w:r w:rsidR="00A92609" w:rsidRPr="009610A8">
        <w:rPr>
          <w:szCs w:val="24"/>
        </w:rPr>
        <w:t>option</w:t>
      </w:r>
      <w:r w:rsidR="002A10FB" w:rsidRPr="009610A8">
        <w:rPr>
          <w:szCs w:val="24"/>
        </w:rPr>
        <w:t>.</w:t>
      </w:r>
      <w:r w:rsidR="00BA3355" w:rsidRPr="009610A8">
        <w:rPr>
          <w:szCs w:val="24"/>
        </w:rPr>
        <w:t xml:space="preserve"> </w:t>
      </w:r>
      <w:r w:rsidRPr="009610A8">
        <w:rPr>
          <w:szCs w:val="24"/>
        </w:rPr>
        <w:t>Australia</w:t>
      </w:r>
      <w:r w:rsidR="0026051F" w:rsidRPr="009610A8">
        <w:rPr>
          <w:szCs w:val="24"/>
        </w:rPr>
        <w:t xml:space="preserve"> continu</w:t>
      </w:r>
      <w:r w:rsidRPr="009610A8">
        <w:rPr>
          <w:szCs w:val="24"/>
        </w:rPr>
        <w:t>es to see</w:t>
      </w:r>
      <w:r w:rsidR="00890E08" w:rsidRPr="009610A8">
        <w:rPr>
          <w:szCs w:val="24"/>
        </w:rPr>
        <w:t xml:space="preserve"> </w:t>
      </w:r>
      <w:r w:rsidR="00EC0B29" w:rsidRPr="009610A8">
        <w:rPr>
          <w:szCs w:val="24"/>
        </w:rPr>
        <w:t>high concentrations</w:t>
      </w:r>
      <w:r w:rsidR="00F41FAD" w:rsidRPr="009610A8">
        <w:rPr>
          <w:szCs w:val="24"/>
        </w:rPr>
        <w:t xml:space="preserve"> of </w:t>
      </w:r>
      <w:r w:rsidR="000F1423" w:rsidRPr="009610A8">
        <w:rPr>
          <w:szCs w:val="24"/>
        </w:rPr>
        <w:t xml:space="preserve">international </w:t>
      </w:r>
      <w:r w:rsidR="00F41FAD" w:rsidRPr="009610A8">
        <w:rPr>
          <w:szCs w:val="24"/>
        </w:rPr>
        <w:t xml:space="preserve">students from a small number of </w:t>
      </w:r>
      <w:r w:rsidR="00EA37B6" w:rsidRPr="009610A8">
        <w:rPr>
          <w:szCs w:val="24"/>
        </w:rPr>
        <w:t>source</w:t>
      </w:r>
      <w:r w:rsidR="0001037C" w:rsidRPr="009610A8">
        <w:rPr>
          <w:szCs w:val="24"/>
        </w:rPr>
        <w:t xml:space="preserve"> countries</w:t>
      </w:r>
      <w:r w:rsidR="00F41FAD" w:rsidRPr="009610A8">
        <w:rPr>
          <w:szCs w:val="24"/>
        </w:rPr>
        <w:t>, concentrated in capital cities on the east coast</w:t>
      </w:r>
      <w:r w:rsidR="00EA37B6" w:rsidRPr="009610A8">
        <w:rPr>
          <w:szCs w:val="24"/>
        </w:rPr>
        <w:t xml:space="preserve">. </w:t>
      </w:r>
      <w:r w:rsidR="00A471CE" w:rsidRPr="009610A8">
        <w:rPr>
          <w:szCs w:val="24"/>
        </w:rPr>
        <w:t>E</w:t>
      </w:r>
      <w:r w:rsidR="00EC0B29" w:rsidRPr="009610A8">
        <w:rPr>
          <w:szCs w:val="24"/>
        </w:rPr>
        <w:t xml:space="preserve">xisting </w:t>
      </w:r>
      <w:r w:rsidR="00B63C8A" w:rsidRPr="009610A8">
        <w:rPr>
          <w:szCs w:val="24"/>
        </w:rPr>
        <w:t xml:space="preserve">partnerships </w:t>
      </w:r>
      <w:r w:rsidR="00EC0B29" w:rsidRPr="009610A8">
        <w:rPr>
          <w:szCs w:val="24"/>
        </w:rPr>
        <w:t xml:space="preserve">continue to offer opportunities for growth, </w:t>
      </w:r>
      <w:r w:rsidR="0001037C" w:rsidRPr="009610A8">
        <w:rPr>
          <w:szCs w:val="24"/>
        </w:rPr>
        <w:t>as</w:t>
      </w:r>
      <w:r w:rsidR="00A471CE" w:rsidRPr="009610A8">
        <w:rPr>
          <w:szCs w:val="24"/>
        </w:rPr>
        <w:t xml:space="preserve"> </w:t>
      </w:r>
      <w:r w:rsidR="00EC0B29" w:rsidRPr="009610A8">
        <w:rPr>
          <w:szCs w:val="24"/>
        </w:rPr>
        <w:t xml:space="preserve">it is </w:t>
      </w:r>
      <w:r w:rsidR="001D50FA" w:rsidRPr="009610A8">
        <w:rPr>
          <w:szCs w:val="24"/>
        </w:rPr>
        <w:t>often less resource intensive and less risky</w:t>
      </w:r>
      <w:r w:rsidR="00EC0B29" w:rsidRPr="009610A8">
        <w:rPr>
          <w:szCs w:val="24"/>
        </w:rPr>
        <w:t xml:space="preserve"> </w:t>
      </w:r>
      <w:r w:rsidR="0001037C" w:rsidRPr="009610A8">
        <w:rPr>
          <w:szCs w:val="24"/>
        </w:rPr>
        <w:t xml:space="preserve">for providers </w:t>
      </w:r>
      <w:r w:rsidR="00EC0B29" w:rsidRPr="009610A8">
        <w:rPr>
          <w:szCs w:val="24"/>
        </w:rPr>
        <w:t>to capitali</w:t>
      </w:r>
      <w:r w:rsidRPr="009610A8">
        <w:rPr>
          <w:szCs w:val="24"/>
        </w:rPr>
        <w:t>s</w:t>
      </w:r>
      <w:r w:rsidR="00EC0B29" w:rsidRPr="009610A8">
        <w:rPr>
          <w:szCs w:val="24"/>
        </w:rPr>
        <w:t>e on existing relationships</w:t>
      </w:r>
      <w:r w:rsidR="00EE62FD" w:rsidRPr="009610A8">
        <w:rPr>
          <w:szCs w:val="24"/>
        </w:rPr>
        <w:t xml:space="preserve"> and</w:t>
      </w:r>
      <w:r w:rsidR="00EC0B29" w:rsidRPr="009610A8">
        <w:rPr>
          <w:szCs w:val="24"/>
        </w:rPr>
        <w:t xml:space="preserve"> market intelligence</w:t>
      </w:r>
      <w:r w:rsidR="00EE62FD" w:rsidRPr="009610A8">
        <w:rPr>
          <w:szCs w:val="24"/>
        </w:rPr>
        <w:t>,</w:t>
      </w:r>
      <w:r w:rsidR="00EA37B6" w:rsidRPr="009610A8">
        <w:rPr>
          <w:szCs w:val="24"/>
        </w:rPr>
        <w:t xml:space="preserve"> </w:t>
      </w:r>
      <w:r w:rsidR="00A471CE" w:rsidRPr="009610A8">
        <w:rPr>
          <w:szCs w:val="24"/>
        </w:rPr>
        <w:t xml:space="preserve">rather </w:t>
      </w:r>
      <w:r w:rsidR="00EA37B6" w:rsidRPr="009610A8">
        <w:rPr>
          <w:szCs w:val="24"/>
        </w:rPr>
        <w:t xml:space="preserve">than </w:t>
      </w:r>
      <w:r w:rsidR="00EC0B29" w:rsidRPr="009610A8">
        <w:rPr>
          <w:szCs w:val="24"/>
        </w:rPr>
        <w:t>invest in</w:t>
      </w:r>
      <w:r w:rsidR="00EA37B6" w:rsidRPr="009610A8">
        <w:rPr>
          <w:szCs w:val="24"/>
        </w:rPr>
        <w:t xml:space="preserve"> new ones</w:t>
      </w:r>
      <w:r w:rsidR="00E6398B" w:rsidRPr="009610A8">
        <w:rPr>
          <w:szCs w:val="24"/>
        </w:rPr>
        <w:t xml:space="preserve">. </w:t>
      </w:r>
      <w:r w:rsidR="001E6821" w:rsidRPr="009610A8">
        <w:rPr>
          <w:szCs w:val="24"/>
        </w:rPr>
        <w:t>For example, r</w:t>
      </w:r>
      <w:r w:rsidR="00E6398B" w:rsidRPr="009610A8">
        <w:rPr>
          <w:szCs w:val="24"/>
        </w:rPr>
        <w:t xml:space="preserve">eliance on </w:t>
      </w:r>
      <w:r w:rsidR="005F47F0" w:rsidRPr="009610A8">
        <w:rPr>
          <w:szCs w:val="24"/>
        </w:rPr>
        <w:t xml:space="preserve">growth </w:t>
      </w:r>
      <w:r w:rsidR="001E6821" w:rsidRPr="009610A8">
        <w:rPr>
          <w:szCs w:val="24"/>
        </w:rPr>
        <w:t>in</w:t>
      </w:r>
      <w:r w:rsidR="005F47F0" w:rsidRPr="009610A8">
        <w:rPr>
          <w:szCs w:val="24"/>
        </w:rPr>
        <w:t xml:space="preserve"> Chinese student numbers</w:t>
      </w:r>
      <w:r w:rsidR="00156058" w:rsidRPr="009610A8">
        <w:rPr>
          <w:szCs w:val="24"/>
        </w:rPr>
        <w:t xml:space="preserve"> in some parts of the industry </w:t>
      </w:r>
      <w:r w:rsidR="00E6398B" w:rsidRPr="009610A8">
        <w:rPr>
          <w:szCs w:val="24"/>
        </w:rPr>
        <w:t>pos</w:t>
      </w:r>
      <w:r w:rsidR="005F47F0" w:rsidRPr="009610A8">
        <w:rPr>
          <w:szCs w:val="24"/>
        </w:rPr>
        <w:t>es a risk to maintaining diversity of students.</w:t>
      </w:r>
      <w:r w:rsidR="001E6821" w:rsidRPr="009610A8">
        <w:rPr>
          <w:szCs w:val="24"/>
        </w:rPr>
        <w:t xml:space="preserve"> Australia’s challenge is to encourage providers to invest in new </w:t>
      </w:r>
      <w:r w:rsidR="003F56FC" w:rsidRPr="009610A8">
        <w:rPr>
          <w:szCs w:val="24"/>
        </w:rPr>
        <w:t xml:space="preserve">opportunities </w:t>
      </w:r>
      <w:r w:rsidR="00E82DB6" w:rsidRPr="009610A8">
        <w:rPr>
          <w:szCs w:val="24"/>
        </w:rPr>
        <w:t xml:space="preserve">and to take </w:t>
      </w:r>
      <w:r w:rsidR="001E6821" w:rsidRPr="009610A8">
        <w:rPr>
          <w:szCs w:val="24"/>
        </w:rPr>
        <w:t>a long-term approach.</w:t>
      </w:r>
    </w:p>
    <w:p w14:paraId="29823F95" w14:textId="77777777" w:rsidR="001E0B28" w:rsidRPr="009610A8" w:rsidRDefault="00E6398B" w:rsidP="00CE47E1">
      <w:pPr>
        <w:spacing w:after="120" w:line="240" w:lineRule="auto"/>
        <w:rPr>
          <w:szCs w:val="24"/>
        </w:rPr>
      </w:pPr>
      <w:r w:rsidRPr="009610A8">
        <w:rPr>
          <w:szCs w:val="24"/>
        </w:rPr>
        <w:t xml:space="preserve">As </w:t>
      </w:r>
      <w:r w:rsidR="00EC0B29" w:rsidRPr="009610A8">
        <w:rPr>
          <w:szCs w:val="24"/>
        </w:rPr>
        <w:t xml:space="preserve">Australia strives for continued growth, that </w:t>
      </w:r>
      <w:r w:rsidR="008F72F1" w:rsidRPr="009610A8">
        <w:rPr>
          <w:szCs w:val="24"/>
        </w:rPr>
        <w:t xml:space="preserve">growth </w:t>
      </w:r>
      <w:r w:rsidR="001E0B28" w:rsidRPr="009610A8">
        <w:rPr>
          <w:szCs w:val="24"/>
        </w:rPr>
        <w:t xml:space="preserve">needs to be distributed and managed </w:t>
      </w:r>
      <w:r w:rsidR="008F72F1" w:rsidRPr="009610A8">
        <w:rPr>
          <w:szCs w:val="24"/>
        </w:rPr>
        <w:t xml:space="preserve">so that </w:t>
      </w:r>
      <w:r w:rsidR="00A471CE" w:rsidRPr="009610A8">
        <w:rPr>
          <w:szCs w:val="24"/>
        </w:rPr>
        <w:t xml:space="preserve">providers </w:t>
      </w:r>
      <w:r w:rsidR="008F72F1" w:rsidRPr="009610A8">
        <w:rPr>
          <w:szCs w:val="24"/>
        </w:rPr>
        <w:t xml:space="preserve">and the communities around them can </w:t>
      </w:r>
      <w:r w:rsidR="001E0B28" w:rsidRPr="009610A8">
        <w:rPr>
          <w:szCs w:val="24"/>
        </w:rPr>
        <w:t>adjust</w:t>
      </w:r>
      <w:r w:rsidR="00EE62FD" w:rsidRPr="009610A8">
        <w:rPr>
          <w:szCs w:val="24"/>
        </w:rPr>
        <w:t xml:space="preserve"> </w:t>
      </w:r>
      <w:r w:rsidR="008F72F1" w:rsidRPr="009610A8">
        <w:rPr>
          <w:szCs w:val="24"/>
        </w:rPr>
        <w:t xml:space="preserve">and </w:t>
      </w:r>
      <w:r w:rsidR="00EC0B29" w:rsidRPr="009610A8">
        <w:rPr>
          <w:szCs w:val="24"/>
        </w:rPr>
        <w:t xml:space="preserve">the </w:t>
      </w:r>
      <w:r w:rsidR="008F72F1" w:rsidRPr="009610A8">
        <w:rPr>
          <w:szCs w:val="24"/>
        </w:rPr>
        <w:t xml:space="preserve">benefits </w:t>
      </w:r>
      <w:r w:rsidR="00EC0B29" w:rsidRPr="009610A8">
        <w:rPr>
          <w:szCs w:val="24"/>
        </w:rPr>
        <w:t xml:space="preserve">of Australia’s third largest export </w:t>
      </w:r>
      <w:r w:rsidR="008F72F1" w:rsidRPr="009610A8">
        <w:rPr>
          <w:szCs w:val="24"/>
        </w:rPr>
        <w:t>are shared</w:t>
      </w:r>
      <w:r w:rsidR="00574A36" w:rsidRPr="009610A8">
        <w:rPr>
          <w:szCs w:val="24"/>
        </w:rPr>
        <w:t xml:space="preserve"> more broadly</w:t>
      </w:r>
      <w:r w:rsidR="0001037C" w:rsidRPr="009610A8">
        <w:rPr>
          <w:szCs w:val="24"/>
        </w:rPr>
        <w:t>.</w:t>
      </w:r>
    </w:p>
    <w:p w14:paraId="04CDFF97" w14:textId="77777777" w:rsidR="00B55E69" w:rsidRPr="009610A8" w:rsidRDefault="00F41FAD" w:rsidP="00CE47E1">
      <w:pPr>
        <w:spacing w:after="120" w:line="240" w:lineRule="auto"/>
        <w:rPr>
          <w:szCs w:val="24"/>
        </w:rPr>
      </w:pPr>
      <w:r w:rsidRPr="009610A8">
        <w:rPr>
          <w:szCs w:val="24"/>
        </w:rPr>
        <w:t>Australia must keep up with the rest of the world to be competitive - c</w:t>
      </w:r>
      <w:r w:rsidR="00B55E69" w:rsidRPr="009610A8">
        <w:rPr>
          <w:szCs w:val="24"/>
        </w:rPr>
        <w:t>ustomer demand</w:t>
      </w:r>
      <w:r w:rsidR="001E0B28" w:rsidRPr="009610A8">
        <w:rPr>
          <w:szCs w:val="24"/>
        </w:rPr>
        <w:t xml:space="preserve"> is shifting in response to technological </w:t>
      </w:r>
      <w:r w:rsidR="00B55E69" w:rsidRPr="009610A8">
        <w:rPr>
          <w:szCs w:val="24"/>
        </w:rPr>
        <w:t xml:space="preserve">advances and </w:t>
      </w:r>
      <w:r w:rsidR="001E0B28" w:rsidRPr="009610A8">
        <w:rPr>
          <w:szCs w:val="24"/>
        </w:rPr>
        <w:t>the</w:t>
      </w:r>
      <w:r w:rsidR="00C81F6D" w:rsidRPr="009610A8">
        <w:rPr>
          <w:szCs w:val="24"/>
        </w:rPr>
        <w:t>ir</w:t>
      </w:r>
      <w:r w:rsidR="001E0B28" w:rsidRPr="009610A8">
        <w:rPr>
          <w:szCs w:val="24"/>
        </w:rPr>
        <w:t xml:space="preserve"> implications for the </w:t>
      </w:r>
      <w:r w:rsidR="00B55E69" w:rsidRPr="009610A8">
        <w:rPr>
          <w:szCs w:val="24"/>
        </w:rPr>
        <w:t>future of work.</w:t>
      </w:r>
      <w:r w:rsidR="001E0B28" w:rsidRPr="009610A8">
        <w:rPr>
          <w:szCs w:val="24"/>
        </w:rPr>
        <w:t xml:space="preserve"> The sector’s products and delivery models need to respond to these changes</w:t>
      </w:r>
      <w:r w:rsidR="00C81F6D" w:rsidRPr="009610A8">
        <w:rPr>
          <w:szCs w:val="24"/>
        </w:rPr>
        <w:t xml:space="preserve"> to remain competitive</w:t>
      </w:r>
      <w:r w:rsidR="001E0B28" w:rsidRPr="009610A8">
        <w:rPr>
          <w:szCs w:val="24"/>
        </w:rPr>
        <w:t xml:space="preserve"> and</w:t>
      </w:r>
      <w:r w:rsidR="00C81F6D" w:rsidRPr="009610A8">
        <w:rPr>
          <w:szCs w:val="24"/>
        </w:rPr>
        <w:t xml:space="preserve"> to</w:t>
      </w:r>
      <w:r w:rsidR="001E0B28" w:rsidRPr="009610A8">
        <w:rPr>
          <w:szCs w:val="24"/>
        </w:rPr>
        <w:t xml:space="preserve"> offer international students the skills and adaptability they will need to thrive in the future workforce.</w:t>
      </w:r>
    </w:p>
    <w:p w14:paraId="6DD2E9C4" w14:textId="55945EFE" w:rsidR="001E0B28" w:rsidRPr="009610A8" w:rsidRDefault="00EC0B29" w:rsidP="00CE47E1">
      <w:pPr>
        <w:spacing w:after="120" w:line="240" w:lineRule="auto"/>
        <w:rPr>
          <w:szCs w:val="24"/>
        </w:rPr>
      </w:pPr>
      <w:r w:rsidRPr="009610A8">
        <w:rPr>
          <w:szCs w:val="24"/>
        </w:rPr>
        <w:t>Australia</w:t>
      </w:r>
      <w:r w:rsidR="00C81F6D" w:rsidRPr="009610A8">
        <w:rPr>
          <w:szCs w:val="24"/>
        </w:rPr>
        <w:t xml:space="preserve"> has tightened its</w:t>
      </w:r>
      <w:r w:rsidRPr="009610A8">
        <w:rPr>
          <w:szCs w:val="24"/>
        </w:rPr>
        <w:t xml:space="preserve"> re</w:t>
      </w:r>
      <w:r w:rsidR="00B55E69" w:rsidRPr="009610A8">
        <w:rPr>
          <w:szCs w:val="24"/>
        </w:rPr>
        <w:t xml:space="preserve">gulatory environment </w:t>
      </w:r>
      <w:r w:rsidR="001E0B28" w:rsidRPr="009610A8">
        <w:rPr>
          <w:szCs w:val="24"/>
        </w:rPr>
        <w:t>over</w:t>
      </w:r>
      <w:r w:rsidRPr="009610A8">
        <w:rPr>
          <w:szCs w:val="24"/>
        </w:rPr>
        <w:t xml:space="preserve"> the last year to</w:t>
      </w:r>
      <w:r w:rsidR="001E0B28" w:rsidRPr="009610A8">
        <w:rPr>
          <w:szCs w:val="24"/>
        </w:rPr>
        <w:t xml:space="preserve"> increase</w:t>
      </w:r>
      <w:r w:rsidRPr="009610A8">
        <w:rPr>
          <w:szCs w:val="24"/>
        </w:rPr>
        <w:t xml:space="preserve"> protect</w:t>
      </w:r>
      <w:r w:rsidR="001E0B28" w:rsidRPr="009610A8">
        <w:rPr>
          <w:szCs w:val="24"/>
        </w:rPr>
        <w:t>ion</w:t>
      </w:r>
      <w:r w:rsidRPr="009610A8">
        <w:rPr>
          <w:szCs w:val="24"/>
        </w:rPr>
        <w:t xml:space="preserve"> and support </w:t>
      </w:r>
      <w:r w:rsidR="001E0B28" w:rsidRPr="009610A8">
        <w:rPr>
          <w:szCs w:val="24"/>
        </w:rPr>
        <w:t xml:space="preserve">for </w:t>
      </w:r>
      <w:r w:rsidRPr="009610A8">
        <w:rPr>
          <w:szCs w:val="24"/>
        </w:rPr>
        <w:t xml:space="preserve">international students who face unethical or dishonest conduct from </w:t>
      </w:r>
      <w:r w:rsidR="00C81F6D" w:rsidRPr="009610A8">
        <w:rPr>
          <w:szCs w:val="24"/>
        </w:rPr>
        <w:t xml:space="preserve">education </w:t>
      </w:r>
      <w:r w:rsidRPr="009610A8">
        <w:rPr>
          <w:szCs w:val="24"/>
        </w:rPr>
        <w:t>agents and employers</w:t>
      </w:r>
      <w:r w:rsidR="001E0B28" w:rsidRPr="009610A8">
        <w:rPr>
          <w:szCs w:val="24"/>
        </w:rPr>
        <w:t>. Nevertheless, e</w:t>
      </w:r>
      <w:r w:rsidR="00B55E69" w:rsidRPr="009610A8">
        <w:rPr>
          <w:szCs w:val="24"/>
        </w:rPr>
        <w:t>xploitation</w:t>
      </w:r>
      <w:r w:rsidRPr="009610A8">
        <w:rPr>
          <w:szCs w:val="24"/>
        </w:rPr>
        <w:t xml:space="preserve"> </w:t>
      </w:r>
      <w:r w:rsidR="00C81F6D" w:rsidRPr="009610A8">
        <w:rPr>
          <w:szCs w:val="24"/>
        </w:rPr>
        <w:t xml:space="preserve">is </w:t>
      </w:r>
      <w:r w:rsidRPr="009610A8">
        <w:rPr>
          <w:szCs w:val="24"/>
        </w:rPr>
        <w:t>a</w:t>
      </w:r>
      <w:r w:rsidR="003B2BDF" w:rsidRPr="009610A8">
        <w:rPr>
          <w:szCs w:val="24"/>
        </w:rPr>
        <w:t>n ongoing</w:t>
      </w:r>
      <w:r w:rsidRPr="009610A8">
        <w:rPr>
          <w:szCs w:val="24"/>
        </w:rPr>
        <w:t xml:space="preserve"> risk </w:t>
      </w:r>
      <w:r w:rsidR="00A92609" w:rsidRPr="009610A8">
        <w:rPr>
          <w:szCs w:val="24"/>
        </w:rPr>
        <w:t xml:space="preserve">that </w:t>
      </w:r>
      <w:r w:rsidR="001E0B28" w:rsidRPr="009610A8">
        <w:rPr>
          <w:szCs w:val="24"/>
        </w:rPr>
        <w:t>can harm students and</w:t>
      </w:r>
      <w:r w:rsidRPr="009610A8">
        <w:rPr>
          <w:szCs w:val="24"/>
        </w:rPr>
        <w:t xml:space="preserve"> damage </w:t>
      </w:r>
      <w:r w:rsidR="00B55E69" w:rsidRPr="009610A8">
        <w:rPr>
          <w:szCs w:val="24"/>
        </w:rPr>
        <w:t>Australia’s reputation.</w:t>
      </w:r>
      <w:r w:rsidR="001E0B28" w:rsidRPr="009610A8">
        <w:rPr>
          <w:szCs w:val="24"/>
        </w:rPr>
        <w:t xml:space="preserve"> </w:t>
      </w:r>
      <w:r w:rsidR="00574A36" w:rsidRPr="009610A8">
        <w:rPr>
          <w:szCs w:val="24"/>
        </w:rPr>
        <w:t>Strong l</w:t>
      </w:r>
      <w:r w:rsidR="001E0B28" w:rsidRPr="009610A8">
        <w:rPr>
          <w:szCs w:val="24"/>
        </w:rPr>
        <w:t xml:space="preserve">eadership </w:t>
      </w:r>
      <w:r w:rsidR="00B63C8A" w:rsidRPr="009610A8">
        <w:rPr>
          <w:szCs w:val="24"/>
        </w:rPr>
        <w:t xml:space="preserve">from </w:t>
      </w:r>
      <w:r w:rsidR="001E0B28" w:rsidRPr="009610A8">
        <w:rPr>
          <w:szCs w:val="24"/>
        </w:rPr>
        <w:t>the sector</w:t>
      </w:r>
      <w:r w:rsidR="00B63C8A" w:rsidRPr="009610A8">
        <w:rPr>
          <w:szCs w:val="24"/>
        </w:rPr>
        <w:t>, supported by the community,</w:t>
      </w:r>
      <w:r w:rsidR="001E0B28" w:rsidRPr="009610A8">
        <w:rPr>
          <w:szCs w:val="24"/>
        </w:rPr>
        <w:t xml:space="preserve"> needs to complement </w:t>
      </w:r>
      <w:r w:rsidR="00E6398B" w:rsidRPr="009610A8">
        <w:rPr>
          <w:szCs w:val="24"/>
        </w:rPr>
        <w:t>the Council’s</w:t>
      </w:r>
      <w:r w:rsidR="001E0B28" w:rsidRPr="009610A8">
        <w:rPr>
          <w:szCs w:val="24"/>
        </w:rPr>
        <w:t xml:space="preserve"> action</w:t>
      </w:r>
      <w:r w:rsidR="00C81F6D" w:rsidRPr="009610A8">
        <w:rPr>
          <w:szCs w:val="24"/>
        </w:rPr>
        <w:t xml:space="preserve"> to protect and support students</w:t>
      </w:r>
      <w:r w:rsidR="001E0B28" w:rsidRPr="009610A8">
        <w:rPr>
          <w:szCs w:val="24"/>
        </w:rPr>
        <w:t>.</w:t>
      </w:r>
    </w:p>
    <w:p w14:paraId="4F5F00F5" w14:textId="77777777" w:rsidR="00EA37B6" w:rsidRPr="009610A8" w:rsidRDefault="00EA37B6" w:rsidP="00D37B89">
      <w:pPr>
        <w:pStyle w:val="Heading1"/>
        <w:pageBreakBefore/>
        <w:numPr>
          <w:ilvl w:val="0"/>
          <w:numId w:val="25"/>
        </w:numPr>
        <w:spacing w:after="120"/>
        <w:ind w:left="357" w:hanging="357"/>
        <w:rPr>
          <w:sz w:val="32"/>
        </w:rPr>
      </w:pPr>
      <w:bookmarkStart w:id="18" w:name="_Toc530471834"/>
      <w:r w:rsidRPr="009610A8">
        <w:rPr>
          <w:sz w:val="32"/>
        </w:rPr>
        <w:lastRenderedPageBreak/>
        <w:t>Opportunities</w:t>
      </w:r>
      <w:bookmarkEnd w:id="18"/>
    </w:p>
    <w:p w14:paraId="0AB4A17B" w14:textId="6F35677F" w:rsidR="00A25B25" w:rsidRPr="009610A8" w:rsidRDefault="00EB735D" w:rsidP="00CE47E1">
      <w:pPr>
        <w:spacing w:after="120" w:line="240" w:lineRule="auto"/>
        <w:rPr>
          <w:szCs w:val="24"/>
        </w:rPr>
      </w:pPr>
      <w:r w:rsidRPr="009610A8">
        <w:rPr>
          <w:szCs w:val="24"/>
        </w:rPr>
        <w:t xml:space="preserve">While </w:t>
      </w:r>
      <w:r w:rsidR="00C81F6D" w:rsidRPr="009610A8">
        <w:rPr>
          <w:szCs w:val="24"/>
        </w:rPr>
        <w:t xml:space="preserve">Australia’s </w:t>
      </w:r>
      <w:r w:rsidRPr="009610A8">
        <w:rPr>
          <w:szCs w:val="24"/>
        </w:rPr>
        <w:t xml:space="preserve">established </w:t>
      </w:r>
      <w:r w:rsidR="003F56FC" w:rsidRPr="009610A8">
        <w:rPr>
          <w:szCs w:val="24"/>
        </w:rPr>
        <w:t xml:space="preserve">partners </w:t>
      </w:r>
      <w:r w:rsidRPr="009610A8">
        <w:rPr>
          <w:szCs w:val="24"/>
        </w:rPr>
        <w:t xml:space="preserve">in Asia continue to grow, there are </w:t>
      </w:r>
      <w:r w:rsidR="00E6398B" w:rsidRPr="009610A8">
        <w:rPr>
          <w:szCs w:val="24"/>
        </w:rPr>
        <w:t xml:space="preserve">new partners and new opportunities </w:t>
      </w:r>
      <w:r w:rsidR="00E9506B" w:rsidRPr="009610A8">
        <w:rPr>
          <w:szCs w:val="24"/>
        </w:rPr>
        <w:t xml:space="preserve">for providing leadership </w:t>
      </w:r>
      <w:r w:rsidRPr="009610A8">
        <w:rPr>
          <w:szCs w:val="24"/>
        </w:rPr>
        <w:t xml:space="preserve">in the Americas, the Middle East and </w:t>
      </w:r>
      <w:r w:rsidR="00574A36" w:rsidRPr="009610A8">
        <w:rPr>
          <w:szCs w:val="24"/>
        </w:rPr>
        <w:t>parts of</w:t>
      </w:r>
      <w:r w:rsidR="000F6776" w:rsidRPr="009610A8">
        <w:rPr>
          <w:szCs w:val="24"/>
        </w:rPr>
        <w:t xml:space="preserve"> South and</w:t>
      </w:r>
      <w:r w:rsidR="00574A36" w:rsidRPr="009610A8">
        <w:rPr>
          <w:szCs w:val="24"/>
        </w:rPr>
        <w:t xml:space="preserve"> South East Asia</w:t>
      </w:r>
      <w:r w:rsidRPr="009610A8">
        <w:rPr>
          <w:szCs w:val="24"/>
        </w:rPr>
        <w:t xml:space="preserve">. Now is the time to invest in understanding these </w:t>
      </w:r>
      <w:r w:rsidR="003F56FC" w:rsidRPr="009610A8">
        <w:rPr>
          <w:szCs w:val="24"/>
        </w:rPr>
        <w:t xml:space="preserve">opportunities </w:t>
      </w:r>
      <w:r w:rsidRPr="009610A8">
        <w:rPr>
          <w:szCs w:val="24"/>
        </w:rPr>
        <w:t xml:space="preserve">and establishing the relationships </w:t>
      </w:r>
      <w:r w:rsidR="00A25B25" w:rsidRPr="009610A8">
        <w:rPr>
          <w:szCs w:val="24"/>
        </w:rPr>
        <w:t xml:space="preserve">needed </w:t>
      </w:r>
      <w:r w:rsidRPr="009610A8">
        <w:rPr>
          <w:szCs w:val="24"/>
        </w:rPr>
        <w:t>to facilitate their development</w:t>
      </w:r>
      <w:r w:rsidR="00A25B25" w:rsidRPr="009610A8">
        <w:rPr>
          <w:szCs w:val="24"/>
        </w:rPr>
        <w:t>.</w:t>
      </w:r>
    </w:p>
    <w:p w14:paraId="4EA3A36E" w14:textId="6ED06014" w:rsidR="00EA37B6" w:rsidRPr="009610A8" w:rsidRDefault="00C81F6D" w:rsidP="00CE47E1">
      <w:pPr>
        <w:spacing w:after="120" w:line="240" w:lineRule="auto"/>
        <w:rPr>
          <w:szCs w:val="24"/>
        </w:rPr>
      </w:pPr>
      <w:r w:rsidRPr="009610A8">
        <w:rPr>
          <w:szCs w:val="24"/>
        </w:rPr>
        <w:t>O</w:t>
      </w:r>
      <w:r w:rsidR="00A25B25" w:rsidRPr="009610A8">
        <w:rPr>
          <w:szCs w:val="24"/>
        </w:rPr>
        <w:t xml:space="preserve">pportunities to expand </w:t>
      </w:r>
      <w:r w:rsidR="00EB549E" w:rsidRPr="009610A8">
        <w:rPr>
          <w:szCs w:val="24"/>
        </w:rPr>
        <w:t>Australia’s</w:t>
      </w:r>
      <w:r w:rsidR="00A25B25" w:rsidRPr="009610A8">
        <w:rPr>
          <w:szCs w:val="24"/>
        </w:rPr>
        <w:t xml:space="preserve"> VET </w:t>
      </w:r>
      <w:r w:rsidR="00A92609" w:rsidRPr="009610A8">
        <w:rPr>
          <w:szCs w:val="24"/>
        </w:rPr>
        <w:t xml:space="preserve">international engagement </w:t>
      </w:r>
      <w:r w:rsidR="00A25B25" w:rsidRPr="009610A8">
        <w:rPr>
          <w:szCs w:val="24"/>
        </w:rPr>
        <w:t xml:space="preserve">are substantial. </w:t>
      </w:r>
      <w:r w:rsidR="00A92609" w:rsidRPr="009610A8">
        <w:rPr>
          <w:szCs w:val="24"/>
        </w:rPr>
        <w:t xml:space="preserve">By leveraging the strength of our VET system, Australia has the ability to work closely with emerging </w:t>
      </w:r>
      <w:r w:rsidR="003F56FC" w:rsidRPr="009610A8">
        <w:rPr>
          <w:szCs w:val="24"/>
        </w:rPr>
        <w:t xml:space="preserve">partners </w:t>
      </w:r>
      <w:r w:rsidR="00A92609" w:rsidRPr="009610A8">
        <w:rPr>
          <w:szCs w:val="24"/>
        </w:rPr>
        <w:t>to develop training systems that are aligned to the needs of local industry. This creates demand for Australian expertise and opens up international market</w:t>
      </w:r>
      <w:r w:rsidR="00D81DBB" w:rsidRPr="009610A8">
        <w:rPr>
          <w:szCs w:val="24"/>
        </w:rPr>
        <w:t xml:space="preserve">s and </w:t>
      </w:r>
      <w:r w:rsidR="004E2E21" w:rsidRPr="009610A8">
        <w:rPr>
          <w:szCs w:val="24"/>
        </w:rPr>
        <w:t>scalable</w:t>
      </w:r>
      <w:r w:rsidR="00A92609" w:rsidRPr="009610A8">
        <w:rPr>
          <w:szCs w:val="24"/>
        </w:rPr>
        <w:t xml:space="preserve"> opportunities for the VET sector</w:t>
      </w:r>
      <w:r w:rsidR="006C055B" w:rsidRPr="009610A8">
        <w:rPr>
          <w:szCs w:val="24"/>
        </w:rPr>
        <w:t>.</w:t>
      </w:r>
      <w:r w:rsidR="00A92609" w:rsidRPr="009610A8">
        <w:rPr>
          <w:szCs w:val="24"/>
        </w:rPr>
        <w:t xml:space="preserve"> </w:t>
      </w:r>
    </w:p>
    <w:p w14:paraId="76C19231" w14:textId="295D7AB9" w:rsidR="00EA37B6" w:rsidRPr="009610A8" w:rsidRDefault="00EA37B6" w:rsidP="00CE47E1">
      <w:pPr>
        <w:spacing w:after="120" w:line="240" w:lineRule="auto"/>
        <w:rPr>
          <w:szCs w:val="24"/>
        </w:rPr>
      </w:pPr>
      <w:r w:rsidRPr="009610A8">
        <w:rPr>
          <w:szCs w:val="24"/>
        </w:rPr>
        <w:t xml:space="preserve">ELICOS </w:t>
      </w:r>
      <w:r w:rsidR="00A25B25" w:rsidRPr="009610A8">
        <w:rPr>
          <w:szCs w:val="24"/>
        </w:rPr>
        <w:t>is a valuable market in itself</w:t>
      </w:r>
      <w:r w:rsidR="006B04CD" w:rsidRPr="009610A8">
        <w:rPr>
          <w:szCs w:val="24"/>
        </w:rPr>
        <w:t>,</w:t>
      </w:r>
      <w:r w:rsidR="00A92609" w:rsidRPr="009610A8">
        <w:rPr>
          <w:szCs w:val="24"/>
        </w:rPr>
        <w:t xml:space="preserve"> and</w:t>
      </w:r>
      <w:r w:rsidR="00A25B25" w:rsidRPr="009610A8">
        <w:rPr>
          <w:szCs w:val="24"/>
        </w:rPr>
        <w:t xml:space="preserve"> a</w:t>
      </w:r>
      <w:r w:rsidR="00A92609" w:rsidRPr="009610A8">
        <w:rPr>
          <w:szCs w:val="24"/>
        </w:rPr>
        <w:t>n important</w:t>
      </w:r>
      <w:r w:rsidR="00A25B25" w:rsidRPr="009610A8">
        <w:rPr>
          <w:szCs w:val="24"/>
        </w:rPr>
        <w:t xml:space="preserve"> </w:t>
      </w:r>
      <w:r w:rsidR="00A92609" w:rsidRPr="009610A8">
        <w:rPr>
          <w:szCs w:val="24"/>
        </w:rPr>
        <w:t xml:space="preserve">pathway </w:t>
      </w:r>
      <w:r w:rsidR="00A25B25" w:rsidRPr="009610A8">
        <w:rPr>
          <w:szCs w:val="24"/>
        </w:rPr>
        <w:t xml:space="preserve">for students to </w:t>
      </w:r>
      <w:r w:rsidR="00A92609" w:rsidRPr="009610A8">
        <w:rPr>
          <w:szCs w:val="24"/>
        </w:rPr>
        <w:t xml:space="preserve">undertake further study in Australia </w:t>
      </w:r>
      <w:r w:rsidR="00A25B25" w:rsidRPr="009610A8">
        <w:rPr>
          <w:szCs w:val="24"/>
        </w:rPr>
        <w:t xml:space="preserve">– </w:t>
      </w:r>
      <w:r w:rsidR="00BE223A" w:rsidRPr="009610A8">
        <w:rPr>
          <w:szCs w:val="24"/>
        </w:rPr>
        <w:t xml:space="preserve">more than </w:t>
      </w:r>
      <w:r w:rsidR="00A25B25" w:rsidRPr="009610A8">
        <w:rPr>
          <w:szCs w:val="24"/>
        </w:rPr>
        <w:t>two-thirds of</w:t>
      </w:r>
      <w:r w:rsidR="00F51ABC" w:rsidRPr="009610A8">
        <w:rPr>
          <w:szCs w:val="24"/>
        </w:rPr>
        <w:t xml:space="preserve"> </w:t>
      </w:r>
      <w:r w:rsidR="00A25B25" w:rsidRPr="009610A8">
        <w:rPr>
          <w:szCs w:val="24"/>
        </w:rPr>
        <w:t xml:space="preserve">ELICOS </w:t>
      </w:r>
      <w:r w:rsidR="00A92609" w:rsidRPr="009610A8">
        <w:rPr>
          <w:szCs w:val="24"/>
        </w:rPr>
        <w:t xml:space="preserve">students </w:t>
      </w:r>
      <w:r w:rsidR="00BE223A" w:rsidRPr="009610A8">
        <w:rPr>
          <w:szCs w:val="24"/>
        </w:rPr>
        <w:t xml:space="preserve">on a student visa </w:t>
      </w:r>
      <w:r w:rsidR="00F51ABC" w:rsidRPr="009610A8">
        <w:rPr>
          <w:szCs w:val="24"/>
        </w:rPr>
        <w:t xml:space="preserve">go on </w:t>
      </w:r>
      <w:r w:rsidR="00A25B25" w:rsidRPr="009610A8">
        <w:rPr>
          <w:szCs w:val="24"/>
        </w:rPr>
        <w:t>in</w:t>
      </w:r>
      <w:r w:rsidR="00F51ABC" w:rsidRPr="009610A8">
        <w:rPr>
          <w:szCs w:val="24"/>
        </w:rPr>
        <w:t>to other education in Australia</w:t>
      </w:r>
      <w:r w:rsidR="00A25B25" w:rsidRPr="009610A8">
        <w:rPr>
          <w:szCs w:val="24"/>
        </w:rPr>
        <w:t>. This pathway c</w:t>
      </w:r>
      <w:r w:rsidR="00443D7B" w:rsidRPr="009610A8">
        <w:rPr>
          <w:szCs w:val="24"/>
        </w:rPr>
        <w:t>an</w:t>
      </w:r>
      <w:r w:rsidR="00A25B25" w:rsidRPr="009610A8">
        <w:rPr>
          <w:szCs w:val="24"/>
        </w:rPr>
        <w:t xml:space="preserve"> be </w:t>
      </w:r>
      <w:r w:rsidR="00443D7B" w:rsidRPr="009610A8">
        <w:rPr>
          <w:szCs w:val="24"/>
        </w:rPr>
        <w:t xml:space="preserve">more actively </w:t>
      </w:r>
      <w:r w:rsidR="003B2BDF" w:rsidRPr="009610A8">
        <w:rPr>
          <w:szCs w:val="24"/>
        </w:rPr>
        <w:t xml:space="preserve">encouraged, including through </w:t>
      </w:r>
      <w:r w:rsidR="00436674" w:rsidRPr="009610A8">
        <w:rPr>
          <w:szCs w:val="24"/>
        </w:rPr>
        <w:t>temporary visas other than the Student visa</w:t>
      </w:r>
      <w:r w:rsidR="00A25B25" w:rsidRPr="009610A8">
        <w:rPr>
          <w:szCs w:val="24"/>
        </w:rPr>
        <w:t>.</w:t>
      </w:r>
    </w:p>
    <w:p w14:paraId="7B125CD4" w14:textId="4B02E3AA" w:rsidR="00995618" w:rsidRPr="009610A8" w:rsidRDefault="00A25B25" w:rsidP="00CE47E1">
      <w:pPr>
        <w:spacing w:after="120" w:line="240" w:lineRule="auto"/>
        <w:rPr>
          <w:szCs w:val="24"/>
        </w:rPr>
      </w:pPr>
      <w:r w:rsidRPr="009610A8">
        <w:rPr>
          <w:szCs w:val="24"/>
        </w:rPr>
        <w:t xml:space="preserve">The negotiation of </w:t>
      </w:r>
      <w:r w:rsidR="00A57527" w:rsidRPr="009610A8">
        <w:rPr>
          <w:szCs w:val="24"/>
        </w:rPr>
        <w:t>f</w:t>
      </w:r>
      <w:r w:rsidRPr="009610A8">
        <w:rPr>
          <w:szCs w:val="24"/>
        </w:rPr>
        <w:t xml:space="preserve">ree </w:t>
      </w:r>
      <w:r w:rsidR="00A57527" w:rsidRPr="009610A8">
        <w:rPr>
          <w:szCs w:val="24"/>
        </w:rPr>
        <w:t>t</w:t>
      </w:r>
      <w:r w:rsidRPr="009610A8">
        <w:rPr>
          <w:szCs w:val="24"/>
        </w:rPr>
        <w:t xml:space="preserve">rade </w:t>
      </w:r>
      <w:r w:rsidR="00A57527" w:rsidRPr="009610A8">
        <w:rPr>
          <w:szCs w:val="24"/>
        </w:rPr>
        <w:t>a</w:t>
      </w:r>
      <w:r w:rsidRPr="009610A8">
        <w:rPr>
          <w:szCs w:val="24"/>
        </w:rPr>
        <w:t>greements (</w:t>
      </w:r>
      <w:r w:rsidR="009E0000" w:rsidRPr="009610A8">
        <w:rPr>
          <w:szCs w:val="24"/>
        </w:rPr>
        <w:t>FTAs</w:t>
      </w:r>
      <w:r w:rsidR="003B2BDF" w:rsidRPr="009610A8">
        <w:rPr>
          <w:szCs w:val="24"/>
        </w:rPr>
        <w:t>) open</w:t>
      </w:r>
      <w:r w:rsidRPr="009610A8">
        <w:rPr>
          <w:szCs w:val="24"/>
        </w:rPr>
        <w:t xml:space="preserve"> up </w:t>
      </w:r>
      <w:r w:rsidR="003F56FC" w:rsidRPr="009610A8">
        <w:rPr>
          <w:szCs w:val="24"/>
        </w:rPr>
        <w:t xml:space="preserve">opportunities </w:t>
      </w:r>
      <w:r w:rsidRPr="009610A8">
        <w:rPr>
          <w:szCs w:val="24"/>
        </w:rPr>
        <w:t>and reduces barriers to entry</w:t>
      </w:r>
      <w:r w:rsidR="006B04CD" w:rsidRPr="009610A8">
        <w:rPr>
          <w:szCs w:val="24"/>
        </w:rPr>
        <w:t xml:space="preserve">, allowing </w:t>
      </w:r>
      <w:r w:rsidRPr="009610A8">
        <w:rPr>
          <w:szCs w:val="24"/>
        </w:rPr>
        <w:t xml:space="preserve">the sector </w:t>
      </w:r>
      <w:r w:rsidR="006B04CD" w:rsidRPr="009610A8">
        <w:rPr>
          <w:szCs w:val="24"/>
        </w:rPr>
        <w:t xml:space="preserve">to </w:t>
      </w:r>
      <w:r w:rsidRPr="009610A8">
        <w:rPr>
          <w:szCs w:val="24"/>
        </w:rPr>
        <w:t>plan and collaborate strategically</w:t>
      </w:r>
      <w:r w:rsidR="009E0000" w:rsidRPr="009610A8">
        <w:rPr>
          <w:szCs w:val="24"/>
        </w:rPr>
        <w:t xml:space="preserve"> to capitali</w:t>
      </w:r>
      <w:r w:rsidRPr="009610A8">
        <w:rPr>
          <w:szCs w:val="24"/>
        </w:rPr>
        <w:t>s</w:t>
      </w:r>
      <w:r w:rsidR="009E0000" w:rsidRPr="009610A8">
        <w:rPr>
          <w:szCs w:val="24"/>
        </w:rPr>
        <w:t xml:space="preserve">e on </w:t>
      </w:r>
      <w:r w:rsidR="00504F83" w:rsidRPr="009610A8">
        <w:rPr>
          <w:szCs w:val="24"/>
        </w:rPr>
        <w:t xml:space="preserve">the </w:t>
      </w:r>
      <w:r w:rsidR="009E0000" w:rsidRPr="009610A8">
        <w:rPr>
          <w:szCs w:val="24"/>
        </w:rPr>
        <w:t xml:space="preserve">new </w:t>
      </w:r>
      <w:r w:rsidR="00504F83" w:rsidRPr="009610A8">
        <w:rPr>
          <w:szCs w:val="24"/>
        </w:rPr>
        <w:t xml:space="preserve">market </w:t>
      </w:r>
      <w:r w:rsidR="009E0000" w:rsidRPr="009610A8">
        <w:rPr>
          <w:szCs w:val="24"/>
        </w:rPr>
        <w:t>access</w:t>
      </w:r>
      <w:r w:rsidR="00504F83" w:rsidRPr="009610A8">
        <w:rPr>
          <w:szCs w:val="24"/>
        </w:rPr>
        <w:t>.</w:t>
      </w:r>
      <w:r w:rsidR="00995618" w:rsidRPr="009610A8">
        <w:rPr>
          <w:szCs w:val="24"/>
        </w:rPr>
        <w:t xml:space="preserve"> Over the last year, Australia has initiat</w:t>
      </w:r>
      <w:r w:rsidR="006B04CD" w:rsidRPr="009610A8">
        <w:rPr>
          <w:szCs w:val="24"/>
        </w:rPr>
        <w:t>ed</w:t>
      </w:r>
      <w:r w:rsidR="00995618" w:rsidRPr="009610A8">
        <w:rPr>
          <w:szCs w:val="24"/>
        </w:rPr>
        <w:t xml:space="preserve">, </w:t>
      </w:r>
      <w:r w:rsidR="006B04CD" w:rsidRPr="009610A8">
        <w:rPr>
          <w:szCs w:val="24"/>
        </w:rPr>
        <w:t>negotiated</w:t>
      </w:r>
      <w:r w:rsidR="00995618" w:rsidRPr="009610A8">
        <w:rPr>
          <w:szCs w:val="24"/>
        </w:rPr>
        <w:t xml:space="preserve">, </w:t>
      </w:r>
      <w:r w:rsidR="006B04CD" w:rsidRPr="009610A8">
        <w:rPr>
          <w:szCs w:val="24"/>
        </w:rPr>
        <w:t xml:space="preserve">finalised or revised </w:t>
      </w:r>
      <w:r w:rsidR="00995618" w:rsidRPr="009610A8">
        <w:rPr>
          <w:szCs w:val="24"/>
        </w:rPr>
        <w:t xml:space="preserve">FTAs with China, Singapore, Indonesia, Peru, the Pacific Alliance (Mexico, </w:t>
      </w:r>
      <w:r w:rsidR="00A92609" w:rsidRPr="009610A8">
        <w:rPr>
          <w:szCs w:val="24"/>
        </w:rPr>
        <w:t>Colombia</w:t>
      </w:r>
      <w:r w:rsidR="00995618" w:rsidRPr="009610A8">
        <w:rPr>
          <w:szCs w:val="24"/>
        </w:rPr>
        <w:t xml:space="preserve">, Peru and Chile) and the members of the Trans-Pacific Partnership. </w:t>
      </w:r>
    </w:p>
    <w:p w14:paraId="0A803B1D" w14:textId="77777777" w:rsidR="00775B05" w:rsidRPr="009610A8" w:rsidRDefault="00D12D58" w:rsidP="00CE47E1">
      <w:pPr>
        <w:spacing w:after="120" w:line="240" w:lineRule="auto"/>
        <w:rPr>
          <w:szCs w:val="24"/>
        </w:rPr>
      </w:pPr>
      <w:r w:rsidRPr="009610A8">
        <w:rPr>
          <w:szCs w:val="24"/>
        </w:rPr>
        <w:t>Offshore delivery</w:t>
      </w:r>
      <w:r w:rsidR="00C81F6D" w:rsidRPr="009610A8">
        <w:rPr>
          <w:szCs w:val="24"/>
        </w:rPr>
        <w:t xml:space="preserve"> of</w:t>
      </w:r>
      <w:r w:rsidR="00504F83" w:rsidRPr="009610A8">
        <w:rPr>
          <w:szCs w:val="24"/>
        </w:rPr>
        <w:t xml:space="preserve"> </w:t>
      </w:r>
      <w:r w:rsidR="00F41FAD" w:rsidRPr="009610A8">
        <w:rPr>
          <w:szCs w:val="24"/>
        </w:rPr>
        <w:t xml:space="preserve">Australian </w:t>
      </w:r>
      <w:r w:rsidR="00504F83" w:rsidRPr="009610A8">
        <w:rPr>
          <w:szCs w:val="24"/>
        </w:rPr>
        <w:t xml:space="preserve">education </w:t>
      </w:r>
      <w:r w:rsidR="00F41FAD" w:rsidRPr="009610A8">
        <w:rPr>
          <w:szCs w:val="24"/>
        </w:rPr>
        <w:t xml:space="preserve">products </w:t>
      </w:r>
      <w:r w:rsidR="00353719" w:rsidRPr="009610A8">
        <w:rPr>
          <w:szCs w:val="24"/>
        </w:rPr>
        <w:t>is an</w:t>
      </w:r>
      <w:r w:rsidR="00504F83" w:rsidRPr="009610A8">
        <w:rPr>
          <w:szCs w:val="24"/>
        </w:rPr>
        <w:t>other</w:t>
      </w:r>
      <w:r w:rsidR="00353719" w:rsidRPr="009610A8">
        <w:rPr>
          <w:szCs w:val="24"/>
        </w:rPr>
        <w:t xml:space="preserve"> area of </w:t>
      </w:r>
      <w:r w:rsidR="007A3DBF" w:rsidRPr="009610A8">
        <w:rPr>
          <w:szCs w:val="24"/>
        </w:rPr>
        <w:t xml:space="preserve">significant </w:t>
      </w:r>
      <w:r w:rsidR="00353719" w:rsidRPr="009610A8">
        <w:rPr>
          <w:szCs w:val="24"/>
        </w:rPr>
        <w:t>potential</w:t>
      </w:r>
      <w:r w:rsidR="00C922FF" w:rsidRPr="009610A8">
        <w:rPr>
          <w:szCs w:val="24"/>
        </w:rPr>
        <w:t xml:space="preserve"> as it can be a reliable pathway for </w:t>
      </w:r>
      <w:r w:rsidR="00E17C7F" w:rsidRPr="009610A8">
        <w:rPr>
          <w:szCs w:val="24"/>
        </w:rPr>
        <w:t xml:space="preserve">subsequent </w:t>
      </w:r>
      <w:r w:rsidR="00C922FF" w:rsidRPr="009610A8">
        <w:rPr>
          <w:szCs w:val="24"/>
        </w:rPr>
        <w:t>study onshore</w:t>
      </w:r>
      <w:r w:rsidR="00B55E69" w:rsidRPr="009610A8">
        <w:rPr>
          <w:szCs w:val="24"/>
        </w:rPr>
        <w:t>.</w:t>
      </w:r>
      <w:r w:rsidR="00147A3D" w:rsidRPr="009610A8">
        <w:rPr>
          <w:szCs w:val="24"/>
        </w:rPr>
        <w:t xml:space="preserve"> </w:t>
      </w:r>
      <w:r w:rsidR="00504F83" w:rsidRPr="009610A8">
        <w:rPr>
          <w:szCs w:val="24"/>
        </w:rPr>
        <w:t xml:space="preserve">The scale of </w:t>
      </w:r>
      <w:r w:rsidR="00147A3D" w:rsidRPr="009610A8">
        <w:rPr>
          <w:szCs w:val="24"/>
        </w:rPr>
        <w:t xml:space="preserve">demand </w:t>
      </w:r>
      <w:r w:rsidR="00504F83" w:rsidRPr="009610A8">
        <w:rPr>
          <w:szCs w:val="24"/>
        </w:rPr>
        <w:t xml:space="preserve">is big, given large </w:t>
      </w:r>
      <w:r w:rsidR="00EE62FD" w:rsidRPr="009610A8">
        <w:rPr>
          <w:szCs w:val="24"/>
        </w:rPr>
        <w:t xml:space="preserve">student </w:t>
      </w:r>
      <w:r w:rsidR="00504F83" w:rsidRPr="009610A8">
        <w:rPr>
          <w:szCs w:val="24"/>
        </w:rPr>
        <w:t>populations</w:t>
      </w:r>
      <w:r w:rsidR="00147A3D" w:rsidRPr="009610A8">
        <w:rPr>
          <w:szCs w:val="24"/>
        </w:rPr>
        <w:t>,</w:t>
      </w:r>
      <w:r w:rsidR="00504F83" w:rsidRPr="009610A8">
        <w:rPr>
          <w:szCs w:val="24"/>
        </w:rPr>
        <w:t xml:space="preserve"> </w:t>
      </w:r>
      <w:r w:rsidR="00443D7B" w:rsidRPr="009610A8">
        <w:rPr>
          <w:szCs w:val="24"/>
        </w:rPr>
        <w:t>and</w:t>
      </w:r>
      <w:r w:rsidR="00504F83" w:rsidRPr="009610A8">
        <w:rPr>
          <w:szCs w:val="24"/>
        </w:rPr>
        <w:t xml:space="preserve"> it is </w:t>
      </w:r>
      <w:r w:rsidR="00147A3D" w:rsidRPr="009610A8">
        <w:rPr>
          <w:szCs w:val="24"/>
        </w:rPr>
        <w:t>challenging</w:t>
      </w:r>
      <w:r w:rsidR="00504F83" w:rsidRPr="009610A8">
        <w:rPr>
          <w:szCs w:val="24"/>
        </w:rPr>
        <w:t xml:space="preserve"> for individual institutions in Australia to respond. </w:t>
      </w:r>
      <w:r w:rsidR="00443D7B" w:rsidRPr="009610A8">
        <w:rPr>
          <w:szCs w:val="24"/>
        </w:rPr>
        <w:t xml:space="preserve">Australian </w:t>
      </w:r>
      <w:r w:rsidR="00A92609" w:rsidRPr="009610A8">
        <w:rPr>
          <w:szCs w:val="24"/>
        </w:rPr>
        <w:t xml:space="preserve">education providers </w:t>
      </w:r>
      <w:r w:rsidR="00443D7B" w:rsidRPr="009610A8">
        <w:rPr>
          <w:szCs w:val="24"/>
        </w:rPr>
        <w:t xml:space="preserve">have an opportunity </w:t>
      </w:r>
      <w:r w:rsidR="00353719" w:rsidRPr="009610A8">
        <w:rPr>
          <w:szCs w:val="24"/>
        </w:rPr>
        <w:t xml:space="preserve">to work </w:t>
      </w:r>
      <w:r w:rsidR="00E17C7F" w:rsidRPr="009610A8">
        <w:rPr>
          <w:szCs w:val="24"/>
        </w:rPr>
        <w:t>with education, industry and overseas government</w:t>
      </w:r>
      <w:r w:rsidR="00147A3D" w:rsidRPr="009610A8">
        <w:rPr>
          <w:szCs w:val="24"/>
        </w:rPr>
        <w:t xml:space="preserve"> </w:t>
      </w:r>
      <w:r w:rsidR="00504F83" w:rsidRPr="009610A8">
        <w:rPr>
          <w:szCs w:val="24"/>
        </w:rPr>
        <w:t>partner</w:t>
      </w:r>
      <w:r w:rsidR="006B79DA" w:rsidRPr="009610A8">
        <w:rPr>
          <w:szCs w:val="24"/>
        </w:rPr>
        <w:t>s</w:t>
      </w:r>
      <w:r w:rsidR="00504F83" w:rsidRPr="009610A8">
        <w:rPr>
          <w:szCs w:val="24"/>
        </w:rPr>
        <w:t xml:space="preserve"> </w:t>
      </w:r>
      <w:r w:rsidR="00353719" w:rsidRPr="009610A8">
        <w:rPr>
          <w:szCs w:val="24"/>
        </w:rPr>
        <w:t xml:space="preserve">to deliver </w:t>
      </w:r>
      <w:r w:rsidR="00504F83" w:rsidRPr="009610A8">
        <w:rPr>
          <w:szCs w:val="24"/>
        </w:rPr>
        <w:t xml:space="preserve">viable education services </w:t>
      </w:r>
      <w:r w:rsidR="00B55E69" w:rsidRPr="009610A8">
        <w:rPr>
          <w:szCs w:val="24"/>
        </w:rPr>
        <w:t>offshore</w:t>
      </w:r>
      <w:r w:rsidR="00353719" w:rsidRPr="009610A8">
        <w:rPr>
          <w:szCs w:val="24"/>
        </w:rPr>
        <w:t>.</w:t>
      </w:r>
    </w:p>
    <w:p w14:paraId="74687204" w14:textId="18B64B3E" w:rsidR="006F1489" w:rsidRPr="009610A8" w:rsidRDefault="00D55D82" w:rsidP="00CE47E1">
      <w:pPr>
        <w:spacing w:after="120" w:line="240" w:lineRule="auto"/>
        <w:rPr>
          <w:szCs w:val="24"/>
        </w:rPr>
      </w:pPr>
      <w:r w:rsidRPr="009610A8">
        <w:rPr>
          <w:szCs w:val="24"/>
        </w:rPr>
        <w:t xml:space="preserve">Onshore opportunities are also ripe for diversification. </w:t>
      </w:r>
      <w:r w:rsidR="006F1489" w:rsidRPr="009610A8">
        <w:rPr>
          <w:szCs w:val="24"/>
        </w:rPr>
        <w:t xml:space="preserve">International students who choose to study in regional Australia have much to offer local economies and communities; both through the goods and services </w:t>
      </w:r>
      <w:r w:rsidR="006B79DA" w:rsidRPr="009610A8">
        <w:rPr>
          <w:szCs w:val="24"/>
        </w:rPr>
        <w:t xml:space="preserve">they </w:t>
      </w:r>
      <w:r w:rsidR="006F1489" w:rsidRPr="009610A8">
        <w:rPr>
          <w:szCs w:val="24"/>
        </w:rPr>
        <w:t xml:space="preserve">purchase, and through the opportunities they bring to Australian institutions, domestic students and local communities for global engagement. Likewise, Australia’s regional areas can provide </w:t>
      </w:r>
      <w:r w:rsidR="006B79DA" w:rsidRPr="009610A8">
        <w:rPr>
          <w:szCs w:val="24"/>
        </w:rPr>
        <w:t xml:space="preserve">students with </w:t>
      </w:r>
      <w:r w:rsidR="006F1489" w:rsidRPr="009610A8">
        <w:rPr>
          <w:szCs w:val="24"/>
        </w:rPr>
        <w:t>a unique study experience, greater community engagement, inexpensive course offerings and smaller class sizes. Despite these benefits, only three per cent of onshore international university students undertake their study in a regional area. The</w:t>
      </w:r>
      <w:r w:rsidR="006B79DA" w:rsidRPr="009610A8">
        <w:rPr>
          <w:szCs w:val="24"/>
        </w:rPr>
        <w:t>re is much</w:t>
      </w:r>
      <w:r w:rsidR="006F1489" w:rsidRPr="009610A8">
        <w:rPr>
          <w:szCs w:val="24"/>
        </w:rPr>
        <w:t xml:space="preserve"> potential for growth outside of Australia’s major capital cities of Sydney, Melbourne and Brisbane.  </w:t>
      </w:r>
    </w:p>
    <w:p w14:paraId="65EB0347" w14:textId="77777777" w:rsidR="00EA37B6" w:rsidRPr="009610A8" w:rsidRDefault="00EA37B6" w:rsidP="00D37B89">
      <w:pPr>
        <w:pStyle w:val="Heading1"/>
        <w:pageBreakBefore/>
        <w:numPr>
          <w:ilvl w:val="0"/>
          <w:numId w:val="25"/>
        </w:numPr>
        <w:spacing w:after="120"/>
        <w:ind w:left="357" w:hanging="357"/>
        <w:rPr>
          <w:sz w:val="32"/>
        </w:rPr>
      </w:pPr>
      <w:bookmarkStart w:id="19" w:name="_Toc529879204"/>
      <w:bookmarkStart w:id="20" w:name="_Toc530471835"/>
      <w:bookmarkEnd w:id="19"/>
      <w:r w:rsidRPr="009610A8">
        <w:rPr>
          <w:sz w:val="32"/>
        </w:rPr>
        <w:lastRenderedPageBreak/>
        <w:t>Delivering on the 2025 agenda</w:t>
      </w:r>
      <w:bookmarkEnd w:id="20"/>
    </w:p>
    <w:p w14:paraId="03E9B681" w14:textId="77777777" w:rsidR="006E1721" w:rsidRPr="009610A8" w:rsidRDefault="006E1721" w:rsidP="00CE47E1">
      <w:pPr>
        <w:spacing w:after="120" w:line="240" w:lineRule="auto"/>
        <w:rPr>
          <w:szCs w:val="24"/>
        </w:rPr>
      </w:pPr>
      <w:r w:rsidRPr="009610A8">
        <w:rPr>
          <w:szCs w:val="24"/>
        </w:rPr>
        <w:t xml:space="preserve">This </w:t>
      </w:r>
      <w:r w:rsidR="007A3DBF" w:rsidRPr="009610A8">
        <w:rPr>
          <w:szCs w:val="24"/>
        </w:rPr>
        <w:t xml:space="preserve">section </w:t>
      </w:r>
      <w:r w:rsidRPr="009610A8">
        <w:rPr>
          <w:szCs w:val="24"/>
        </w:rPr>
        <w:t xml:space="preserve">outlines </w:t>
      </w:r>
      <w:r w:rsidR="00147A3D" w:rsidRPr="009610A8">
        <w:rPr>
          <w:szCs w:val="24"/>
        </w:rPr>
        <w:t xml:space="preserve">Australia’s </w:t>
      </w:r>
      <w:r w:rsidRPr="009610A8">
        <w:rPr>
          <w:szCs w:val="24"/>
        </w:rPr>
        <w:t>progress against the Strategy overall, and the speci</w:t>
      </w:r>
      <w:r w:rsidR="003B2BDF" w:rsidRPr="009610A8">
        <w:rPr>
          <w:szCs w:val="24"/>
        </w:rPr>
        <w:t>fic contributions of Ministerial and Expert Members of the Council</w:t>
      </w:r>
      <w:r w:rsidRPr="009610A8">
        <w:rPr>
          <w:szCs w:val="24"/>
        </w:rPr>
        <w:t xml:space="preserve">. </w:t>
      </w:r>
    </w:p>
    <w:p w14:paraId="380B2212" w14:textId="77777777" w:rsidR="00A07CA4" w:rsidRPr="009610A8" w:rsidRDefault="00EA32A8" w:rsidP="00CE47E1">
      <w:pPr>
        <w:spacing w:after="120" w:line="240" w:lineRule="auto"/>
        <w:rPr>
          <w:szCs w:val="24"/>
        </w:rPr>
      </w:pPr>
      <w:r w:rsidRPr="009610A8">
        <w:rPr>
          <w:szCs w:val="24"/>
        </w:rPr>
        <w:t>The</w:t>
      </w:r>
      <w:r w:rsidR="00504F83" w:rsidRPr="009610A8">
        <w:rPr>
          <w:szCs w:val="24"/>
        </w:rPr>
        <w:t xml:space="preserve"> Council</w:t>
      </w:r>
      <w:r w:rsidRPr="009610A8">
        <w:rPr>
          <w:szCs w:val="24"/>
        </w:rPr>
        <w:t>’s</w:t>
      </w:r>
      <w:r w:rsidR="00025847" w:rsidRPr="009610A8">
        <w:rPr>
          <w:szCs w:val="24"/>
        </w:rPr>
        <w:t xml:space="preserve"> work</w:t>
      </w:r>
      <w:r w:rsidR="006E1721" w:rsidRPr="009610A8">
        <w:rPr>
          <w:szCs w:val="24"/>
        </w:rPr>
        <w:t xml:space="preserve"> over </w:t>
      </w:r>
      <w:r w:rsidR="006B04CD" w:rsidRPr="009610A8">
        <w:rPr>
          <w:szCs w:val="24"/>
        </w:rPr>
        <w:t>2018</w:t>
      </w:r>
      <w:r w:rsidR="00025847" w:rsidRPr="009610A8">
        <w:rPr>
          <w:szCs w:val="24"/>
        </w:rPr>
        <w:t xml:space="preserve"> </w:t>
      </w:r>
      <w:r w:rsidR="003C28D4" w:rsidRPr="009610A8">
        <w:rPr>
          <w:szCs w:val="24"/>
        </w:rPr>
        <w:t>f</w:t>
      </w:r>
      <w:r w:rsidRPr="009610A8">
        <w:rPr>
          <w:szCs w:val="24"/>
        </w:rPr>
        <w:t xml:space="preserve">ocused </w:t>
      </w:r>
      <w:r w:rsidR="00A07CA4" w:rsidRPr="009610A8">
        <w:rPr>
          <w:szCs w:val="24"/>
        </w:rPr>
        <w:t>on</w:t>
      </w:r>
      <w:r w:rsidR="007B01DC" w:rsidRPr="009610A8">
        <w:rPr>
          <w:szCs w:val="24"/>
        </w:rPr>
        <w:t xml:space="preserve"> the following themes</w:t>
      </w:r>
      <w:r w:rsidR="00A07CA4" w:rsidRPr="009610A8">
        <w:rPr>
          <w:szCs w:val="24"/>
        </w:rPr>
        <w:t xml:space="preserve">: </w:t>
      </w:r>
    </w:p>
    <w:p w14:paraId="1E26D0A7" w14:textId="77777777" w:rsidR="00A07CA4" w:rsidRPr="009610A8" w:rsidRDefault="00A07CA4" w:rsidP="00CE47E1">
      <w:pPr>
        <w:pStyle w:val="ListParagraph"/>
        <w:numPr>
          <w:ilvl w:val="0"/>
          <w:numId w:val="7"/>
        </w:numPr>
        <w:spacing w:after="120" w:line="240" w:lineRule="auto"/>
        <w:rPr>
          <w:szCs w:val="24"/>
        </w:rPr>
      </w:pPr>
      <w:r w:rsidRPr="009610A8">
        <w:rPr>
          <w:szCs w:val="24"/>
        </w:rPr>
        <w:t>providing the best possible student experience,</w:t>
      </w:r>
    </w:p>
    <w:p w14:paraId="521F4E6A" w14:textId="77777777" w:rsidR="00A07CA4" w:rsidRPr="009610A8" w:rsidRDefault="00A07CA4" w:rsidP="00CE47E1">
      <w:pPr>
        <w:pStyle w:val="ListParagraph"/>
        <w:numPr>
          <w:ilvl w:val="0"/>
          <w:numId w:val="7"/>
        </w:numPr>
        <w:spacing w:after="120" w:line="240" w:lineRule="auto"/>
        <w:rPr>
          <w:szCs w:val="24"/>
        </w:rPr>
      </w:pPr>
      <w:r w:rsidRPr="009610A8">
        <w:rPr>
          <w:szCs w:val="24"/>
        </w:rPr>
        <w:t>developing a nationally consistent approach to marketing and branding of international education</w:t>
      </w:r>
    </w:p>
    <w:p w14:paraId="161017BF" w14:textId="77777777" w:rsidR="00A07CA4" w:rsidRPr="009610A8" w:rsidRDefault="00A07CA4" w:rsidP="00CE47E1">
      <w:pPr>
        <w:pStyle w:val="ListParagraph"/>
        <w:numPr>
          <w:ilvl w:val="0"/>
          <w:numId w:val="7"/>
        </w:numPr>
        <w:spacing w:after="120" w:line="240" w:lineRule="auto"/>
        <w:rPr>
          <w:szCs w:val="24"/>
        </w:rPr>
      </w:pPr>
      <w:r w:rsidRPr="009610A8">
        <w:rPr>
          <w:szCs w:val="24"/>
        </w:rPr>
        <w:t xml:space="preserve">enhancing international cooperation through in-country projects, research collaboration, two-way mobility </w:t>
      </w:r>
      <w:r w:rsidR="005F47F0" w:rsidRPr="009610A8">
        <w:rPr>
          <w:szCs w:val="24"/>
        </w:rPr>
        <w:t>and transnational education,</w:t>
      </w:r>
    </w:p>
    <w:p w14:paraId="026BA8B2" w14:textId="77777777" w:rsidR="005F47F0" w:rsidRPr="009610A8" w:rsidRDefault="00A07CA4" w:rsidP="00CE47E1">
      <w:pPr>
        <w:pStyle w:val="ListParagraph"/>
        <w:numPr>
          <w:ilvl w:val="0"/>
          <w:numId w:val="7"/>
        </w:numPr>
        <w:spacing w:after="120" w:line="240" w:lineRule="auto"/>
        <w:rPr>
          <w:szCs w:val="24"/>
        </w:rPr>
      </w:pPr>
      <w:r w:rsidRPr="009610A8">
        <w:rPr>
          <w:szCs w:val="24"/>
        </w:rPr>
        <w:t>communicating the benefits of international education to the Australian community</w:t>
      </w:r>
      <w:r w:rsidR="005F47F0" w:rsidRPr="009610A8">
        <w:rPr>
          <w:szCs w:val="24"/>
        </w:rPr>
        <w:t>, and</w:t>
      </w:r>
    </w:p>
    <w:p w14:paraId="773371E1" w14:textId="77777777" w:rsidR="00A07CA4" w:rsidRPr="009610A8" w:rsidRDefault="005F47F0" w:rsidP="00CE47E1">
      <w:pPr>
        <w:pStyle w:val="ListParagraph"/>
        <w:numPr>
          <w:ilvl w:val="0"/>
          <w:numId w:val="7"/>
        </w:numPr>
        <w:spacing w:after="120" w:line="240" w:lineRule="auto"/>
        <w:rPr>
          <w:szCs w:val="24"/>
        </w:rPr>
      </w:pPr>
      <w:r w:rsidRPr="009610A8">
        <w:rPr>
          <w:szCs w:val="24"/>
        </w:rPr>
        <w:t>growing international education in regional Australia</w:t>
      </w:r>
      <w:r w:rsidR="00A07CA4" w:rsidRPr="009610A8">
        <w:rPr>
          <w:szCs w:val="24"/>
        </w:rPr>
        <w:t xml:space="preserve">. </w:t>
      </w:r>
    </w:p>
    <w:p w14:paraId="0BA4ADF2" w14:textId="02B14E32" w:rsidR="00EA32A8" w:rsidRPr="009610A8" w:rsidRDefault="00A07CA4" w:rsidP="000059AC">
      <w:pPr>
        <w:spacing w:after="120" w:line="240" w:lineRule="auto"/>
        <w:rPr>
          <w:szCs w:val="24"/>
        </w:rPr>
      </w:pPr>
      <w:r w:rsidRPr="009610A8">
        <w:rPr>
          <w:szCs w:val="24"/>
        </w:rPr>
        <w:t>A significant proportion of this work has been progress</w:t>
      </w:r>
      <w:r w:rsidR="003C28D4" w:rsidRPr="009610A8">
        <w:rPr>
          <w:szCs w:val="24"/>
        </w:rPr>
        <w:t>ed</w:t>
      </w:r>
      <w:r w:rsidRPr="009610A8">
        <w:rPr>
          <w:szCs w:val="24"/>
        </w:rPr>
        <w:t xml:space="preserve"> through the establishment of three </w:t>
      </w:r>
      <w:r w:rsidR="00025847" w:rsidRPr="009610A8">
        <w:rPr>
          <w:szCs w:val="24"/>
        </w:rPr>
        <w:t>working groups</w:t>
      </w:r>
      <w:r w:rsidR="003C28D4" w:rsidRPr="009610A8">
        <w:rPr>
          <w:szCs w:val="24"/>
        </w:rPr>
        <w:t>, each chaired by an Expert Member</w:t>
      </w:r>
      <w:r w:rsidR="005F47F0" w:rsidRPr="009610A8">
        <w:rPr>
          <w:szCs w:val="24"/>
        </w:rPr>
        <w:t>, with a focus on the following areas:</w:t>
      </w:r>
      <w:r w:rsidR="006B04CD" w:rsidRPr="009610A8">
        <w:rPr>
          <w:szCs w:val="24"/>
        </w:rPr>
        <w:t xml:space="preserve"> </w:t>
      </w:r>
      <w:r w:rsidR="005F47F0" w:rsidRPr="009610A8">
        <w:rPr>
          <w:szCs w:val="24"/>
        </w:rPr>
        <w:t>s</w:t>
      </w:r>
      <w:r w:rsidR="00025847" w:rsidRPr="009610A8">
        <w:rPr>
          <w:szCs w:val="24"/>
        </w:rPr>
        <w:t xml:space="preserve">tudent </w:t>
      </w:r>
      <w:r w:rsidR="00EA32A8" w:rsidRPr="009610A8">
        <w:rPr>
          <w:szCs w:val="24"/>
        </w:rPr>
        <w:t>service delivery</w:t>
      </w:r>
      <w:r w:rsidR="006B04CD" w:rsidRPr="009610A8">
        <w:rPr>
          <w:szCs w:val="24"/>
        </w:rPr>
        <w:t xml:space="preserve">; </w:t>
      </w:r>
      <w:r w:rsidR="003955DC" w:rsidRPr="009610A8">
        <w:rPr>
          <w:szCs w:val="24"/>
        </w:rPr>
        <w:t>brand and destination marketing</w:t>
      </w:r>
      <w:r w:rsidR="006B04CD" w:rsidRPr="009610A8">
        <w:rPr>
          <w:szCs w:val="24"/>
        </w:rPr>
        <w:t xml:space="preserve">; and </w:t>
      </w:r>
      <w:r w:rsidR="005F47F0" w:rsidRPr="009610A8">
        <w:rPr>
          <w:szCs w:val="24"/>
        </w:rPr>
        <w:t xml:space="preserve">expanding education, training and research engagement with </w:t>
      </w:r>
      <w:r w:rsidR="00EA32A8" w:rsidRPr="009610A8">
        <w:rPr>
          <w:szCs w:val="24"/>
        </w:rPr>
        <w:t>Latin America</w:t>
      </w:r>
      <w:r w:rsidR="006B04CD" w:rsidRPr="009610A8">
        <w:rPr>
          <w:szCs w:val="24"/>
        </w:rPr>
        <w:t xml:space="preserve">. </w:t>
      </w:r>
    </w:p>
    <w:p w14:paraId="47B1C201" w14:textId="77777777" w:rsidR="003B2BDF" w:rsidRPr="009610A8" w:rsidRDefault="003B2BDF" w:rsidP="00CE47E1">
      <w:pPr>
        <w:spacing w:after="120" w:line="240" w:lineRule="auto"/>
        <w:rPr>
          <w:szCs w:val="24"/>
        </w:rPr>
      </w:pPr>
      <w:r w:rsidRPr="009610A8">
        <w:rPr>
          <w:szCs w:val="24"/>
        </w:rPr>
        <w:t xml:space="preserve">Additional working groups </w:t>
      </w:r>
      <w:r w:rsidR="005F47F0" w:rsidRPr="009610A8">
        <w:rPr>
          <w:szCs w:val="24"/>
        </w:rPr>
        <w:t>focused</w:t>
      </w:r>
      <w:r w:rsidRPr="009610A8">
        <w:rPr>
          <w:szCs w:val="24"/>
        </w:rPr>
        <w:t xml:space="preserve"> on </w:t>
      </w:r>
      <w:r w:rsidR="005F47F0" w:rsidRPr="009610A8">
        <w:rPr>
          <w:szCs w:val="24"/>
        </w:rPr>
        <w:t xml:space="preserve">refreshing our engagement with </w:t>
      </w:r>
      <w:r w:rsidRPr="009610A8">
        <w:rPr>
          <w:szCs w:val="24"/>
        </w:rPr>
        <w:t>China and India</w:t>
      </w:r>
      <w:r w:rsidR="006B04CD" w:rsidRPr="009610A8">
        <w:rPr>
          <w:szCs w:val="24"/>
        </w:rPr>
        <w:t xml:space="preserve"> have been established,</w:t>
      </w:r>
      <w:r w:rsidRPr="009610A8">
        <w:rPr>
          <w:szCs w:val="24"/>
        </w:rPr>
        <w:t xml:space="preserve"> and others may be established over time as required. </w:t>
      </w:r>
    </w:p>
    <w:p w14:paraId="096C76D6" w14:textId="77777777" w:rsidR="00504F83" w:rsidRPr="009610A8" w:rsidRDefault="006B04CD" w:rsidP="003A31C5">
      <w:pPr>
        <w:spacing w:after="120" w:line="240" w:lineRule="auto"/>
        <w:rPr>
          <w:szCs w:val="24"/>
        </w:rPr>
      </w:pPr>
      <w:r w:rsidRPr="009610A8">
        <w:rPr>
          <w:szCs w:val="24"/>
        </w:rPr>
        <w:t xml:space="preserve">To support the implementation of the Strategy, the </w:t>
      </w:r>
      <w:r w:rsidR="00B00CFB" w:rsidRPr="009610A8">
        <w:rPr>
          <w:szCs w:val="24"/>
        </w:rPr>
        <w:t xml:space="preserve">Australian Government </w:t>
      </w:r>
      <w:r w:rsidR="00890E08" w:rsidRPr="009610A8">
        <w:rPr>
          <w:szCs w:val="24"/>
        </w:rPr>
        <w:t>is</w:t>
      </w:r>
      <w:r w:rsidR="00B00CFB" w:rsidRPr="009610A8">
        <w:rPr>
          <w:szCs w:val="24"/>
        </w:rPr>
        <w:t xml:space="preserve"> provid</w:t>
      </w:r>
      <w:r w:rsidR="00890E08" w:rsidRPr="009610A8">
        <w:rPr>
          <w:szCs w:val="24"/>
        </w:rPr>
        <w:t>ing</w:t>
      </w:r>
      <w:r w:rsidR="00B00CFB" w:rsidRPr="009610A8">
        <w:rPr>
          <w:szCs w:val="24"/>
        </w:rPr>
        <w:t xml:space="preserve"> $</w:t>
      </w:r>
      <w:r w:rsidR="009C0E3B" w:rsidRPr="009610A8">
        <w:rPr>
          <w:szCs w:val="24"/>
        </w:rPr>
        <w:t xml:space="preserve">12 </w:t>
      </w:r>
      <w:r w:rsidR="00B00CFB" w:rsidRPr="009610A8">
        <w:rPr>
          <w:szCs w:val="24"/>
        </w:rPr>
        <w:t xml:space="preserve">million </w:t>
      </w:r>
      <w:r w:rsidR="009C0E3B" w:rsidRPr="009610A8">
        <w:rPr>
          <w:szCs w:val="24"/>
        </w:rPr>
        <w:t xml:space="preserve">over </w:t>
      </w:r>
      <w:r w:rsidR="0029606D" w:rsidRPr="009610A8">
        <w:rPr>
          <w:szCs w:val="24"/>
        </w:rPr>
        <w:t>four years</w:t>
      </w:r>
      <w:r w:rsidR="009C0E3B" w:rsidRPr="009610A8">
        <w:rPr>
          <w:szCs w:val="24"/>
        </w:rPr>
        <w:t xml:space="preserve"> (from 2016-17)</w:t>
      </w:r>
      <w:r w:rsidR="0029606D" w:rsidRPr="009610A8">
        <w:rPr>
          <w:szCs w:val="24"/>
        </w:rPr>
        <w:t>,</w:t>
      </w:r>
      <w:r w:rsidR="00B00CFB" w:rsidRPr="009610A8">
        <w:rPr>
          <w:szCs w:val="24"/>
        </w:rPr>
        <w:t xml:space="preserve"> </w:t>
      </w:r>
      <w:r w:rsidR="009C0E3B" w:rsidRPr="009610A8">
        <w:rPr>
          <w:szCs w:val="24"/>
        </w:rPr>
        <w:t>for</w:t>
      </w:r>
      <w:r w:rsidR="00DF1E9B" w:rsidRPr="009610A8">
        <w:rPr>
          <w:szCs w:val="24"/>
        </w:rPr>
        <w:t xml:space="preserve"> </w:t>
      </w:r>
      <w:r w:rsidR="00B00CFB" w:rsidRPr="009610A8">
        <w:rPr>
          <w:szCs w:val="24"/>
        </w:rPr>
        <w:t xml:space="preserve">the </w:t>
      </w:r>
      <w:r w:rsidR="00A471CE" w:rsidRPr="009610A8">
        <w:rPr>
          <w:szCs w:val="24"/>
        </w:rPr>
        <w:t xml:space="preserve">Enabling </w:t>
      </w:r>
      <w:r w:rsidR="00DF1E9B" w:rsidRPr="009610A8">
        <w:rPr>
          <w:szCs w:val="24"/>
        </w:rPr>
        <w:t xml:space="preserve">Growth and Innovation (EGI) </w:t>
      </w:r>
      <w:r w:rsidR="00890E08" w:rsidRPr="009610A8">
        <w:rPr>
          <w:szCs w:val="24"/>
        </w:rPr>
        <w:t>Program</w:t>
      </w:r>
      <w:r w:rsidR="00DF1E9B" w:rsidRPr="009610A8">
        <w:rPr>
          <w:szCs w:val="24"/>
        </w:rPr>
        <w:t xml:space="preserve">. </w:t>
      </w:r>
      <w:r w:rsidR="005433B6" w:rsidRPr="009610A8">
        <w:rPr>
          <w:szCs w:val="24"/>
        </w:rPr>
        <w:t>The Council’s priorities guide the allocation of funds under the EGI</w:t>
      </w:r>
      <w:r w:rsidR="00890E08" w:rsidRPr="009610A8">
        <w:rPr>
          <w:szCs w:val="24"/>
        </w:rPr>
        <w:t xml:space="preserve"> Program</w:t>
      </w:r>
      <w:r w:rsidR="005433B6" w:rsidRPr="009610A8">
        <w:rPr>
          <w:szCs w:val="24"/>
        </w:rPr>
        <w:t>, and a</w:t>
      </w:r>
      <w:r w:rsidR="00DF1E9B" w:rsidRPr="009610A8">
        <w:rPr>
          <w:szCs w:val="24"/>
        </w:rPr>
        <w:t xml:space="preserve"> number of these </w:t>
      </w:r>
      <w:r w:rsidR="00EE62FD" w:rsidRPr="009610A8">
        <w:rPr>
          <w:szCs w:val="24"/>
        </w:rPr>
        <w:t xml:space="preserve">projects </w:t>
      </w:r>
      <w:r w:rsidR="00DF1E9B" w:rsidRPr="009610A8">
        <w:rPr>
          <w:szCs w:val="24"/>
        </w:rPr>
        <w:t xml:space="preserve">are referenced in the body of </w:t>
      </w:r>
      <w:r w:rsidR="00A471CE" w:rsidRPr="009610A8">
        <w:rPr>
          <w:szCs w:val="24"/>
        </w:rPr>
        <w:t xml:space="preserve">this </w:t>
      </w:r>
      <w:r w:rsidR="00DF1E9B" w:rsidRPr="009610A8">
        <w:rPr>
          <w:szCs w:val="24"/>
        </w:rPr>
        <w:t>report</w:t>
      </w:r>
      <w:r w:rsidR="005433B6" w:rsidRPr="009610A8">
        <w:rPr>
          <w:szCs w:val="24"/>
        </w:rPr>
        <w:t>.</w:t>
      </w:r>
      <w:r w:rsidR="003C3470" w:rsidRPr="009610A8">
        <w:rPr>
          <w:rFonts w:cstheme="minorHAnsi"/>
          <w:szCs w:val="24"/>
        </w:rPr>
        <w:t xml:space="preserve"> </w:t>
      </w:r>
      <w:r w:rsidR="005433B6" w:rsidRPr="009610A8">
        <w:rPr>
          <w:szCs w:val="24"/>
        </w:rPr>
        <w:t>A</w:t>
      </w:r>
      <w:r w:rsidR="00DF1E9B" w:rsidRPr="009610A8">
        <w:rPr>
          <w:szCs w:val="24"/>
        </w:rPr>
        <w:t xml:space="preserve">ll projects are </w:t>
      </w:r>
      <w:r w:rsidR="000B1EEB" w:rsidRPr="009610A8">
        <w:rPr>
          <w:szCs w:val="24"/>
        </w:rPr>
        <w:t>list</w:t>
      </w:r>
      <w:r w:rsidR="00DF1E9B" w:rsidRPr="009610A8">
        <w:rPr>
          <w:szCs w:val="24"/>
        </w:rPr>
        <w:t xml:space="preserve">ed in </w:t>
      </w:r>
      <w:r w:rsidR="00DF1E9B" w:rsidRPr="009610A8">
        <w:rPr>
          <w:szCs w:val="24"/>
          <w:u w:val="single"/>
        </w:rPr>
        <w:t>Attachment</w:t>
      </w:r>
      <w:r w:rsidR="00890E08" w:rsidRPr="009610A8">
        <w:rPr>
          <w:szCs w:val="24"/>
          <w:u w:val="single"/>
        </w:rPr>
        <w:t xml:space="preserve"> </w:t>
      </w:r>
      <w:r w:rsidR="00EA32A8" w:rsidRPr="009610A8">
        <w:rPr>
          <w:szCs w:val="24"/>
          <w:u w:val="single"/>
        </w:rPr>
        <w:t>A</w:t>
      </w:r>
      <w:r w:rsidR="00DF1E9B" w:rsidRPr="009610A8">
        <w:rPr>
          <w:szCs w:val="24"/>
        </w:rPr>
        <w:t>.</w:t>
      </w:r>
      <w:r w:rsidR="003C3470" w:rsidRPr="009610A8">
        <w:rPr>
          <w:szCs w:val="24"/>
        </w:rPr>
        <w:t xml:space="preserve"> </w:t>
      </w:r>
    </w:p>
    <w:p w14:paraId="21179462" w14:textId="77777777" w:rsidR="00EA37B6" w:rsidRPr="009610A8" w:rsidRDefault="00147A3D" w:rsidP="00CE47E1">
      <w:pPr>
        <w:pStyle w:val="Heading2"/>
        <w:numPr>
          <w:ilvl w:val="1"/>
          <w:numId w:val="25"/>
        </w:numPr>
        <w:spacing w:before="360"/>
        <w:ind w:left="709" w:hanging="709"/>
        <w:rPr>
          <w:sz w:val="28"/>
        </w:rPr>
      </w:pPr>
      <w:bookmarkStart w:id="21" w:name="_Toc530471836"/>
      <w:r w:rsidRPr="009610A8">
        <w:rPr>
          <w:sz w:val="28"/>
        </w:rPr>
        <w:t xml:space="preserve">Pillar 1 - </w:t>
      </w:r>
      <w:r w:rsidR="00EA37B6" w:rsidRPr="009610A8">
        <w:rPr>
          <w:sz w:val="28"/>
        </w:rPr>
        <w:t>Strengthening the fundamentals</w:t>
      </w:r>
      <w:bookmarkEnd w:id="21"/>
    </w:p>
    <w:p w14:paraId="20A446A0" w14:textId="31D1E5B6" w:rsidR="00C167DC" w:rsidRPr="009610A8" w:rsidRDefault="00903D37" w:rsidP="00AA46EF">
      <w:pPr>
        <w:spacing w:after="120" w:line="240" w:lineRule="auto"/>
        <w:rPr>
          <w:szCs w:val="24"/>
        </w:rPr>
      </w:pPr>
      <w:r w:rsidRPr="009610A8">
        <w:rPr>
          <w:szCs w:val="24"/>
        </w:rPr>
        <w:t xml:space="preserve">Australia benefits from a strong education system that underpins our international education </w:t>
      </w:r>
      <w:r w:rsidR="00C922FF" w:rsidRPr="009610A8">
        <w:rPr>
          <w:szCs w:val="24"/>
        </w:rPr>
        <w:t>offerings</w:t>
      </w:r>
      <w:r w:rsidRPr="009610A8">
        <w:rPr>
          <w:szCs w:val="24"/>
        </w:rPr>
        <w:t xml:space="preserve">. Prestigious institutions, a focus on quality education and teaching, access to </w:t>
      </w:r>
      <w:r w:rsidR="008868C5" w:rsidRPr="009610A8">
        <w:rPr>
          <w:szCs w:val="24"/>
        </w:rPr>
        <w:t xml:space="preserve">part-time </w:t>
      </w:r>
      <w:r w:rsidRPr="009610A8">
        <w:rPr>
          <w:szCs w:val="24"/>
        </w:rPr>
        <w:t>work while studying</w:t>
      </w:r>
      <w:r w:rsidR="007E59D9" w:rsidRPr="009610A8">
        <w:rPr>
          <w:szCs w:val="24"/>
        </w:rPr>
        <w:t>, and</w:t>
      </w:r>
      <w:r w:rsidRPr="009610A8">
        <w:rPr>
          <w:szCs w:val="24"/>
        </w:rPr>
        <w:t xml:space="preserve"> a </w:t>
      </w:r>
      <w:r w:rsidR="008868C5" w:rsidRPr="009610A8">
        <w:rPr>
          <w:szCs w:val="24"/>
        </w:rPr>
        <w:t>rewarding</w:t>
      </w:r>
      <w:r w:rsidRPr="009610A8">
        <w:rPr>
          <w:szCs w:val="24"/>
        </w:rPr>
        <w:t xml:space="preserve"> experience for students</w:t>
      </w:r>
      <w:r w:rsidR="00ED44CA">
        <w:rPr>
          <w:szCs w:val="24"/>
        </w:rPr>
        <w:t>,</w:t>
      </w:r>
      <w:r w:rsidRPr="009610A8">
        <w:rPr>
          <w:szCs w:val="24"/>
        </w:rPr>
        <w:t xml:space="preserve"> all contribute to Australia’s </w:t>
      </w:r>
      <w:r w:rsidR="008868C5" w:rsidRPr="009610A8">
        <w:rPr>
          <w:szCs w:val="24"/>
        </w:rPr>
        <w:t xml:space="preserve">international education </w:t>
      </w:r>
      <w:r w:rsidRPr="009610A8">
        <w:rPr>
          <w:szCs w:val="24"/>
        </w:rPr>
        <w:t xml:space="preserve">reputation. To ensure this </w:t>
      </w:r>
      <w:r w:rsidR="00C922FF" w:rsidRPr="009610A8">
        <w:rPr>
          <w:szCs w:val="24"/>
        </w:rPr>
        <w:t>reputation continues to improve,</w:t>
      </w:r>
      <w:r w:rsidR="00D53621" w:rsidRPr="009610A8">
        <w:rPr>
          <w:szCs w:val="24"/>
        </w:rPr>
        <w:t xml:space="preserve"> </w:t>
      </w:r>
      <w:r w:rsidRPr="009610A8">
        <w:rPr>
          <w:szCs w:val="24"/>
        </w:rPr>
        <w:t xml:space="preserve">the Council and education providers need to work together to ensure the foundation of our education system remains strong and fit-for-purpose. </w:t>
      </w:r>
      <w:r w:rsidR="00C167DC" w:rsidRPr="009610A8">
        <w:rPr>
          <w:szCs w:val="24"/>
        </w:rPr>
        <w:t>Strong leadership is vital to ensure that new regulation to protect the interests of international students achieves its purpose.</w:t>
      </w:r>
    </w:p>
    <w:p w14:paraId="5936257D" w14:textId="77777777" w:rsidR="003C79E6" w:rsidRPr="009610A8" w:rsidRDefault="004D4784" w:rsidP="004D4784">
      <w:pPr>
        <w:pStyle w:val="Heading3"/>
        <w:numPr>
          <w:ilvl w:val="2"/>
          <w:numId w:val="25"/>
        </w:numPr>
        <w:spacing w:before="360"/>
        <w:ind w:left="709" w:hanging="709"/>
        <w:rPr>
          <w:sz w:val="24"/>
        </w:rPr>
      </w:pPr>
      <w:bookmarkStart w:id="22" w:name="_Toc530471837"/>
      <w:r w:rsidRPr="009610A8">
        <w:rPr>
          <w:sz w:val="24"/>
        </w:rPr>
        <w:t>Improving the student experience</w:t>
      </w:r>
      <w:bookmarkEnd w:id="22"/>
    </w:p>
    <w:p w14:paraId="0D49238D" w14:textId="77777777" w:rsidR="003C79E6" w:rsidRPr="009610A8" w:rsidRDefault="003C79E6" w:rsidP="003C79E6">
      <w:pPr>
        <w:spacing w:after="120" w:line="240" w:lineRule="auto"/>
        <w:rPr>
          <w:szCs w:val="24"/>
          <w:lang w:eastAsia="en-AU"/>
        </w:rPr>
      </w:pPr>
      <w:r w:rsidRPr="009610A8">
        <w:rPr>
          <w:szCs w:val="24"/>
          <w:lang w:eastAsia="en-AU"/>
        </w:rPr>
        <w:t>The Council’s Student Services Delivery Working Group, now concluded, met seven times over 2018, and has created a package of actions which focus on:</w:t>
      </w:r>
    </w:p>
    <w:p w14:paraId="49E5845B" w14:textId="77777777" w:rsidR="003C79E6" w:rsidRPr="009610A8" w:rsidRDefault="003C79E6" w:rsidP="003C79E6">
      <w:pPr>
        <w:pStyle w:val="ListParagraph"/>
        <w:numPr>
          <w:ilvl w:val="0"/>
          <w:numId w:val="32"/>
        </w:numPr>
        <w:spacing w:after="120" w:line="240" w:lineRule="auto"/>
        <w:rPr>
          <w:szCs w:val="24"/>
        </w:rPr>
      </w:pPr>
      <w:r w:rsidRPr="009610A8">
        <w:rPr>
          <w:szCs w:val="24"/>
        </w:rPr>
        <w:t>strategies to reduce workplace exploitation</w:t>
      </w:r>
    </w:p>
    <w:p w14:paraId="05137061" w14:textId="77777777" w:rsidR="003C79E6" w:rsidRPr="009610A8" w:rsidRDefault="003C79E6" w:rsidP="003C79E6">
      <w:pPr>
        <w:pStyle w:val="ListParagraph"/>
        <w:numPr>
          <w:ilvl w:val="0"/>
          <w:numId w:val="32"/>
        </w:numPr>
        <w:spacing w:after="120" w:line="240" w:lineRule="auto"/>
        <w:rPr>
          <w:szCs w:val="24"/>
        </w:rPr>
      </w:pPr>
      <w:r w:rsidRPr="009610A8">
        <w:rPr>
          <w:szCs w:val="24"/>
        </w:rPr>
        <w:t>ways to facilitate consistent and accurate pre-departure information</w:t>
      </w:r>
    </w:p>
    <w:p w14:paraId="55CADA21" w14:textId="77777777" w:rsidR="003C79E6" w:rsidRPr="009610A8" w:rsidRDefault="003C79E6" w:rsidP="003C79E6">
      <w:pPr>
        <w:pStyle w:val="ListParagraph"/>
        <w:numPr>
          <w:ilvl w:val="0"/>
          <w:numId w:val="32"/>
        </w:numPr>
        <w:spacing w:after="120" w:line="240" w:lineRule="auto"/>
        <w:rPr>
          <w:szCs w:val="24"/>
        </w:rPr>
      </w:pPr>
      <w:r w:rsidRPr="009610A8">
        <w:rPr>
          <w:szCs w:val="24"/>
        </w:rPr>
        <w:t>improving international students’ experience with accommodation</w:t>
      </w:r>
    </w:p>
    <w:p w14:paraId="621F1A39" w14:textId="77777777" w:rsidR="003C79E6" w:rsidRPr="009610A8" w:rsidRDefault="003C79E6" w:rsidP="003C79E6">
      <w:pPr>
        <w:pStyle w:val="ListParagraph"/>
        <w:numPr>
          <w:ilvl w:val="0"/>
          <w:numId w:val="32"/>
        </w:numPr>
        <w:spacing w:after="120" w:line="240" w:lineRule="auto"/>
        <w:rPr>
          <w:szCs w:val="24"/>
        </w:rPr>
      </w:pPr>
      <w:r w:rsidRPr="009610A8">
        <w:rPr>
          <w:szCs w:val="24"/>
        </w:rPr>
        <w:t>fostering engagement between international students and communities, and</w:t>
      </w:r>
    </w:p>
    <w:p w14:paraId="5E3DEEAC" w14:textId="77777777" w:rsidR="003C79E6" w:rsidRPr="009610A8" w:rsidRDefault="003C79E6" w:rsidP="003C79E6">
      <w:pPr>
        <w:pStyle w:val="ListParagraph"/>
        <w:numPr>
          <w:ilvl w:val="0"/>
          <w:numId w:val="32"/>
        </w:numPr>
        <w:spacing w:after="120" w:line="240" w:lineRule="auto"/>
        <w:rPr>
          <w:szCs w:val="24"/>
        </w:rPr>
      </w:pPr>
      <w:r w:rsidRPr="009610A8">
        <w:rPr>
          <w:szCs w:val="24"/>
        </w:rPr>
        <w:t xml:space="preserve">identifying best practice in improving the employability of international students. </w:t>
      </w:r>
    </w:p>
    <w:p w14:paraId="08FA20E4" w14:textId="0F7B69C0" w:rsidR="003C79E6" w:rsidRPr="009610A8" w:rsidRDefault="003C79E6" w:rsidP="00727CC5">
      <w:pPr>
        <w:spacing w:after="120" w:line="240" w:lineRule="auto"/>
        <w:rPr>
          <w:szCs w:val="24"/>
          <w:lang w:eastAsia="en-AU"/>
        </w:rPr>
      </w:pPr>
      <w:r w:rsidRPr="009610A8">
        <w:rPr>
          <w:szCs w:val="24"/>
          <w:lang w:eastAsia="en-AU"/>
        </w:rPr>
        <w:t>The Expert Members will lead and promote the implementation of these actions across the sector in 2019</w:t>
      </w:r>
      <w:r w:rsidR="008868C5" w:rsidRPr="009610A8">
        <w:rPr>
          <w:szCs w:val="24"/>
          <w:lang w:eastAsia="en-AU"/>
        </w:rPr>
        <w:t xml:space="preserve">, including priority actions to prevent workforce exploitation.  Expert members will also </w:t>
      </w:r>
      <w:r w:rsidR="00727CC5" w:rsidRPr="009610A8">
        <w:rPr>
          <w:szCs w:val="24"/>
          <w:lang w:eastAsia="en-AU"/>
        </w:rPr>
        <w:t xml:space="preserve">consider the Student Accommodation Association’s </w:t>
      </w:r>
      <w:r w:rsidR="00727CC5" w:rsidRPr="009610A8">
        <w:rPr>
          <w:i/>
          <w:szCs w:val="24"/>
          <w:lang w:eastAsia="en-AU"/>
        </w:rPr>
        <w:t>Na</w:t>
      </w:r>
      <w:r w:rsidR="00727CC5" w:rsidRPr="009610A8">
        <w:rPr>
          <w:rFonts w:hint="eastAsia"/>
          <w:i/>
          <w:szCs w:val="24"/>
          <w:lang w:eastAsia="en-AU"/>
        </w:rPr>
        <w:t>tional Property Accreditation Scheme</w:t>
      </w:r>
      <w:r w:rsidR="00727CC5" w:rsidRPr="009610A8">
        <w:rPr>
          <w:i/>
          <w:szCs w:val="24"/>
          <w:lang w:eastAsia="en-AU"/>
        </w:rPr>
        <w:t>.</w:t>
      </w:r>
    </w:p>
    <w:p w14:paraId="7ECC8D96" w14:textId="77777777" w:rsidR="003C79E6" w:rsidRPr="009610A8" w:rsidRDefault="004D4784" w:rsidP="003C79E6">
      <w:pPr>
        <w:pStyle w:val="Heading3"/>
        <w:numPr>
          <w:ilvl w:val="2"/>
          <w:numId w:val="25"/>
        </w:numPr>
        <w:spacing w:before="360"/>
        <w:ind w:left="709" w:hanging="709"/>
        <w:rPr>
          <w:sz w:val="24"/>
        </w:rPr>
      </w:pPr>
      <w:bookmarkStart w:id="23" w:name="_Toc530471838"/>
      <w:r w:rsidRPr="009610A8">
        <w:rPr>
          <w:sz w:val="24"/>
        </w:rPr>
        <w:t>Empowering international students</w:t>
      </w:r>
      <w:bookmarkEnd w:id="23"/>
    </w:p>
    <w:p w14:paraId="0860ADA1" w14:textId="2C09467F" w:rsidR="003C79E6" w:rsidRPr="009610A8" w:rsidRDefault="003C79E6" w:rsidP="003C79E6">
      <w:pPr>
        <w:spacing w:after="120" w:line="240" w:lineRule="auto"/>
        <w:rPr>
          <w:szCs w:val="24"/>
        </w:rPr>
      </w:pPr>
      <w:r w:rsidRPr="009610A8">
        <w:rPr>
          <w:szCs w:val="24"/>
        </w:rPr>
        <w:t xml:space="preserve">Supporting and empowering international students is critical to ensure that the voice and experiences of students inform future policy and regulation decisions. Through funding from the EGI program, the Council for International Students (CISA) is being supported to deliver an engagement and new leadership program to help </w:t>
      </w:r>
      <w:r w:rsidRPr="009610A8">
        <w:rPr>
          <w:szCs w:val="24"/>
        </w:rPr>
        <w:lastRenderedPageBreak/>
        <w:t>international students engage on campus, and to support one another to deal with mental health issues and workplace exploitation.</w:t>
      </w:r>
    </w:p>
    <w:p w14:paraId="7FF1AFF5" w14:textId="77777777" w:rsidR="00957C0E" w:rsidRPr="009610A8" w:rsidRDefault="004D4784" w:rsidP="004D4784">
      <w:pPr>
        <w:pStyle w:val="Heading3"/>
        <w:numPr>
          <w:ilvl w:val="2"/>
          <w:numId w:val="25"/>
        </w:numPr>
        <w:spacing w:before="360"/>
        <w:ind w:left="709" w:hanging="709"/>
        <w:rPr>
          <w:sz w:val="24"/>
        </w:rPr>
      </w:pPr>
      <w:bookmarkStart w:id="24" w:name="_Toc529288504"/>
      <w:bookmarkStart w:id="25" w:name="_Toc529431899"/>
      <w:bookmarkStart w:id="26" w:name="_Toc529444169"/>
      <w:bookmarkStart w:id="27" w:name="_Toc529446972"/>
      <w:bookmarkStart w:id="28" w:name="_Toc529456946"/>
      <w:bookmarkStart w:id="29" w:name="_Toc529461678"/>
      <w:bookmarkStart w:id="30" w:name="_Toc529538271"/>
      <w:bookmarkStart w:id="31" w:name="_Toc530471839"/>
      <w:bookmarkEnd w:id="24"/>
      <w:bookmarkEnd w:id="25"/>
      <w:bookmarkEnd w:id="26"/>
      <w:bookmarkEnd w:id="27"/>
      <w:bookmarkEnd w:id="28"/>
      <w:bookmarkEnd w:id="29"/>
      <w:bookmarkEnd w:id="30"/>
      <w:r w:rsidRPr="009610A8">
        <w:rPr>
          <w:sz w:val="24"/>
        </w:rPr>
        <w:t>Strengthening employability</w:t>
      </w:r>
      <w:bookmarkEnd w:id="31"/>
      <w:r w:rsidR="00147A3D" w:rsidRPr="009610A8">
        <w:rPr>
          <w:sz w:val="24"/>
        </w:rPr>
        <w:t xml:space="preserve"> </w:t>
      </w:r>
    </w:p>
    <w:p w14:paraId="75F84C3A" w14:textId="66EA14DA" w:rsidR="00DF1E9B" w:rsidRPr="009610A8" w:rsidRDefault="00957C0E" w:rsidP="00CE47E1">
      <w:pPr>
        <w:spacing w:after="120" w:line="240" w:lineRule="auto"/>
        <w:rPr>
          <w:szCs w:val="24"/>
        </w:rPr>
      </w:pPr>
      <w:r w:rsidRPr="009610A8">
        <w:rPr>
          <w:szCs w:val="24"/>
        </w:rPr>
        <w:t xml:space="preserve">Work-integrated learning through clinical placements, work experience, internships and </w:t>
      </w:r>
      <w:r w:rsidR="0029606D" w:rsidRPr="009610A8">
        <w:rPr>
          <w:szCs w:val="24"/>
        </w:rPr>
        <w:t>mentorships</w:t>
      </w:r>
      <w:r w:rsidRPr="009610A8">
        <w:rPr>
          <w:szCs w:val="24"/>
        </w:rPr>
        <w:t>, provides different learning opportunities from th</w:t>
      </w:r>
      <w:r w:rsidR="00EA32A8" w:rsidRPr="009610A8">
        <w:rPr>
          <w:szCs w:val="24"/>
        </w:rPr>
        <w:t>ose available in the</w:t>
      </w:r>
      <w:r w:rsidRPr="009610A8">
        <w:rPr>
          <w:szCs w:val="24"/>
        </w:rPr>
        <w:t xml:space="preserve"> classroom, as well as increasing the work-readiness of students. </w:t>
      </w:r>
      <w:r w:rsidR="00541D38" w:rsidRPr="009610A8">
        <w:rPr>
          <w:szCs w:val="24"/>
        </w:rPr>
        <w:t xml:space="preserve">Universities Australia </w:t>
      </w:r>
      <w:r w:rsidR="00612E1D" w:rsidRPr="009610A8">
        <w:rPr>
          <w:szCs w:val="24"/>
        </w:rPr>
        <w:t xml:space="preserve">have been commissioned </w:t>
      </w:r>
      <w:r w:rsidR="007A3DBF" w:rsidRPr="009610A8">
        <w:rPr>
          <w:szCs w:val="24"/>
        </w:rPr>
        <w:t xml:space="preserve">under the EGI program </w:t>
      </w:r>
      <w:r w:rsidR="00612E1D" w:rsidRPr="009610A8">
        <w:rPr>
          <w:szCs w:val="24"/>
        </w:rPr>
        <w:t>to undertake</w:t>
      </w:r>
      <w:r w:rsidR="00541D38" w:rsidRPr="009610A8">
        <w:rPr>
          <w:szCs w:val="24"/>
        </w:rPr>
        <w:t xml:space="preserve"> an </w:t>
      </w:r>
      <w:r w:rsidRPr="009610A8">
        <w:rPr>
          <w:szCs w:val="24"/>
        </w:rPr>
        <w:t>audit of work-integrated learning to provide an understanding of the extent and modes of work-integrated learning, and the opportunities and barriers to participation.</w:t>
      </w:r>
      <w:r w:rsidR="00612E1D" w:rsidRPr="009610A8">
        <w:rPr>
          <w:szCs w:val="24"/>
        </w:rPr>
        <w:t xml:space="preserve"> A</w:t>
      </w:r>
      <w:r w:rsidR="00EA32A8" w:rsidRPr="009610A8">
        <w:rPr>
          <w:szCs w:val="24"/>
        </w:rPr>
        <w:t xml:space="preserve">udit </w:t>
      </w:r>
      <w:r w:rsidR="00612E1D" w:rsidRPr="009610A8">
        <w:rPr>
          <w:szCs w:val="24"/>
        </w:rPr>
        <w:t>findings will provide</w:t>
      </w:r>
      <w:r w:rsidRPr="009610A8">
        <w:rPr>
          <w:szCs w:val="24"/>
        </w:rPr>
        <w:t xml:space="preserve"> the foundation </w:t>
      </w:r>
      <w:r w:rsidR="00EA32A8" w:rsidRPr="009610A8">
        <w:rPr>
          <w:szCs w:val="24"/>
        </w:rPr>
        <w:t>for</w:t>
      </w:r>
      <w:r w:rsidRPr="009610A8">
        <w:rPr>
          <w:szCs w:val="24"/>
        </w:rPr>
        <w:t xml:space="preserve"> further work to </w:t>
      </w:r>
      <w:r w:rsidR="00EA32A8" w:rsidRPr="009610A8">
        <w:rPr>
          <w:szCs w:val="24"/>
        </w:rPr>
        <w:t xml:space="preserve">determine how best to </w:t>
      </w:r>
      <w:r w:rsidRPr="009610A8">
        <w:rPr>
          <w:szCs w:val="24"/>
        </w:rPr>
        <w:t>en</w:t>
      </w:r>
      <w:r w:rsidR="00EA32A8" w:rsidRPr="009610A8">
        <w:rPr>
          <w:szCs w:val="24"/>
        </w:rPr>
        <w:t>courage</w:t>
      </w:r>
      <w:r w:rsidRPr="009610A8">
        <w:rPr>
          <w:szCs w:val="24"/>
        </w:rPr>
        <w:t xml:space="preserve"> and support </w:t>
      </w:r>
      <w:r w:rsidR="008868C5" w:rsidRPr="009610A8">
        <w:rPr>
          <w:szCs w:val="24"/>
        </w:rPr>
        <w:t>learning that</w:t>
      </w:r>
      <w:r w:rsidR="00B94FB4" w:rsidRPr="009610A8">
        <w:rPr>
          <w:szCs w:val="24"/>
        </w:rPr>
        <w:t xml:space="preserve"> connects to the world of work</w:t>
      </w:r>
      <w:r w:rsidRPr="009610A8">
        <w:rPr>
          <w:szCs w:val="24"/>
        </w:rPr>
        <w:t>.</w:t>
      </w:r>
    </w:p>
    <w:p w14:paraId="51914195" w14:textId="520A0BCC" w:rsidR="00DE1A6B" w:rsidRPr="009610A8" w:rsidRDefault="00DE1A6B" w:rsidP="00CE47E1">
      <w:pPr>
        <w:spacing w:after="120" w:line="240" w:lineRule="auto"/>
        <w:rPr>
          <w:szCs w:val="24"/>
        </w:rPr>
      </w:pPr>
      <w:r w:rsidRPr="009610A8">
        <w:rPr>
          <w:szCs w:val="24"/>
        </w:rPr>
        <w:t xml:space="preserve">The Australian Technology Network of Universities (ATN) is also undertaking an EGI project </w:t>
      </w:r>
      <w:r w:rsidR="00D53621" w:rsidRPr="009610A8">
        <w:rPr>
          <w:szCs w:val="24"/>
        </w:rPr>
        <w:t>on</w:t>
      </w:r>
      <w:r w:rsidR="00F73B71" w:rsidRPr="009610A8">
        <w:rPr>
          <w:szCs w:val="24"/>
        </w:rPr>
        <w:t xml:space="preserve"> </w:t>
      </w:r>
      <w:r w:rsidRPr="009610A8">
        <w:rPr>
          <w:szCs w:val="24"/>
        </w:rPr>
        <w:t>work</w:t>
      </w:r>
      <w:r w:rsidR="00DF3993" w:rsidRPr="009610A8">
        <w:rPr>
          <w:szCs w:val="24"/>
        </w:rPr>
        <w:t>-</w:t>
      </w:r>
      <w:r w:rsidRPr="009610A8">
        <w:rPr>
          <w:szCs w:val="24"/>
        </w:rPr>
        <w:t>integrated learning. The project include</w:t>
      </w:r>
      <w:r w:rsidR="00C922FF" w:rsidRPr="009610A8">
        <w:rPr>
          <w:szCs w:val="24"/>
        </w:rPr>
        <w:t>s</w:t>
      </w:r>
      <w:r w:rsidRPr="009610A8">
        <w:rPr>
          <w:szCs w:val="24"/>
        </w:rPr>
        <w:t xml:space="preserve"> the development of resources and online modules for international students to support effective participation in work-integrated learning. This project</w:t>
      </w:r>
      <w:r w:rsidR="00C922FF" w:rsidRPr="009610A8">
        <w:rPr>
          <w:szCs w:val="24"/>
        </w:rPr>
        <w:t>, which will be piloted at</w:t>
      </w:r>
      <w:r w:rsidRPr="009610A8">
        <w:rPr>
          <w:szCs w:val="24"/>
        </w:rPr>
        <w:t xml:space="preserve"> five universities, will provide recommendations for broader </w:t>
      </w:r>
      <w:r w:rsidR="00C922FF" w:rsidRPr="009610A8">
        <w:rPr>
          <w:szCs w:val="24"/>
        </w:rPr>
        <w:t>adoption of the project</w:t>
      </w:r>
      <w:r w:rsidRPr="009610A8">
        <w:rPr>
          <w:szCs w:val="24"/>
        </w:rPr>
        <w:t xml:space="preserve"> across Australia’s higher education sector. </w:t>
      </w:r>
    </w:p>
    <w:p w14:paraId="56D9F83A" w14:textId="77777777" w:rsidR="00957C0E" w:rsidRPr="009610A8" w:rsidRDefault="004D4784" w:rsidP="004D4784">
      <w:pPr>
        <w:pStyle w:val="Heading3"/>
        <w:numPr>
          <w:ilvl w:val="2"/>
          <w:numId w:val="25"/>
        </w:numPr>
        <w:spacing w:before="360"/>
        <w:ind w:left="709" w:hanging="709"/>
        <w:rPr>
          <w:sz w:val="24"/>
        </w:rPr>
      </w:pPr>
      <w:bookmarkStart w:id="32" w:name="_Toc530471840"/>
      <w:r w:rsidRPr="009610A8">
        <w:rPr>
          <w:sz w:val="24"/>
        </w:rPr>
        <w:t>Better</w:t>
      </w:r>
      <w:r w:rsidR="00957C0E" w:rsidRPr="009610A8">
        <w:rPr>
          <w:sz w:val="24"/>
        </w:rPr>
        <w:t xml:space="preserve"> access to</w:t>
      </w:r>
      <w:r w:rsidR="000F3842" w:rsidRPr="009610A8">
        <w:rPr>
          <w:sz w:val="24"/>
        </w:rPr>
        <w:t xml:space="preserve"> dat</w:t>
      </w:r>
      <w:r w:rsidRPr="009610A8">
        <w:rPr>
          <w:sz w:val="24"/>
        </w:rPr>
        <w:t>a and research</w:t>
      </w:r>
      <w:bookmarkEnd w:id="32"/>
    </w:p>
    <w:p w14:paraId="0314A191" w14:textId="23B0713C" w:rsidR="00E9506B" w:rsidRPr="009610A8" w:rsidRDefault="00920AEB" w:rsidP="00D478D6">
      <w:pPr>
        <w:spacing w:after="120" w:line="240" w:lineRule="auto"/>
        <w:rPr>
          <w:lang w:val="en"/>
        </w:rPr>
      </w:pPr>
      <w:r w:rsidRPr="009610A8">
        <w:rPr>
          <w:szCs w:val="24"/>
        </w:rPr>
        <w:t xml:space="preserve">The </w:t>
      </w:r>
      <w:r w:rsidR="00344D2D" w:rsidRPr="009610A8">
        <w:rPr>
          <w:szCs w:val="24"/>
        </w:rPr>
        <w:t>2018 International Student Survey</w:t>
      </w:r>
      <w:r w:rsidR="00665894" w:rsidRPr="009610A8">
        <w:rPr>
          <w:szCs w:val="24"/>
        </w:rPr>
        <w:t xml:space="preserve">, undertaken </w:t>
      </w:r>
      <w:r w:rsidR="00F41FAD" w:rsidRPr="009610A8">
        <w:rPr>
          <w:szCs w:val="24"/>
        </w:rPr>
        <w:t>in collaboration</w:t>
      </w:r>
      <w:r w:rsidR="00665894" w:rsidRPr="009610A8">
        <w:rPr>
          <w:szCs w:val="24"/>
        </w:rPr>
        <w:t xml:space="preserve"> with</w:t>
      </w:r>
      <w:r w:rsidR="00682D51" w:rsidRPr="009610A8">
        <w:rPr>
          <w:szCs w:val="24"/>
        </w:rPr>
        <w:t xml:space="preserve"> the International Education Association of Australia</w:t>
      </w:r>
      <w:r w:rsidR="00665894" w:rsidRPr="009610A8">
        <w:rPr>
          <w:szCs w:val="24"/>
        </w:rPr>
        <w:t xml:space="preserve"> </w:t>
      </w:r>
      <w:r w:rsidR="00682D51" w:rsidRPr="009610A8">
        <w:rPr>
          <w:szCs w:val="24"/>
        </w:rPr>
        <w:t>(</w:t>
      </w:r>
      <w:r w:rsidR="00665894" w:rsidRPr="009610A8">
        <w:rPr>
          <w:szCs w:val="24"/>
        </w:rPr>
        <w:t>IEAA</w:t>
      </w:r>
      <w:r w:rsidR="00682D51" w:rsidRPr="009610A8">
        <w:rPr>
          <w:szCs w:val="24"/>
        </w:rPr>
        <w:t>)</w:t>
      </w:r>
      <w:r w:rsidR="00665894" w:rsidRPr="009610A8">
        <w:rPr>
          <w:szCs w:val="24"/>
        </w:rPr>
        <w:t xml:space="preserve">, English Australia </w:t>
      </w:r>
      <w:r w:rsidR="006A4ED7" w:rsidRPr="009610A8">
        <w:rPr>
          <w:szCs w:val="24"/>
        </w:rPr>
        <w:t xml:space="preserve">and </w:t>
      </w:r>
      <w:r w:rsidR="00F41FAD" w:rsidRPr="009610A8">
        <w:rPr>
          <w:szCs w:val="24"/>
        </w:rPr>
        <w:t>state and territory governments</w:t>
      </w:r>
      <w:r w:rsidRPr="009610A8">
        <w:rPr>
          <w:szCs w:val="24"/>
        </w:rPr>
        <w:t xml:space="preserve">, </w:t>
      </w:r>
      <w:r w:rsidR="00665894" w:rsidRPr="009610A8">
        <w:rPr>
          <w:szCs w:val="24"/>
        </w:rPr>
        <w:t>was the fifth iteration of this biennial survey</w:t>
      </w:r>
      <w:r w:rsidRPr="009610A8">
        <w:rPr>
          <w:szCs w:val="24"/>
        </w:rPr>
        <w:t xml:space="preserve">. </w:t>
      </w:r>
      <w:r w:rsidR="006A4ED7" w:rsidRPr="009610A8">
        <w:rPr>
          <w:szCs w:val="24"/>
        </w:rPr>
        <w:t>The main data in t</w:t>
      </w:r>
      <w:r w:rsidRPr="009610A8">
        <w:rPr>
          <w:szCs w:val="24"/>
        </w:rPr>
        <w:t>h</w:t>
      </w:r>
      <w:r w:rsidR="00EA32A8" w:rsidRPr="009610A8">
        <w:rPr>
          <w:szCs w:val="24"/>
        </w:rPr>
        <w:t>e</w:t>
      </w:r>
      <w:r w:rsidRPr="009610A8">
        <w:rPr>
          <w:szCs w:val="24"/>
        </w:rPr>
        <w:t xml:space="preserve"> survey</w:t>
      </w:r>
      <w:r w:rsidR="006A4ED7" w:rsidRPr="009610A8">
        <w:rPr>
          <w:szCs w:val="24"/>
        </w:rPr>
        <w:t xml:space="preserve"> is based on the International Student Barometer</w:t>
      </w:r>
      <w:r w:rsidR="00EC5D72" w:rsidRPr="009610A8">
        <w:rPr>
          <w:szCs w:val="24"/>
        </w:rPr>
        <w:t xml:space="preserve"> (ISB)</w:t>
      </w:r>
      <w:r w:rsidR="006A4ED7" w:rsidRPr="009610A8">
        <w:rPr>
          <w:szCs w:val="24"/>
        </w:rPr>
        <w:t>, so</w:t>
      </w:r>
      <w:r w:rsidR="00665894" w:rsidRPr="009610A8">
        <w:rPr>
          <w:szCs w:val="24"/>
        </w:rPr>
        <w:t xml:space="preserve"> can be benchmarked against other major international education destinations</w:t>
      </w:r>
      <w:r w:rsidR="003461B7" w:rsidRPr="009610A8">
        <w:rPr>
          <w:szCs w:val="24"/>
        </w:rPr>
        <w:t>. Key</w:t>
      </w:r>
      <w:r w:rsidR="00A92609" w:rsidRPr="009610A8">
        <w:rPr>
          <w:szCs w:val="24"/>
        </w:rPr>
        <w:t xml:space="preserve"> preliminary</w:t>
      </w:r>
      <w:r w:rsidR="003461B7" w:rsidRPr="009610A8">
        <w:rPr>
          <w:szCs w:val="24"/>
        </w:rPr>
        <w:t xml:space="preserve"> findings</w:t>
      </w:r>
      <w:r w:rsidR="00665894" w:rsidRPr="009610A8">
        <w:rPr>
          <w:szCs w:val="24"/>
        </w:rPr>
        <w:t xml:space="preserve"> were announced in </w:t>
      </w:r>
      <w:r w:rsidR="00C922FF" w:rsidRPr="009610A8">
        <w:rPr>
          <w:szCs w:val="24"/>
        </w:rPr>
        <w:t>October </w:t>
      </w:r>
      <w:r w:rsidR="00665894" w:rsidRPr="009610A8">
        <w:rPr>
          <w:szCs w:val="24"/>
        </w:rPr>
        <w:t>2018</w:t>
      </w:r>
      <w:r w:rsidR="003461B7" w:rsidRPr="009610A8">
        <w:rPr>
          <w:szCs w:val="24"/>
        </w:rPr>
        <w:t xml:space="preserve">. </w:t>
      </w:r>
      <w:r w:rsidR="00E9506B" w:rsidRPr="009610A8">
        <w:rPr>
          <w:szCs w:val="24"/>
        </w:rPr>
        <w:t>International students are very happy with Australia as a study destination, with</w:t>
      </w:r>
      <w:r w:rsidR="00E9506B" w:rsidRPr="009610A8">
        <w:rPr>
          <w:lang w:val="en"/>
        </w:rPr>
        <w:t xml:space="preserve"> 89 per cent of international university students and 87 per cent of international VET students report</w:t>
      </w:r>
      <w:r w:rsidR="00D53621" w:rsidRPr="009610A8">
        <w:rPr>
          <w:lang w:val="en"/>
        </w:rPr>
        <w:t>ing that</w:t>
      </w:r>
      <w:r w:rsidR="00E9506B" w:rsidRPr="009610A8">
        <w:rPr>
          <w:lang w:val="en"/>
        </w:rPr>
        <w:t xml:space="preserve"> they were satisfied or very satisfied with their experience living and learning in Australia.</w:t>
      </w:r>
    </w:p>
    <w:p w14:paraId="4986D8A5" w14:textId="77777777" w:rsidR="003461B7" w:rsidRPr="009610A8" w:rsidRDefault="00F41FAD" w:rsidP="00CE47E1">
      <w:pPr>
        <w:spacing w:after="120" w:line="240" w:lineRule="auto"/>
        <w:rPr>
          <w:szCs w:val="24"/>
        </w:rPr>
      </w:pPr>
      <w:r w:rsidRPr="009610A8">
        <w:rPr>
          <w:szCs w:val="24"/>
        </w:rPr>
        <w:t xml:space="preserve">Additional </w:t>
      </w:r>
      <w:r w:rsidR="006A4ED7" w:rsidRPr="009610A8">
        <w:rPr>
          <w:szCs w:val="24"/>
        </w:rPr>
        <w:t xml:space="preserve">research </w:t>
      </w:r>
      <w:r w:rsidRPr="009610A8">
        <w:rPr>
          <w:szCs w:val="24"/>
        </w:rPr>
        <w:t>activities underway include</w:t>
      </w:r>
      <w:r w:rsidR="006A4ED7" w:rsidRPr="009610A8">
        <w:rPr>
          <w:szCs w:val="24"/>
        </w:rPr>
        <w:t>:</w:t>
      </w:r>
    </w:p>
    <w:p w14:paraId="553208C9" w14:textId="1F22086E" w:rsidR="003461B7" w:rsidRPr="009610A8" w:rsidRDefault="00F41FAD" w:rsidP="0097004A">
      <w:pPr>
        <w:pStyle w:val="ListParagraph"/>
        <w:numPr>
          <w:ilvl w:val="0"/>
          <w:numId w:val="7"/>
        </w:numPr>
        <w:spacing w:after="120" w:line="240" w:lineRule="auto"/>
        <w:rPr>
          <w:szCs w:val="24"/>
        </w:rPr>
      </w:pPr>
      <w:r w:rsidRPr="009610A8">
        <w:rPr>
          <w:szCs w:val="24"/>
        </w:rPr>
        <w:t xml:space="preserve">the </w:t>
      </w:r>
      <w:r w:rsidR="008868C5" w:rsidRPr="009610A8">
        <w:rPr>
          <w:szCs w:val="24"/>
        </w:rPr>
        <w:t xml:space="preserve">inaugural </w:t>
      </w:r>
      <w:r w:rsidRPr="009610A8">
        <w:rPr>
          <w:szCs w:val="24"/>
        </w:rPr>
        <w:t xml:space="preserve">survey </w:t>
      </w:r>
      <w:r w:rsidR="003461B7" w:rsidRPr="009610A8">
        <w:rPr>
          <w:szCs w:val="24"/>
        </w:rPr>
        <w:t>of</w:t>
      </w:r>
      <w:r w:rsidR="00C84216" w:rsidRPr="009610A8">
        <w:rPr>
          <w:szCs w:val="24"/>
        </w:rPr>
        <w:t xml:space="preserve"> </w:t>
      </w:r>
      <w:r w:rsidR="006A4ED7" w:rsidRPr="009610A8">
        <w:rPr>
          <w:szCs w:val="24"/>
        </w:rPr>
        <w:t xml:space="preserve">offshore </w:t>
      </w:r>
      <w:r w:rsidR="003461B7" w:rsidRPr="009610A8">
        <w:rPr>
          <w:szCs w:val="24"/>
        </w:rPr>
        <w:t xml:space="preserve">students undertaking Australian higher education </w:t>
      </w:r>
      <w:r w:rsidRPr="009610A8">
        <w:rPr>
          <w:szCs w:val="24"/>
        </w:rPr>
        <w:t xml:space="preserve">and VET </w:t>
      </w:r>
      <w:r w:rsidR="003461B7" w:rsidRPr="009610A8">
        <w:rPr>
          <w:szCs w:val="24"/>
        </w:rPr>
        <w:t>programs</w:t>
      </w:r>
      <w:r w:rsidR="00C84216" w:rsidRPr="009610A8">
        <w:rPr>
          <w:szCs w:val="24"/>
        </w:rPr>
        <w:t>,</w:t>
      </w:r>
    </w:p>
    <w:p w14:paraId="7B87E580" w14:textId="77777777" w:rsidR="003461B7" w:rsidRPr="009610A8" w:rsidRDefault="00C84216" w:rsidP="0097004A">
      <w:pPr>
        <w:pStyle w:val="ListParagraph"/>
        <w:numPr>
          <w:ilvl w:val="0"/>
          <w:numId w:val="7"/>
        </w:numPr>
        <w:spacing w:after="120" w:line="240" w:lineRule="auto"/>
        <w:rPr>
          <w:szCs w:val="24"/>
        </w:rPr>
      </w:pPr>
      <w:r w:rsidRPr="009610A8">
        <w:rPr>
          <w:szCs w:val="24"/>
        </w:rPr>
        <w:t>t</w:t>
      </w:r>
      <w:r w:rsidR="00344D2D" w:rsidRPr="009610A8">
        <w:rPr>
          <w:szCs w:val="24"/>
        </w:rPr>
        <w:t>he</w:t>
      </w:r>
      <w:r w:rsidR="00F41FAD" w:rsidRPr="009610A8">
        <w:rPr>
          <w:szCs w:val="24"/>
        </w:rPr>
        <w:t xml:space="preserve"> establishment of ongoing surveys focused on the</w:t>
      </w:r>
      <w:r w:rsidR="00344D2D" w:rsidRPr="009610A8">
        <w:rPr>
          <w:szCs w:val="24"/>
        </w:rPr>
        <w:t xml:space="preserve"> employment outcomes of graduates who completed higher education in Australia</w:t>
      </w:r>
      <w:r w:rsidR="00F41FAD" w:rsidRPr="009610A8">
        <w:rPr>
          <w:szCs w:val="24"/>
        </w:rPr>
        <w:t>, and</w:t>
      </w:r>
    </w:p>
    <w:p w14:paraId="277C6194" w14:textId="38CCB32C" w:rsidR="00344D2D" w:rsidRPr="009610A8" w:rsidRDefault="00EA32A8" w:rsidP="0097004A">
      <w:pPr>
        <w:pStyle w:val="ListParagraph"/>
        <w:numPr>
          <w:ilvl w:val="0"/>
          <w:numId w:val="7"/>
        </w:numPr>
        <w:spacing w:after="120" w:line="240" w:lineRule="auto"/>
        <w:rPr>
          <w:szCs w:val="24"/>
        </w:rPr>
      </w:pPr>
      <w:r w:rsidRPr="009610A8">
        <w:rPr>
          <w:szCs w:val="24"/>
        </w:rPr>
        <w:t>r</w:t>
      </w:r>
      <w:r w:rsidR="00344D2D" w:rsidRPr="009610A8">
        <w:rPr>
          <w:szCs w:val="24"/>
        </w:rPr>
        <w:t xml:space="preserve">esearch </w:t>
      </w:r>
      <w:r w:rsidR="003461B7" w:rsidRPr="009610A8">
        <w:rPr>
          <w:szCs w:val="24"/>
        </w:rPr>
        <w:t xml:space="preserve">into </w:t>
      </w:r>
      <w:r w:rsidR="00344D2D" w:rsidRPr="009610A8">
        <w:rPr>
          <w:szCs w:val="24"/>
        </w:rPr>
        <w:t>the experience of international students who study in Australia’s regional areas</w:t>
      </w:r>
      <w:r w:rsidRPr="009610A8">
        <w:rPr>
          <w:szCs w:val="24"/>
        </w:rPr>
        <w:t>,</w:t>
      </w:r>
      <w:r w:rsidR="003461B7" w:rsidRPr="009610A8">
        <w:rPr>
          <w:szCs w:val="24"/>
        </w:rPr>
        <w:t xml:space="preserve"> f</w:t>
      </w:r>
      <w:r w:rsidR="00344D2D" w:rsidRPr="009610A8">
        <w:rPr>
          <w:szCs w:val="24"/>
        </w:rPr>
        <w:t>ocus</w:t>
      </w:r>
      <w:r w:rsidRPr="009610A8">
        <w:rPr>
          <w:szCs w:val="24"/>
        </w:rPr>
        <w:t>ed</w:t>
      </w:r>
      <w:r w:rsidR="00344D2D" w:rsidRPr="009610A8">
        <w:rPr>
          <w:szCs w:val="24"/>
        </w:rPr>
        <w:t xml:space="preserve"> on the relative costs of studying and living</w:t>
      </w:r>
      <w:r w:rsidR="00F41FAD" w:rsidRPr="009610A8">
        <w:rPr>
          <w:szCs w:val="24"/>
        </w:rPr>
        <w:t xml:space="preserve"> compared to metropolitan counterparts</w:t>
      </w:r>
    </w:p>
    <w:p w14:paraId="69B82AD4" w14:textId="62C75C84" w:rsidR="008D597B" w:rsidRPr="009610A8" w:rsidRDefault="00B94FB4" w:rsidP="00CE47E1">
      <w:pPr>
        <w:pStyle w:val="CommentText"/>
        <w:spacing w:after="120"/>
        <w:rPr>
          <w:sz w:val="22"/>
          <w:szCs w:val="24"/>
        </w:rPr>
      </w:pPr>
      <w:r w:rsidRPr="009610A8">
        <w:rPr>
          <w:sz w:val="22"/>
          <w:szCs w:val="24"/>
        </w:rPr>
        <w:t>To plan for better data to support international education policy, IEAA undertook a data stocktake identifying education providers’ views on the range and utility of existing international education data, and perceived data gaps</w:t>
      </w:r>
      <w:r w:rsidR="00DE1A6B" w:rsidRPr="009610A8">
        <w:rPr>
          <w:sz w:val="22"/>
          <w:szCs w:val="24"/>
        </w:rPr>
        <w:t>.</w:t>
      </w:r>
      <w:r w:rsidR="00FA26EB" w:rsidRPr="009610A8">
        <w:rPr>
          <w:sz w:val="22"/>
          <w:szCs w:val="24"/>
        </w:rPr>
        <w:t xml:space="preserve"> The final report on </w:t>
      </w:r>
      <w:r w:rsidR="00A030D0" w:rsidRPr="009610A8">
        <w:rPr>
          <w:sz w:val="22"/>
          <w:szCs w:val="24"/>
        </w:rPr>
        <w:t>this project</w:t>
      </w:r>
      <w:r w:rsidR="00FA26EB" w:rsidRPr="009610A8">
        <w:rPr>
          <w:sz w:val="22"/>
          <w:szCs w:val="24"/>
        </w:rPr>
        <w:t xml:space="preserve"> will be published in early 2019. </w:t>
      </w:r>
      <w:r w:rsidR="007E41A4" w:rsidRPr="009610A8">
        <w:rPr>
          <w:sz w:val="22"/>
          <w:szCs w:val="24"/>
        </w:rPr>
        <w:t xml:space="preserve">Specific recommendations included </w:t>
      </w:r>
      <w:r w:rsidR="00B869D3" w:rsidRPr="009610A8">
        <w:rPr>
          <w:sz w:val="22"/>
          <w:szCs w:val="24"/>
        </w:rPr>
        <w:t xml:space="preserve">improving access and alignment of datasets across government, and </w:t>
      </w:r>
      <w:r w:rsidR="007E41A4" w:rsidRPr="009610A8">
        <w:rPr>
          <w:sz w:val="22"/>
          <w:szCs w:val="24"/>
        </w:rPr>
        <w:t xml:space="preserve">building or enhancing the collection of </w:t>
      </w:r>
      <w:r w:rsidR="00777F94" w:rsidRPr="009610A8">
        <w:rPr>
          <w:sz w:val="22"/>
          <w:szCs w:val="24"/>
        </w:rPr>
        <w:t>information</w:t>
      </w:r>
      <w:r w:rsidR="007E41A4" w:rsidRPr="009610A8">
        <w:rPr>
          <w:sz w:val="22"/>
          <w:szCs w:val="24"/>
        </w:rPr>
        <w:t xml:space="preserve"> on:</w:t>
      </w:r>
    </w:p>
    <w:p w14:paraId="594FEC78" w14:textId="77777777" w:rsidR="007E41A4" w:rsidRPr="009610A8" w:rsidRDefault="007E41A4" w:rsidP="00C1028D">
      <w:pPr>
        <w:pStyle w:val="ListParagraph"/>
        <w:numPr>
          <w:ilvl w:val="0"/>
          <w:numId w:val="7"/>
        </w:numPr>
        <w:spacing w:after="120" w:line="240" w:lineRule="auto"/>
        <w:rPr>
          <w:szCs w:val="24"/>
        </w:rPr>
      </w:pPr>
      <w:r w:rsidRPr="009610A8">
        <w:rPr>
          <w:szCs w:val="24"/>
        </w:rPr>
        <w:t>international students in regional areas,</w:t>
      </w:r>
    </w:p>
    <w:p w14:paraId="6A2F8F2F" w14:textId="77777777" w:rsidR="007E41A4" w:rsidRPr="009610A8" w:rsidRDefault="007E41A4" w:rsidP="00C1028D">
      <w:pPr>
        <w:pStyle w:val="ListParagraph"/>
        <w:numPr>
          <w:ilvl w:val="0"/>
          <w:numId w:val="7"/>
        </w:numPr>
        <w:spacing w:after="120" w:line="240" w:lineRule="auto"/>
        <w:rPr>
          <w:szCs w:val="24"/>
        </w:rPr>
      </w:pPr>
      <w:r w:rsidRPr="009610A8">
        <w:rPr>
          <w:szCs w:val="24"/>
        </w:rPr>
        <w:t>offshore education deliver</w:t>
      </w:r>
      <w:r w:rsidR="00B6115E" w:rsidRPr="009610A8">
        <w:rPr>
          <w:szCs w:val="24"/>
        </w:rPr>
        <w:t>y</w:t>
      </w:r>
      <w:r w:rsidRPr="009610A8">
        <w:rPr>
          <w:szCs w:val="24"/>
        </w:rPr>
        <w:t xml:space="preserve"> (also known as transnational education),</w:t>
      </w:r>
    </w:p>
    <w:p w14:paraId="3D94E4E0" w14:textId="77777777" w:rsidR="007E41A4" w:rsidRPr="009610A8" w:rsidRDefault="007E41A4" w:rsidP="00C1028D">
      <w:pPr>
        <w:pStyle w:val="ListParagraph"/>
        <w:numPr>
          <w:ilvl w:val="0"/>
          <w:numId w:val="7"/>
        </w:numPr>
        <w:spacing w:after="120" w:line="240" w:lineRule="auto"/>
        <w:rPr>
          <w:szCs w:val="24"/>
        </w:rPr>
      </w:pPr>
      <w:r w:rsidRPr="009610A8">
        <w:rPr>
          <w:szCs w:val="24"/>
        </w:rPr>
        <w:t xml:space="preserve">graduate outcomes, and </w:t>
      </w:r>
    </w:p>
    <w:p w14:paraId="141D474F" w14:textId="33B310D4" w:rsidR="007E41A4" w:rsidRPr="009610A8" w:rsidRDefault="00286330" w:rsidP="00C1028D">
      <w:pPr>
        <w:pStyle w:val="ListParagraph"/>
        <w:numPr>
          <w:ilvl w:val="0"/>
          <w:numId w:val="7"/>
        </w:numPr>
        <w:spacing w:after="120" w:line="240" w:lineRule="auto"/>
        <w:rPr>
          <w:szCs w:val="24"/>
        </w:rPr>
      </w:pPr>
      <w:r w:rsidRPr="009610A8">
        <w:rPr>
          <w:szCs w:val="24"/>
        </w:rPr>
        <w:t xml:space="preserve">the </w:t>
      </w:r>
      <w:r w:rsidR="007E41A4" w:rsidRPr="009610A8">
        <w:rPr>
          <w:szCs w:val="24"/>
        </w:rPr>
        <w:t>student experience</w:t>
      </w:r>
      <w:r w:rsidR="008868C5" w:rsidRPr="009610A8">
        <w:rPr>
          <w:szCs w:val="24"/>
        </w:rPr>
        <w:t>.</w:t>
      </w:r>
    </w:p>
    <w:p w14:paraId="424564AF" w14:textId="77777777" w:rsidR="003C79E6" w:rsidRPr="009610A8" w:rsidRDefault="004D4784" w:rsidP="003C79E6">
      <w:pPr>
        <w:pStyle w:val="Heading3"/>
        <w:numPr>
          <w:ilvl w:val="2"/>
          <w:numId w:val="25"/>
        </w:numPr>
        <w:spacing w:before="360"/>
        <w:ind w:left="709" w:hanging="709"/>
        <w:rPr>
          <w:sz w:val="24"/>
        </w:rPr>
      </w:pPr>
      <w:bookmarkStart w:id="33" w:name="_Toc530471841"/>
      <w:r w:rsidRPr="009610A8">
        <w:rPr>
          <w:sz w:val="24"/>
        </w:rPr>
        <w:t>Maintaining the reputation of our qualifications</w:t>
      </w:r>
      <w:bookmarkEnd w:id="33"/>
    </w:p>
    <w:p w14:paraId="7B34763F" w14:textId="1B8B96C6" w:rsidR="003C79E6" w:rsidRPr="009610A8" w:rsidRDefault="003C79E6" w:rsidP="003C79E6">
      <w:pPr>
        <w:spacing w:after="120" w:line="240" w:lineRule="auto"/>
        <w:rPr>
          <w:szCs w:val="24"/>
        </w:rPr>
      </w:pPr>
      <w:r w:rsidRPr="009610A8">
        <w:rPr>
          <w:szCs w:val="24"/>
        </w:rPr>
        <w:t xml:space="preserve">The </w:t>
      </w:r>
      <w:r w:rsidR="00D53621" w:rsidRPr="009610A8">
        <w:rPr>
          <w:szCs w:val="24"/>
        </w:rPr>
        <w:t>Australian Qualifications Framework (</w:t>
      </w:r>
      <w:r w:rsidRPr="009610A8">
        <w:rPr>
          <w:szCs w:val="24"/>
        </w:rPr>
        <w:t>AQF</w:t>
      </w:r>
      <w:r w:rsidR="00D53621" w:rsidRPr="009610A8">
        <w:rPr>
          <w:szCs w:val="24"/>
        </w:rPr>
        <w:t>)</w:t>
      </w:r>
      <w:r w:rsidRPr="009610A8">
        <w:rPr>
          <w:szCs w:val="24"/>
        </w:rPr>
        <w:t xml:space="preserve"> is the national policy for regulated qualifications in the Australian education and training system, </w:t>
      </w:r>
      <w:r w:rsidR="008868C5" w:rsidRPr="009610A8">
        <w:rPr>
          <w:szCs w:val="24"/>
        </w:rPr>
        <w:t>and</w:t>
      </w:r>
      <w:r w:rsidR="002023DA" w:rsidRPr="009610A8">
        <w:rPr>
          <w:szCs w:val="24"/>
        </w:rPr>
        <w:t xml:space="preserve"> provides</w:t>
      </w:r>
      <w:r w:rsidR="008868C5" w:rsidRPr="009610A8">
        <w:rPr>
          <w:szCs w:val="24"/>
        </w:rPr>
        <w:t xml:space="preserve"> t</w:t>
      </w:r>
      <w:r w:rsidRPr="009610A8">
        <w:rPr>
          <w:szCs w:val="24"/>
        </w:rPr>
        <w:t xml:space="preserve">he foundation of Australia’s reputation for quality. The Australian Government has commissioned a review of the AQF to ensure that it continues to meet the needs of students, employers, education providers and the wider community, including international stakeholders. The </w:t>
      </w:r>
      <w:r w:rsidRPr="009610A8">
        <w:rPr>
          <w:szCs w:val="24"/>
        </w:rPr>
        <w:lastRenderedPageBreak/>
        <w:t>Review Panel was established in July 201</w:t>
      </w:r>
      <w:r w:rsidR="003B0E45">
        <w:rPr>
          <w:szCs w:val="24"/>
        </w:rPr>
        <w:t>8 and the final report is due</w:t>
      </w:r>
      <w:r w:rsidRPr="009610A8">
        <w:rPr>
          <w:szCs w:val="24"/>
        </w:rPr>
        <w:t xml:space="preserve"> </w:t>
      </w:r>
      <w:r w:rsidR="003B0E45">
        <w:rPr>
          <w:szCs w:val="24"/>
        </w:rPr>
        <w:t>in</w:t>
      </w:r>
      <w:r w:rsidRPr="009610A8">
        <w:rPr>
          <w:szCs w:val="24"/>
        </w:rPr>
        <w:t xml:space="preserve"> June 2019. The review will help to maintain Australia’s international reputation for educational quality.</w:t>
      </w:r>
    </w:p>
    <w:p w14:paraId="26A94593" w14:textId="77777777" w:rsidR="003C79E6" w:rsidRPr="009610A8" w:rsidRDefault="003C79E6" w:rsidP="003C79E6">
      <w:pPr>
        <w:spacing w:after="120" w:line="240" w:lineRule="auto"/>
        <w:rPr>
          <w:szCs w:val="24"/>
        </w:rPr>
      </w:pPr>
      <w:r w:rsidRPr="009610A8">
        <w:rPr>
          <w:szCs w:val="24"/>
        </w:rPr>
        <w:t xml:space="preserve">Since the AQF was last reviewed, there have been significant changes in the way education is delivered, including through the introduction of sub-qualifications and new delivery technology. </w:t>
      </w:r>
    </w:p>
    <w:p w14:paraId="46DEE774" w14:textId="42F4BD86" w:rsidR="003C79E6" w:rsidRPr="009610A8" w:rsidRDefault="00436674" w:rsidP="003C79E6">
      <w:pPr>
        <w:spacing w:after="120" w:line="240" w:lineRule="auto"/>
        <w:rPr>
          <w:szCs w:val="24"/>
        </w:rPr>
      </w:pPr>
      <w:r w:rsidRPr="009610A8">
        <w:rPr>
          <w:szCs w:val="24"/>
        </w:rPr>
        <w:t>The AQF</w:t>
      </w:r>
      <w:r w:rsidR="00BC3AB2" w:rsidRPr="009610A8">
        <w:rPr>
          <w:szCs w:val="24"/>
        </w:rPr>
        <w:t xml:space="preserve"> </w:t>
      </w:r>
      <w:r w:rsidR="00C5164B" w:rsidRPr="009610A8">
        <w:rPr>
          <w:szCs w:val="24"/>
        </w:rPr>
        <w:t>has wide ranging impacts</w:t>
      </w:r>
      <w:r w:rsidRPr="009610A8">
        <w:rPr>
          <w:szCs w:val="24"/>
        </w:rPr>
        <w:t xml:space="preserve"> beyond the education sector</w:t>
      </w:r>
      <w:r w:rsidR="000E7D44" w:rsidRPr="009610A8">
        <w:rPr>
          <w:szCs w:val="24"/>
        </w:rPr>
        <w:t xml:space="preserve">, </w:t>
      </w:r>
      <w:r w:rsidRPr="009610A8">
        <w:rPr>
          <w:szCs w:val="24"/>
        </w:rPr>
        <w:t>for example employment and migration legislation</w:t>
      </w:r>
      <w:r w:rsidR="001A5C58" w:rsidRPr="009610A8">
        <w:rPr>
          <w:szCs w:val="24"/>
        </w:rPr>
        <w:t>.</w:t>
      </w:r>
      <w:r w:rsidRPr="009610A8">
        <w:rPr>
          <w:szCs w:val="24"/>
        </w:rPr>
        <w:t xml:space="preserve"> </w:t>
      </w:r>
      <w:r w:rsidR="003C79E6" w:rsidRPr="009610A8">
        <w:rPr>
          <w:szCs w:val="24"/>
        </w:rPr>
        <w:t xml:space="preserve">The AQF review, along with other government reviews such as </w:t>
      </w:r>
      <w:r w:rsidR="000E7D44" w:rsidRPr="009610A8">
        <w:rPr>
          <w:szCs w:val="24"/>
        </w:rPr>
        <w:t>t</w:t>
      </w:r>
      <w:r w:rsidR="003C79E6" w:rsidRPr="009610A8">
        <w:rPr>
          <w:szCs w:val="24"/>
        </w:rPr>
        <w:t xml:space="preserve">raining </w:t>
      </w:r>
      <w:r w:rsidR="000E7D44" w:rsidRPr="009610A8">
        <w:rPr>
          <w:szCs w:val="24"/>
        </w:rPr>
        <w:t>p</w:t>
      </w:r>
      <w:r w:rsidR="003C79E6" w:rsidRPr="009610A8">
        <w:rPr>
          <w:szCs w:val="24"/>
        </w:rPr>
        <w:t xml:space="preserve">ackage </w:t>
      </w:r>
      <w:r w:rsidR="000E7D44" w:rsidRPr="009610A8">
        <w:rPr>
          <w:szCs w:val="24"/>
        </w:rPr>
        <w:t>r</w:t>
      </w:r>
      <w:r w:rsidR="003C79E6" w:rsidRPr="009610A8">
        <w:rPr>
          <w:szCs w:val="24"/>
        </w:rPr>
        <w:t>eform, proposed review of the</w:t>
      </w:r>
      <w:r w:rsidR="00F73B71" w:rsidRPr="009610A8">
        <w:rPr>
          <w:szCs w:val="24"/>
        </w:rPr>
        <w:t xml:space="preserve"> </w:t>
      </w:r>
      <w:r w:rsidR="000E7D44" w:rsidRPr="009610A8">
        <w:rPr>
          <w:szCs w:val="24"/>
        </w:rPr>
        <w:t>Australian and New Zealand Standard Classification of Occupations (</w:t>
      </w:r>
      <w:r w:rsidR="003C79E6" w:rsidRPr="009610A8">
        <w:rPr>
          <w:szCs w:val="24"/>
        </w:rPr>
        <w:t>ANZSCO</w:t>
      </w:r>
      <w:r w:rsidR="000E7D44" w:rsidRPr="009610A8">
        <w:rPr>
          <w:szCs w:val="24"/>
        </w:rPr>
        <w:t>)</w:t>
      </w:r>
      <w:r w:rsidR="003C79E6" w:rsidRPr="009610A8">
        <w:rPr>
          <w:szCs w:val="24"/>
        </w:rPr>
        <w:t xml:space="preserve"> database</w:t>
      </w:r>
      <w:r w:rsidR="000E7D44" w:rsidRPr="009610A8">
        <w:rPr>
          <w:szCs w:val="24"/>
        </w:rPr>
        <w:t xml:space="preserve"> and the</w:t>
      </w:r>
      <w:r w:rsidR="003C79E6" w:rsidRPr="009610A8">
        <w:rPr>
          <w:szCs w:val="24"/>
        </w:rPr>
        <w:t xml:space="preserve"> design of a new employment services model for 2020</w:t>
      </w:r>
      <w:r w:rsidR="000E7D44" w:rsidRPr="009610A8">
        <w:rPr>
          <w:szCs w:val="24"/>
        </w:rPr>
        <w:t>,</w:t>
      </w:r>
      <w:r w:rsidR="003C79E6" w:rsidRPr="009610A8">
        <w:rPr>
          <w:szCs w:val="24"/>
        </w:rPr>
        <w:t xml:space="preserve"> will have intersecting implications that need to be considered and planned for. </w:t>
      </w:r>
      <w:r w:rsidR="00751FDA" w:rsidRPr="009610A8">
        <w:rPr>
          <w:szCs w:val="24"/>
        </w:rPr>
        <w:t xml:space="preserve">The AQF’s excellent reputation has led to its use as a </w:t>
      </w:r>
      <w:r w:rsidR="00404962" w:rsidRPr="009610A8">
        <w:rPr>
          <w:szCs w:val="24"/>
        </w:rPr>
        <w:t>model</w:t>
      </w:r>
      <w:r w:rsidR="00286330" w:rsidRPr="009610A8">
        <w:rPr>
          <w:szCs w:val="24"/>
        </w:rPr>
        <w:t xml:space="preserve"> </w:t>
      </w:r>
      <w:r w:rsidR="00751FDA" w:rsidRPr="009610A8">
        <w:rPr>
          <w:szCs w:val="24"/>
        </w:rPr>
        <w:t xml:space="preserve">for other nations when developing their own quality frameworks. </w:t>
      </w:r>
    </w:p>
    <w:p w14:paraId="706218D1" w14:textId="77777777" w:rsidR="000F3842" w:rsidRPr="009610A8" w:rsidRDefault="004D4784" w:rsidP="004D4784">
      <w:pPr>
        <w:pStyle w:val="Heading3"/>
        <w:numPr>
          <w:ilvl w:val="2"/>
          <w:numId w:val="25"/>
        </w:numPr>
        <w:spacing w:before="360"/>
        <w:ind w:left="709" w:hanging="709"/>
        <w:rPr>
          <w:sz w:val="24"/>
        </w:rPr>
      </w:pPr>
      <w:bookmarkStart w:id="34" w:name="_Toc529444171"/>
      <w:bookmarkStart w:id="35" w:name="_Toc529446974"/>
      <w:bookmarkStart w:id="36" w:name="_Toc529456948"/>
      <w:bookmarkStart w:id="37" w:name="_Toc529461680"/>
      <w:bookmarkStart w:id="38" w:name="_Toc529538273"/>
      <w:bookmarkStart w:id="39" w:name="_Toc530471842"/>
      <w:bookmarkEnd w:id="34"/>
      <w:bookmarkEnd w:id="35"/>
      <w:bookmarkEnd w:id="36"/>
      <w:bookmarkEnd w:id="37"/>
      <w:bookmarkEnd w:id="38"/>
      <w:r w:rsidRPr="009610A8">
        <w:rPr>
          <w:sz w:val="24"/>
        </w:rPr>
        <w:t>Enhancing the regulatory frameworks</w:t>
      </w:r>
      <w:bookmarkEnd w:id="39"/>
    </w:p>
    <w:p w14:paraId="7E5EF54B" w14:textId="124C37B6" w:rsidR="00BF2327" w:rsidRPr="009610A8" w:rsidRDefault="00EC5D72" w:rsidP="00CE47E1">
      <w:pPr>
        <w:spacing w:after="120" w:line="240" w:lineRule="auto"/>
        <w:rPr>
          <w:szCs w:val="24"/>
        </w:rPr>
      </w:pPr>
      <w:r w:rsidRPr="009610A8">
        <w:rPr>
          <w:szCs w:val="24"/>
        </w:rPr>
        <w:t>Student recruitment agents play a vital and influential role in supporting Australia’s international education. Nearly 75 per cent of international students</w:t>
      </w:r>
      <w:r w:rsidR="00B869D3" w:rsidRPr="009610A8">
        <w:rPr>
          <w:szCs w:val="24"/>
        </w:rPr>
        <w:t xml:space="preserve"> (470,000 students in 2017</w:t>
      </w:r>
      <w:r w:rsidR="00BF2327" w:rsidRPr="009610A8">
        <w:rPr>
          <w:szCs w:val="24"/>
        </w:rPr>
        <w:t xml:space="preserve">) come to study in Australia through an </w:t>
      </w:r>
      <w:r w:rsidR="00890E08" w:rsidRPr="009610A8">
        <w:rPr>
          <w:szCs w:val="24"/>
        </w:rPr>
        <w:t>e</w:t>
      </w:r>
      <w:r w:rsidR="003461B7" w:rsidRPr="009610A8">
        <w:rPr>
          <w:szCs w:val="24"/>
        </w:rPr>
        <w:t xml:space="preserve">ducation </w:t>
      </w:r>
      <w:r w:rsidR="00890E08" w:rsidRPr="009610A8">
        <w:rPr>
          <w:szCs w:val="24"/>
        </w:rPr>
        <w:t>a</w:t>
      </w:r>
      <w:r w:rsidR="00BF2327" w:rsidRPr="009610A8">
        <w:rPr>
          <w:szCs w:val="24"/>
        </w:rPr>
        <w:t xml:space="preserve">gent. </w:t>
      </w:r>
      <w:r w:rsidR="006A4ED7" w:rsidRPr="009610A8">
        <w:rPr>
          <w:szCs w:val="24"/>
        </w:rPr>
        <w:t xml:space="preserve">Past problems with </w:t>
      </w:r>
      <w:r w:rsidR="00EA32A8" w:rsidRPr="009610A8">
        <w:rPr>
          <w:szCs w:val="24"/>
        </w:rPr>
        <w:t xml:space="preserve">agent </w:t>
      </w:r>
      <w:r w:rsidR="00AB5AE6" w:rsidRPr="009610A8">
        <w:rPr>
          <w:szCs w:val="24"/>
        </w:rPr>
        <w:t xml:space="preserve">conduct </w:t>
      </w:r>
      <w:r w:rsidR="006A4ED7" w:rsidRPr="009610A8">
        <w:rPr>
          <w:szCs w:val="24"/>
        </w:rPr>
        <w:t>ha</w:t>
      </w:r>
      <w:r w:rsidR="00682D51" w:rsidRPr="009610A8">
        <w:rPr>
          <w:szCs w:val="24"/>
        </w:rPr>
        <w:t>ve</w:t>
      </w:r>
      <w:r w:rsidR="006A4ED7" w:rsidRPr="009610A8">
        <w:rPr>
          <w:szCs w:val="24"/>
        </w:rPr>
        <w:t xml:space="preserve"> prompted regulatory strengthening.</w:t>
      </w:r>
    </w:p>
    <w:p w14:paraId="1BF549B1" w14:textId="63E0FB89" w:rsidR="00BF2327" w:rsidRPr="009610A8" w:rsidRDefault="00BF2327" w:rsidP="00CE47E1">
      <w:pPr>
        <w:spacing w:after="120" w:line="240" w:lineRule="auto"/>
        <w:rPr>
          <w:szCs w:val="24"/>
        </w:rPr>
      </w:pPr>
      <w:r w:rsidRPr="009610A8">
        <w:rPr>
          <w:szCs w:val="24"/>
        </w:rPr>
        <w:t>The Australian Government</w:t>
      </w:r>
      <w:r w:rsidR="00286330" w:rsidRPr="009610A8">
        <w:rPr>
          <w:szCs w:val="24"/>
        </w:rPr>
        <w:t xml:space="preserve"> worked with the sector to</w:t>
      </w:r>
      <w:r w:rsidR="00DF1E9B" w:rsidRPr="009610A8">
        <w:rPr>
          <w:szCs w:val="24"/>
        </w:rPr>
        <w:t xml:space="preserve"> develop the Agent Code of Ethics, and revise</w:t>
      </w:r>
      <w:r w:rsidR="00AB5AE6" w:rsidRPr="009610A8">
        <w:rPr>
          <w:szCs w:val="24"/>
        </w:rPr>
        <w:t xml:space="preserve"> the</w:t>
      </w:r>
      <w:r w:rsidR="00DF1E9B" w:rsidRPr="009610A8">
        <w:rPr>
          <w:szCs w:val="24"/>
        </w:rPr>
        <w:t xml:space="preserve"> </w:t>
      </w:r>
      <w:r w:rsidR="009E0000" w:rsidRPr="009610A8">
        <w:rPr>
          <w:i/>
          <w:szCs w:val="24"/>
        </w:rPr>
        <w:t xml:space="preserve">National Code of Practice </w:t>
      </w:r>
      <w:r w:rsidR="00DF1E9B" w:rsidRPr="009610A8">
        <w:rPr>
          <w:i/>
          <w:szCs w:val="24"/>
        </w:rPr>
        <w:t xml:space="preserve">for Providers of Education and Training to Overseas Students </w:t>
      </w:r>
      <w:r w:rsidRPr="009610A8">
        <w:rPr>
          <w:i/>
          <w:szCs w:val="24"/>
        </w:rPr>
        <w:t>201</w:t>
      </w:r>
      <w:r w:rsidR="00DF1E9B" w:rsidRPr="009610A8">
        <w:rPr>
          <w:i/>
          <w:szCs w:val="24"/>
        </w:rPr>
        <w:t>8</w:t>
      </w:r>
      <w:r w:rsidRPr="009610A8">
        <w:rPr>
          <w:szCs w:val="24"/>
        </w:rPr>
        <w:t xml:space="preserve">. These are designed to support the </w:t>
      </w:r>
      <w:r w:rsidR="009E0000" w:rsidRPr="009610A8">
        <w:rPr>
          <w:szCs w:val="24"/>
        </w:rPr>
        <w:t xml:space="preserve">safety and welfare of students, especially those under </w:t>
      </w:r>
      <w:r w:rsidR="00EA32A8" w:rsidRPr="009610A8">
        <w:rPr>
          <w:szCs w:val="24"/>
        </w:rPr>
        <w:t xml:space="preserve">the age of </w:t>
      </w:r>
      <w:r w:rsidR="009E0000" w:rsidRPr="009610A8">
        <w:rPr>
          <w:szCs w:val="24"/>
        </w:rPr>
        <w:t>18</w:t>
      </w:r>
      <w:r w:rsidR="00EA32A8" w:rsidRPr="009610A8">
        <w:rPr>
          <w:szCs w:val="24"/>
        </w:rPr>
        <w:t xml:space="preserve"> years</w:t>
      </w:r>
      <w:r w:rsidR="009E0000" w:rsidRPr="009610A8">
        <w:rPr>
          <w:szCs w:val="24"/>
        </w:rPr>
        <w:t xml:space="preserve">, and </w:t>
      </w:r>
      <w:r w:rsidRPr="009610A8">
        <w:rPr>
          <w:szCs w:val="24"/>
        </w:rPr>
        <w:t xml:space="preserve">provide </w:t>
      </w:r>
      <w:r w:rsidR="009E0000" w:rsidRPr="009610A8">
        <w:rPr>
          <w:szCs w:val="24"/>
        </w:rPr>
        <w:t>transparency in information for prospective students.</w:t>
      </w:r>
      <w:r w:rsidRPr="009610A8">
        <w:rPr>
          <w:szCs w:val="24"/>
        </w:rPr>
        <w:t xml:space="preserve"> </w:t>
      </w:r>
      <w:r w:rsidR="00980EA0" w:rsidRPr="009610A8">
        <w:rPr>
          <w:szCs w:val="24"/>
        </w:rPr>
        <w:t xml:space="preserve">Since </w:t>
      </w:r>
      <w:r w:rsidR="00C922FF" w:rsidRPr="009610A8">
        <w:rPr>
          <w:szCs w:val="24"/>
        </w:rPr>
        <w:t>August </w:t>
      </w:r>
      <w:r w:rsidR="00980EA0" w:rsidRPr="009610A8">
        <w:rPr>
          <w:szCs w:val="24"/>
        </w:rPr>
        <w:t xml:space="preserve">2017, the Australian Government has shared information about education agent performance </w:t>
      </w:r>
      <w:r w:rsidR="00286330" w:rsidRPr="009610A8">
        <w:rPr>
          <w:szCs w:val="24"/>
        </w:rPr>
        <w:t xml:space="preserve">directly </w:t>
      </w:r>
      <w:r w:rsidR="00980EA0" w:rsidRPr="009610A8">
        <w:rPr>
          <w:szCs w:val="24"/>
        </w:rPr>
        <w:t>with education providers</w:t>
      </w:r>
      <w:r w:rsidR="00286330" w:rsidRPr="009610A8">
        <w:rPr>
          <w:szCs w:val="24"/>
        </w:rPr>
        <w:t>,</w:t>
      </w:r>
      <w:r w:rsidR="00980EA0" w:rsidRPr="009610A8">
        <w:rPr>
          <w:szCs w:val="24"/>
        </w:rPr>
        <w:t xml:space="preserve"> and will </w:t>
      </w:r>
      <w:r w:rsidR="00286330" w:rsidRPr="009610A8">
        <w:rPr>
          <w:szCs w:val="24"/>
        </w:rPr>
        <w:t xml:space="preserve">progress to making </w:t>
      </w:r>
      <w:r w:rsidR="00AB5AE6" w:rsidRPr="009610A8">
        <w:rPr>
          <w:szCs w:val="24"/>
        </w:rPr>
        <w:t xml:space="preserve">this information </w:t>
      </w:r>
      <w:r w:rsidR="00980EA0" w:rsidRPr="009610A8">
        <w:rPr>
          <w:szCs w:val="24"/>
        </w:rPr>
        <w:t>public</w:t>
      </w:r>
      <w:r w:rsidR="00AB5AE6" w:rsidRPr="009610A8">
        <w:rPr>
          <w:szCs w:val="24"/>
        </w:rPr>
        <w:t xml:space="preserve"> </w:t>
      </w:r>
      <w:r w:rsidRPr="009610A8">
        <w:rPr>
          <w:szCs w:val="24"/>
        </w:rPr>
        <w:t xml:space="preserve">to </w:t>
      </w:r>
      <w:r w:rsidR="00286330" w:rsidRPr="009610A8">
        <w:rPr>
          <w:szCs w:val="24"/>
        </w:rPr>
        <w:t xml:space="preserve">help </w:t>
      </w:r>
      <w:r w:rsidRPr="009610A8">
        <w:rPr>
          <w:szCs w:val="24"/>
        </w:rPr>
        <w:t>providers and students to work with</w:t>
      </w:r>
      <w:r w:rsidR="00EC5D72" w:rsidRPr="009610A8">
        <w:rPr>
          <w:szCs w:val="24"/>
        </w:rPr>
        <w:t xml:space="preserve"> the</w:t>
      </w:r>
      <w:r w:rsidRPr="009610A8">
        <w:rPr>
          <w:szCs w:val="24"/>
        </w:rPr>
        <w:t xml:space="preserve"> high</w:t>
      </w:r>
      <w:r w:rsidR="00EC5D72" w:rsidRPr="009610A8">
        <w:rPr>
          <w:szCs w:val="24"/>
        </w:rPr>
        <w:t xml:space="preserve">est </w:t>
      </w:r>
      <w:r w:rsidRPr="009610A8">
        <w:rPr>
          <w:szCs w:val="24"/>
        </w:rPr>
        <w:t>performing agents.</w:t>
      </w:r>
    </w:p>
    <w:p w14:paraId="2C18C020" w14:textId="77777777" w:rsidR="000F3842" w:rsidRPr="009610A8" w:rsidRDefault="004D4784" w:rsidP="004D4784">
      <w:pPr>
        <w:pStyle w:val="Heading3"/>
        <w:numPr>
          <w:ilvl w:val="2"/>
          <w:numId w:val="25"/>
        </w:numPr>
        <w:spacing w:before="360"/>
        <w:ind w:left="709" w:hanging="709"/>
        <w:rPr>
          <w:sz w:val="24"/>
        </w:rPr>
      </w:pPr>
      <w:bookmarkStart w:id="40" w:name="_Toc530471843"/>
      <w:r w:rsidRPr="009610A8">
        <w:rPr>
          <w:sz w:val="24"/>
        </w:rPr>
        <w:t xml:space="preserve">Ensuring our </w:t>
      </w:r>
      <w:r w:rsidR="000F3842" w:rsidRPr="009610A8">
        <w:rPr>
          <w:sz w:val="24"/>
        </w:rPr>
        <w:t>ELICOS standards</w:t>
      </w:r>
      <w:r w:rsidRPr="009610A8">
        <w:rPr>
          <w:sz w:val="24"/>
        </w:rPr>
        <w:t xml:space="preserve"> are fit for purpose</w:t>
      </w:r>
      <w:bookmarkEnd w:id="40"/>
    </w:p>
    <w:p w14:paraId="4C8F67A3" w14:textId="693D3A53" w:rsidR="009E0000" w:rsidRPr="009610A8" w:rsidRDefault="00ED2E9A" w:rsidP="00CE47E1">
      <w:pPr>
        <w:spacing w:after="120" w:line="240" w:lineRule="auto"/>
        <w:rPr>
          <w:szCs w:val="24"/>
        </w:rPr>
      </w:pPr>
      <w:r w:rsidRPr="009610A8">
        <w:rPr>
          <w:szCs w:val="24"/>
        </w:rPr>
        <w:t>Australia’s international education sector benefits enormously from the ELICOS sector, which supports international students to make strong personal connections, remove geographical barriers and bridge cultural divides</w:t>
      </w:r>
      <w:r w:rsidR="00F22A4E" w:rsidRPr="009610A8">
        <w:rPr>
          <w:szCs w:val="24"/>
        </w:rPr>
        <w:t xml:space="preserve">. </w:t>
      </w:r>
      <w:r w:rsidRPr="009610A8">
        <w:rPr>
          <w:szCs w:val="24"/>
        </w:rPr>
        <w:t xml:space="preserve">To ensure </w:t>
      </w:r>
      <w:r w:rsidRPr="009610A8">
        <w:rPr>
          <w:i/>
          <w:szCs w:val="24"/>
        </w:rPr>
        <w:t>all</w:t>
      </w:r>
      <w:r w:rsidRPr="009610A8">
        <w:rPr>
          <w:szCs w:val="24"/>
        </w:rPr>
        <w:t xml:space="preserve"> English language instruction delivered to overseas students is governed by the high</w:t>
      </w:r>
      <w:r w:rsidR="00682D51" w:rsidRPr="009610A8">
        <w:rPr>
          <w:szCs w:val="24"/>
        </w:rPr>
        <w:t>-</w:t>
      </w:r>
      <w:r w:rsidRPr="009610A8">
        <w:rPr>
          <w:szCs w:val="24"/>
        </w:rPr>
        <w:t>quality standards that Australia is known for, the Australian Government r</w:t>
      </w:r>
      <w:r w:rsidR="009E0000" w:rsidRPr="009610A8">
        <w:rPr>
          <w:szCs w:val="24"/>
        </w:rPr>
        <w:t>evised ELICOS standards</w:t>
      </w:r>
      <w:r w:rsidR="00980EA0" w:rsidRPr="009610A8">
        <w:rPr>
          <w:szCs w:val="24"/>
        </w:rPr>
        <w:t xml:space="preserve"> in January 2018. </w:t>
      </w:r>
      <w:r w:rsidRPr="009610A8">
        <w:rPr>
          <w:szCs w:val="24"/>
        </w:rPr>
        <w:t>This change</w:t>
      </w:r>
      <w:r w:rsidR="00980EA0" w:rsidRPr="009610A8">
        <w:rPr>
          <w:szCs w:val="24"/>
        </w:rPr>
        <w:t xml:space="preserve"> broadened the definition of an ELICOS course to include all courses or training that are solely or predominately of English language instruction delivered to overseas students.</w:t>
      </w:r>
    </w:p>
    <w:p w14:paraId="3487B427" w14:textId="77777777" w:rsidR="000F3842" w:rsidRPr="009610A8" w:rsidRDefault="004D4784" w:rsidP="004D4784">
      <w:pPr>
        <w:pStyle w:val="Heading3"/>
        <w:numPr>
          <w:ilvl w:val="2"/>
          <w:numId w:val="25"/>
        </w:numPr>
        <w:spacing w:before="360"/>
        <w:ind w:left="709" w:hanging="709"/>
        <w:rPr>
          <w:sz w:val="24"/>
        </w:rPr>
      </w:pPr>
      <w:bookmarkStart w:id="41" w:name="_Toc530471844"/>
      <w:r w:rsidRPr="009610A8">
        <w:rPr>
          <w:sz w:val="24"/>
        </w:rPr>
        <w:t>Reducing the financial burden on providers</w:t>
      </w:r>
      <w:bookmarkEnd w:id="41"/>
    </w:p>
    <w:p w14:paraId="55171123" w14:textId="66B27845" w:rsidR="008D597B" w:rsidRPr="009610A8" w:rsidRDefault="000F3842" w:rsidP="00CE47E1">
      <w:pPr>
        <w:spacing w:after="120" w:line="240" w:lineRule="auto"/>
        <w:rPr>
          <w:szCs w:val="24"/>
          <w:lang w:eastAsia="en-AU"/>
        </w:rPr>
      </w:pPr>
      <w:r w:rsidRPr="009610A8">
        <w:rPr>
          <w:szCs w:val="24"/>
          <w:lang w:eastAsia="en-AU"/>
        </w:rPr>
        <w:t xml:space="preserve">The </w:t>
      </w:r>
      <w:r w:rsidR="00682D51" w:rsidRPr="009610A8">
        <w:rPr>
          <w:szCs w:val="24"/>
          <w:lang w:eastAsia="en-AU"/>
        </w:rPr>
        <w:t>Tuition Protection Scheme (</w:t>
      </w:r>
      <w:r w:rsidRPr="009610A8">
        <w:rPr>
          <w:szCs w:val="24"/>
          <w:lang w:eastAsia="en-AU"/>
        </w:rPr>
        <w:t>TPS</w:t>
      </w:r>
      <w:r w:rsidR="00682D51" w:rsidRPr="009610A8">
        <w:rPr>
          <w:szCs w:val="24"/>
          <w:lang w:eastAsia="en-AU"/>
        </w:rPr>
        <w:t>)</w:t>
      </w:r>
      <w:r w:rsidR="002023DA" w:rsidRPr="009610A8">
        <w:rPr>
          <w:szCs w:val="24"/>
          <w:lang w:eastAsia="en-AU"/>
        </w:rPr>
        <w:t>,</w:t>
      </w:r>
      <w:r w:rsidR="00682D51" w:rsidRPr="009610A8">
        <w:rPr>
          <w:szCs w:val="24"/>
          <w:lang w:eastAsia="en-AU"/>
        </w:rPr>
        <w:t xml:space="preserve"> funded through a levy on international education providers,</w:t>
      </w:r>
      <w:r w:rsidRPr="009610A8">
        <w:rPr>
          <w:szCs w:val="24"/>
          <w:lang w:eastAsia="en-AU"/>
        </w:rPr>
        <w:t xml:space="preserve"> </w:t>
      </w:r>
      <w:r w:rsidR="00980EA0" w:rsidRPr="009610A8">
        <w:rPr>
          <w:szCs w:val="24"/>
          <w:lang w:eastAsia="en-AU"/>
        </w:rPr>
        <w:t>protect</w:t>
      </w:r>
      <w:r w:rsidR="004D4889" w:rsidRPr="009610A8">
        <w:rPr>
          <w:szCs w:val="24"/>
          <w:lang w:eastAsia="en-AU"/>
        </w:rPr>
        <w:t>s</w:t>
      </w:r>
      <w:r w:rsidR="00980EA0" w:rsidRPr="009610A8">
        <w:rPr>
          <w:szCs w:val="24"/>
          <w:lang w:eastAsia="en-AU"/>
        </w:rPr>
        <w:t xml:space="preserve"> </w:t>
      </w:r>
      <w:r w:rsidR="00991AA9" w:rsidRPr="009610A8">
        <w:rPr>
          <w:szCs w:val="24"/>
          <w:lang w:eastAsia="en-AU"/>
        </w:rPr>
        <w:t xml:space="preserve">international </w:t>
      </w:r>
      <w:r w:rsidR="00980EA0" w:rsidRPr="009610A8">
        <w:rPr>
          <w:szCs w:val="24"/>
          <w:lang w:eastAsia="en-AU"/>
        </w:rPr>
        <w:t xml:space="preserve">students if their </w:t>
      </w:r>
      <w:r w:rsidR="004D4889" w:rsidRPr="009610A8">
        <w:rPr>
          <w:szCs w:val="24"/>
          <w:lang w:eastAsia="en-AU"/>
        </w:rPr>
        <w:t xml:space="preserve">education </w:t>
      </w:r>
      <w:r w:rsidR="00980EA0" w:rsidRPr="009610A8">
        <w:rPr>
          <w:szCs w:val="24"/>
          <w:lang w:eastAsia="en-AU"/>
        </w:rPr>
        <w:t>provider is unable to deliver their course</w:t>
      </w:r>
      <w:r w:rsidR="00991AA9" w:rsidRPr="009610A8">
        <w:rPr>
          <w:szCs w:val="24"/>
          <w:lang w:eastAsia="en-AU"/>
        </w:rPr>
        <w:t>.</w:t>
      </w:r>
      <w:r w:rsidR="00432856" w:rsidRPr="009610A8">
        <w:rPr>
          <w:szCs w:val="24"/>
          <w:lang w:eastAsia="en-AU"/>
        </w:rPr>
        <w:t xml:space="preserve"> While the number of provider closures </w:t>
      </w:r>
      <w:r w:rsidR="00682D51" w:rsidRPr="009610A8">
        <w:rPr>
          <w:szCs w:val="24"/>
          <w:lang w:eastAsia="en-AU"/>
        </w:rPr>
        <w:t>is</w:t>
      </w:r>
      <w:r w:rsidR="00432856" w:rsidRPr="009610A8">
        <w:rPr>
          <w:szCs w:val="24"/>
          <w:lang w:eastAsia="en-AU"/>
        </w:rPr>
        <w:t xml:space="preserve"> increasing, sector growth has led to increased income from the levy beyond that needed to support the service. </w:t>
      </w:r>
      <w:r w:rsidR="00980EA0" w:rsidRPr="009610A8">
        <w:rPr>
          <w:szCs w:val="24"/>
          <w:lang w:eastAsia="en-AU"/>
        </w:rPr>
        <w:t>From 2018</w:t>
      </w:r>
      <w:r w:rsidR="00A55B83" w:rsidRPr="009610A8">
        <w:rPr>
          <w:szCs w:val="24"/>
          <w:lang w:eastAsia="en-AU"/>
        </w:rPr>
        <w:t>,</w:t>
      </w:r>
      <w:r w:rsidR="00980EA0" w:rsidRPr="009610A8">
        <w:rPr>
          <w:szCs w:val="24"/>
          <w:lang w:eastAsia="en-AU"/>
        </w:rPr>
        <w:t xml:space="preserve"> </w:t>
      </w:r>
      <w:r w:rsidR="004D4889" w:rsidRPr="009610A8">
        <w:rPr>
          <w:szCs w:val="24"/>
          <w:lang w:eastAsia="en-AU"/>
        </w:rPr>
        <w:t xml:space="preserve">the TPS levy </w:t>
      </w:r>
      <w:r w:rsidR="00980EA0" w:rsidRPr="009610A8">
        <w:rPr>
          <w:szCs w:val="24"/>
          <w:lang w:eastAsia="en-AU"/>
        </w:rPr>
        <w:t>was reduced by 75 per cent</w:t>
      </w:r>
      <w:r w:rsidR="004D4889" w:rsidRPr="009610A8">
        <w:rPr>
          <w:szCs w:val="24"/>
          <w:lang w:eastAsia="en-AU"/>
        </w:rPr>
        <w:t>, reducing the burden on providers while still providing the required protection for students</w:t>
      </w:r>
      <w:r w:rsidR="00980EA0" w:rsidRPr="009610A8">
        <w:rPr>
          <w:szCs w:val="24"/>
          <w:lang w:eastAsia="en-AU"/>
        </w:rPr>
        <w:t>.</w:t>
      </w:r>
      <w:r w:rsidR="00286330" w:rsidRPr="009610A8">
        <w:rPr>
          <w:szCs w:val="24"/>
          <w:lang w:eastAsia="en-AU"/>
        </w:rPr>
        <w:t xml:space="preserve"> The effective operation of the TPS will provide the basis for a similar scheme’s extension to some domestic students. </w:t>
      </w:r>
    </w:p>
    <w:p w14:paraId="70F944CD" w14:textId="77777777" w:rsidR="00147A3D" w:rsidRPr="009610A8" w:rsidRDefault="00AB5AE6">
      <w:pPr>
        <w:pStyle w:val="Heading2"/>
        <w:numPr>
          <w:ilvl w:val="1"/>
          <w:numId w:val="25"/>
        </w:numPr>
        <w:spacing w:before="360"/>
        <w:ind w:left="709" w:hanging="709"/>
        <w:rPr>
          <w:sz w:val="28"/>
        </w:rPr>
      </w:pPr>
      <w:bookmarkStart w:id="42" w:name="_Toc529431902"/>
      <w:bookmarkStart w:id="43" w:name="_Toc529444173"/>
      <w:bookmarkStart w:id="44" w:name="_Toc529446976"/>
      <w:bookmarkStart w:id="45" w:name="_Toc529456950"/>
      <w:bookmarkStart w:id="46" w:name="_Toc529461682"/>
      <w:bookmarkStart w:id="47" w:name="_Toc529538275"/>
      <w:bookmarkStart w:id="48" w:name="_Toc530471845"/>
      <w:bookmarkEnd w:id="42"/>
      <w:bookmarkEnd w:id="43"/>
      <w:bookmarkEnd w:id="44"/>
      <w:bookmarkEnd w:id="45"/>
      <w:bookmarkEnd w:id="46"/>
      <w:bookmarkEnd w:id="47"/>
      <w:r w:rsidRPr="009610A8">
        <w:rPr>
          <w:sz w:val="28"/>
        </w:rPr>
        <w:t xml:space="preserve">Pillar 2 - </w:t>
      </w:r>
      <w:r w:rsidR="00EA37B6" w:rsidRPr="009610A8">
        <w:rPr>
          <w:sz w:val="28"/>
        </w:rPr>
        <w:t>Making transformative partnerships</w:t>
      </w:r>
      <w:bookmarkEnd w:id="48"/>
    </w:p>
    <w:p w14:paraId="25D16B8E" w14:textId="08C1E360" w:rsidR="00201556" w:rsidRPr="009610A8" w:rsidRDefault="00387DAB" w:rsidP="004D4784">
      <w:pPr>
        <w:keepNext/>
        <w:keepLines/>
        <w:spacing w:after="120" w:line="240" w:lineRule="auto"/>
        <w:rPr>
          <w:szCs w:val="24"/>
        </w:rPr>
      </w:pPr>
      <w:r w:rsidRPr="009610A8">
        <w:rPr>
          <w:szCs w:val="24"/>
        </w:rPr>
        <w:t xml:space="preserve">Collaborations and partnerships form the cornerstone of Australia’s international education industry. Whether between businesses, education providers, students, alumni, and governments </w:t>
      </w:r>
      <w:r w:rsidR="00201556" w:rsidRPr="009610A8">
        <w:rPr>
          <w:szCs w:val="24"/>
        </w:rPr>
        <w:t>(</w:t>
      </w:r>
      <w:r w:rsidRPr="009610A8">
        <w:rPr>
          <w:szCs w:val="24"/>
        </w:rPr>
        <w:t>both domestic and internationally</w:t>
      </w:r>
      <w:r w:rsidR="00201556" w:rsidRPr="009610A8">
        <w:rPr>
          <w:szCs w:val="24"/>
        </w:rPr>
        <w:t>)</w:t>
      </w:r>
      <w:r w:rsidRPr="009610A8">
        <w:rPr>
          <w:szCs w:val="24"/>
        </w:rPr>
        <w:t>, connections play an important role in increasing the number of students</w:t>
      </w:r>
      <w:r w:rsidR="002023DA" w:rsidRPr="009610A8">
        <w:rPr>
          <w:szCs w:val="24"/>
        </w:rPr>
        <w:t xml:space="preserve"> accessing</w:t>
      </w:r>
      <w:r w:rsidRPr="009610A8">
        <w:rPr>
          <w:szCs w:val="24"/>
        </w:rPr>
        <w:t xml:space="preserve"> our education offerings, and helps build Australia’s soft power </w:t>
      </w:r>
      <w:r w:rsidR="000C6C4F" w:rsidRPr="009610A8">
        <w:rPr>
          <w:szCs w:val="24"/>
        </w:rPr>
        <w:t>internationally</w:t>
      </w:r>
      <w:r w:rsidRPr="009610A8">
        <w:rPr>
          <w:szCs w:val="24"/>
        </w:rPr>
        <w:t xml:space="preserve">. </w:t>
      </w:r>
    </w:p>
    <w:p w14:paraId="6E17DC75" w14:textId="33701ADA" w:rsidR="0058793E" w:rsidRPr="009610A8" w:rsidRDefault="0058793E" w:rsidP="00AA46EF">
      <w:pPr>
        <w:spacing w:after="120" w:line="240" w:lineRule="auto"/>
        <w:rPr>
          <w:szCs w:val="24"/>
        </w:rPr>
      </w:pPr>
      <w:r w:rsidRPr="009610A8">
        <w:rPr>
          <w:szCs w:val="24"/>
        </w:rPr>
        <w:t>The Council</w:t>
      </w:r>
      <w:r w:rsidR="002023DA" w:rsidRPr="009610A8">
        <w:rPr>
          <w:szCs w:val="24"/>
        </w:rPr>
        <w:t xml:space="preserve"> has </w:t>
      </w:r>
      <w:r w:rsidRPr="009610A8">
        <w:rPr>
          <w:szCs w:val="24"/>
        </w:rPr>
        <w:t>progressed several areas of work in this area, including:</w:t>
      </w:r>
    </w:p>
    <w:p w14:paraId="24716559" w14:textId="77777777" w:rsidR="0058793E" w:rsidRPr="009610A8" w:rsidRDefault="0058793E" w:rsidP="00AA46EF">
      <w:pPr>
        <w:pStyle w:val="ListParagraph"/>
        <w:numPr>
          <w:ilvl w:val="0"/>
          <w:numId w:val="7"/>
        </w:numPr>
        <w:spacing w:after="120" w:line="240" w:lineRule="auto"/>
        <w:rPr>
          <w:szCs w:val="24"/>
        </w:rPr>
      </w:pPr>
      <w:r w:rsidRPr="009610A8">
        <w:rPr>
          <w:szCs w:val="24"/>
        </w:rPr>
        <w:t>e</w:t>
      </w:r>
      <w:r w:rsidR="00201556" w:rsidRPr="009610A8">
        <w:rPr>
          <w:szCs w:val="24"/>
        </w:rPr>
        <w:t>nsuring Australians understand and appreciate the benefits of international</w:t>
      </w:r>
      <w:r w:rsidRPr="009610A8">
        <w:rPr>
          <w:szCs w:val="24"/>
        </w:rPr>
        <w:t xml:space="preserve"> education,</w:t>
      </w:r>
    </w:p>
    <w:p w14:paraId="2D49D017" w14:textId="77777777" w:rsidR="0058793E" w:rsidRPr="009610A8" w:rsidRDefault="0058793E" w:rsidP="00AA46EF">
      <w:pPr>
        <w:pStyle w:val="ListParagraph"/>
        <w:numPr>
          <w:ilvl w:val="0"/>
          <w:numId w:val="7"/>
        </w:numPr>
        <w:spacing w:after="120" w:line="240" w:lineRule="auto"/>
        <w:rPr>
          <w:szCs w:val="24"/>
        </w:rPr>
      </w:pPr>
      <w:r w:rsidRPr="009610A8">
        <w:rPr>
          <w:szCs w:val="24"/>
        </w:rPr>
        <w:lastRenderedPageBreak/>
        <w:t>m</w:t>
      </w:r>
      <w:r w:rsidR="00201556" w:rsidRPr="009610A8">
        <w:rPr>
          <w:szCs w:val="24"/>
        </w:rPr>
        <w:t>aintaining our reputation as a welcoming, friendly and open society</w:t>
      </w:r>
      <w:r w:rsidRPr="009610A8">
        <w:rPr>
          <w:szCs w:val="24"/>
        </w:rPr>
        <w:t xml:space="preserve">, </w:t>
      </w:r>
      <w:r w:rsidR="00201556" w:rsidRPr="009610A8">
        <w:rPr>
          <w:szCs w:val="24"/>
        </w:rPr>
        <w:t xml:space="preserve"> </w:t>
      </w:r>
    </w:p>
    <w:p w14:paraId="03C0C426" w14:textId="77777777" w:rsidR="0058793E" w:rsidRPr="009610A8" w:rsidRDefault="0058793E" w:rsidP="00AA46EF">
      <w:pPr>
        <w:pStyle w:val="ListParagraph"/>
        <w:numPr>
          <w:ilvl w:val="0"/>
          <w:numId w:val="7"/>
        </w:numPr>
        <w:spacing w:after="120" w:line="240" w:lineRule="auto"/>
        <w:rPr>
          <w:szCs w:val="24"/>
        </w:rPr>
      </w:pPr>
      <w:r w:rsidRPr="009610A8">
        <w:rPr>
          <w:szCs w:val="24"/>
        </w:rPr>
        <w:t xml:space="preserve">encouraging the development of a well-aligned international education environment through multilateral agreements, </w:t>
      </w:r>
    </w:p>
    <w:p w14:paraId="1531855A" w14:textId="77777777" w:rsidR="0058793E" w:rsidRPr="009610A8" w:rsidRDefault="0058793E" w:rsidP="00AA46EF">
      <w:pPr>
        <w:pStyle w:val="ListParagraph"/>
        <w:numPr>
          <w:ilvl w:val="0"/>
          <w:numId w:val="7"/>
        </w:numPr>
        <w:spacing w:after="120" w:line="240" w:lineRule="auto"/>
        <w:rPr>
          <w:szCs w:val="24"/>
        </w:rPr>
      </w:pPr>
      <w:r w:rsidRPr="009610A8">
        <w:rPr>
          <w:szCs w:val="24"/>
        </w:rPr>
        <w:t xml:space="preserve">increasing engagement with Latin America, </w:t>
      </w:r>
    </w:p>
    <w:p w14:paraId="27D5933B" w14:textId="77777777" w:rsidR="0058793E" w:rsidRPr="009610A8" w:rsidRDefault="0058793E" w:rsidP="00AA46EF">
      <w:pPr>
        <w:pStyle w:val="ListParagraph"/>
        <w:numPr>
          <w:ilvl w:val="0"/>
          <w:numId w:val="7"/>
        </w:numPr>
        <w:spacing w:after="120" w:line="240" w:lineRule="auto"/>
        <w:rPr>
          <w:szCs w:val="24"/>
        </w:rPr>
      </w:pPr>
      <w:r w:rsidRPr="009610A8">
        <w:rPr>
          <w:szCs w:val="24"/>
        </w:rPr>
        <w:t>development of FTAs,</w:t>
      </w:r>
    </w:p>
    <w:p w14:paraId="477E077D" w14:textId="77777777" w:rsidR="0058793E" w:rsidRPr="009610A8" w:rsidRDefault="0058793E" w:rsidP="00AA46EF">
      <w:pPr>
        <w:pStyle w:val="ListParagraph"/>
        <w:numPr>
          <w:ilvl w:val="0"/>
          <w:numId w:val="7"/>
        </w:numPr>
        <w:spacing w:after="120" w:line="240" w:lineRule="auto"/>
        <w:rPr>
          <w:szCs w:val="24"/>
        </w:rPr>
      </w:pPr>
      <w:r w:rsidRPr="009610A8">
        <w:rPr>
          <w:szCs w:val="24"/>
        </w:rPr>
        <w:t xml:space="preserve">encouraging a deep understanding of the Indo-Pacific region by supporting Australian students to live, study and undertake internships in the region, and </w:t>
      </w:r>
    </w:p>
    <w:p w14:paraId="48F22412" w14:textId="77777777" w:rsidR="00F67701" w:rsidRPr="009610A8" w:rsidRDefault="0058793E" w:rsidP="00AA46EF">
      <w:pPr>
        <w:pStyle w:val="ListParagraph"/>
        <w:numPr>
          <w:ilvl w:val="0"/>
          <w:numId w:val="7"/>
        </w:numPr>
        <w:spacing w:after="120" w:line="240" w:lineRule="auto"/>
        <w:rPr>
          <w:szCs w:val="24"/>
        </w:rPr>
      </w:pPr>
      <w:r w:rsidRPr="009610A8">
        <w:rPr>
          <w:szCs w:val="24"/>
        </w:rPr>
        <w:t xml:space="preserve">celebrating our global alumni.  </w:t>
      </w:r>
    </w:p>
    <w:p w14:paraId="0C5EA254" w14:textId="77777777" w:rsidR="000F3842" w:rsidRPr="009610A8" w:rsidRDefault="004D4784" w:rsidP="004D4784">
      <w:pPr>
        <w:pStyle w:val="Heading3"/>
        <w:numPr>
          <w:ilvl w:val="2"/>
          <w:numId w:val="25"/>
        </w:numPr>
        <w:spacing w:before="360"/>
        <w:ind w:left="709" w:hanging="709"/>
        <w:rPr>
          <w:sz w:val="24"/>
        </w:rPr>
      </w:pPr>
      <w:bookmarkStart w:id="49" w:name="_Toc530471846"/>
      <w:r w:rsidRPr="009610A8">
        <w:rPr>
          <w:sz w:val="24"/>
        </w:rPr>
        <w:t>Fostering c</w:t>
      </w:r>
      <w:r w:rsidR="000F3842" w:rsidRPr="009610A8">
        <w:rPr>
          <w:sz w:val="24"/>
        </w:rPr>
        <w:t>ommunity and employer engagement</w:t>
      </w:r>
      <w:bookmarkEnd w:id="49"/>
    </w:p>
    <w:p w14:paraId="2586378D" w14:textId="62E2C541" w:rsidR="000B1EEB" w:rsidRPr="009610A8" w:rsidRDefault="000B1EEB" w:rsidP="00CE47E1">
      <w:pPr>
        <w:spacing w:after="120" w:line="240" w:lineRule="auto"/>
        <w:rPr>
          <w:szCs w:val="24"/>
        </w:rPr>
      </w:pPr>
      <w:r w:rsidRPr="009610A8">
        <w:rPr>
          <w:szCs w:val="24"/>
        </w:rPr>
        <w:t>Partnership</w:t>
      </w:r>
      <w:r w:rsidR="00DD41EE" w:rsidRPr="009610A8">
        <w:rPr>
          <w:szCs w:val="24"/>
        </w:rPr>
        <w:t>s</w:t>
      </w:r>
      <w:r w:rsidRPr="009610A8">
        <w:rPr>
          <w:szCs w:val="24"/>
        </w:rPr>
        <w:t xml:space="preserve"> </w:t>
      </w:r>
      <w:r w:rsidR="003868E4" w:rsidRPr="009610A8">
        <w:rPr>
          <w:szCs w:val="24"/>
        </w:rPr>
        <w:t xml:space="preserve">between the international education sector and </w:t>
      </w:r>
      <w:r w:rsidRPr="009610A8">
        <w:rPr>
          <w:szCs w:val="24"/>
        </w:rPr>
        <w:t xml:space="preserve">the Australian community </w:t>
      </w:r>
      <w:r w:rsidR="003868E4" w:rsidRPr="009610A8">
        <w:rPr>
          <w:szCs w:val="24"/>
        </w:rPr>
        <w:t xml:space="preserve">will help to </w:t>
      </w:r>
      <w:r w:rsidRPr="009610A8">
        <w:rPr>
          <w:szCs w:val="24"/>
        </w:rPr>
        <w:t xml:space="preserve">ensure that </w:t>
      </w:r>
      <w:r w:rsidR="003868E4" w:rsidRPr="009610A8">
        <w:rPr>
          <w:szCs w:val="24"/>
        </w:rPr>
        <w:t xml:space="preserve">the </w:t>
      </w:r>
      <w:r w:rsidRPr="009610A8">
        <w:rPr>
          <w:szCs w:val="24"/>
        </w:rPr>
        <w:t xml:space="preserve">benefits </w:t>
      </w:r>
      <w:r w:rsidR="003868E4" w:rsidRPr="009610A8">
        <w:rPr>
          <w:szCs w:val="24"/>
        </w:rPr>
        <w:t xml:space="preserve">of </w:t>
      </w:r>
      <w:r w:rsidR="009074E5" w:rsidRPr="009610A8">
        <w:rPr>
          <w:szCs w:val="24"/>
        </w:rPr>
        <w:t>international education</w:t>
      </w:r>
      <w:r w:rsidR="003868E4" w:rsidRPr="009610A8">
        <w:rPr>
          <w:szCs w:val="24"/>
        </w:rPr>
        <w:t xml:space="preserve"> </w:t>
      </w:r>
      <w:r w:rsidRPr="009610A8">
        <w:rPr>
          <w:szCs w:val="24"/>
        </w:rPr>
        <w:t xml:space="preserve">are shared, and that </w:t>
      </w:r>
      <w:r w:rsidR="003868E4" w:rsidRPr="009610A8">
        <w:rPr>
          <w:szCs w:val="24"/>
        </w:rPr>
        <w:t xml:space="preserve">international </w:t>
      </w:r>
      <w:r w:rsidRPr="009610A8">
        <w:rPr>
          <w:szCs w:val="24"/>
        </w:rPr>
        <w:t xml:space="preserve">students </w:t>
      </w:r>
      <w:r w:rsidR="003868E4" w:rsidRPr="009610A8">
        <w:rPr>
          <w:szCs w:val="24"/>
        </w:rPr>
        <w:t xml:space="preserve">have </w:t>
      </w:r>
      <w:r w:rsidRPr="009610A8">
        <w:rPr>
          <w:szCs w:val="24"/>
        </w:rPr>
        <w:t>the best possib</w:t>
      </w:r>
      <w:r w:rsidR="00DD41EE" w:rsidRPr="009610A8">
        <w:rPr>
          <w:szCs w:val="24"/>
        </w:rPr>
        <w:t xml:space="preserve">le experience </w:t>
      </w:r>
      <w:r w:rsidRPr="009610A8">
        <w:rPr>
          <w:szCs w:val="24"/>
        </w:rPr>
        <w:t xml:space="preserve">in Australia. </w:t>
      </w:r>
      <w:r w:rsidR="007A3DBF" w:rsidRPr="009610A8">
        <w:rPr>
          <w:szCs w:val="24"/>
        </w:rPr>
        <w:t xml:space="preserve">Funded by EGI, </w:t>
      </w:r>
      <w:r w:rsidR="00541D38" w:rsidRPr="009610A8">
        <w:rPr>
          <w:szCs w:val="24"/>
        </w:rPr>
        <w:t>IEAA</w:t>
      </w:r>
      <w:r w:rsidRPr="009610A8">
        <w:rPr>
          <w:szCs w:val="24"/>
        </w:rPr>
        <w:t xml:space="preserve"> has developed an industry and community engagement toolkit</w:t>
      </w:r>
      <w:r w:rsidR="003868E4" w:rsidRPr="009610A8">
        <w:rPr>
          <w:szCs w:val="24"/>
        </w:rPr>
        <w:t>,</w:t>
      </w:r>
      <w:r w:rsidRPr="009610A8">
        <w:rPr>
          <w:szCs w:val="24"/>
        </w:rPr>
        <w:t xml:space="preserve"> providing information about the benefits international students and their families bring to communities and employers. </w:t>
      </w:r>
      <w:r w:rsidR="00DD41EE" w:rsidRPr="009610A8">
        <w:rPr>
          <w:szCs w:val="24"/>
        </w:rPr>
        <w:t>This initiative will support industry champions to create meaningful engagement between students, prospective employers</w:t>
      </w:r>
      <w:r w:rsidR="00201556" w:rsidRPr="009610A8">
        <w:rPr>
          <w:szCs w:val="24"/>
        </w:rPr>
        <w:t>,</w:t>
      </w:r>
      <w:r w:rsidR="00DD41EE" w:rsidRPr="009610A8">
        <w:rPr>
          <w:szCs w:val="24"/>
        </w:rPr>
        <w:t xml:space="preserve"> and communities.</w:t>
      </w:r>
      <w:r w:rsidR="00751FDA" w:rsidRPr="009610A8">
        <w:rPr>
          <w:szCs w:val="24"/>
        </w:rPr>
        <w:t xml:space="preserve"> IEAA will publish the community engagement toolkit in early 2019. </w:t>
      </w:r>
    </w:p>
    <w:p w14:paraId="290DD731" w14:textId="77777777" w:rsidR="003C79E6" w:rsidRPr="009610A8" w:rsidRDefault="004D4784" w:rsidP="003C79E6">
      <w:pPr>
        <w:pStyle w:val="Heading3"/>
        <w:numPr>
          <w:ilvl w:val="2"/>
          <w:numId w:val="25"/>
        </w:numPr>
        <w:spacing w:before="360"/>
        <w:ind w:left="709" w:hanging="709"/>
        <w:rPr>
          <w:sz w:val="24"/>
        </w:rPr>
      </w:pPr>
      <w:bookmarkStart w:id="50" w:name="_Toc530471847"/>
      <w:r w:rsidRPr="009610A8">
        <w:rPr>
          <w:sz w:val="24"/>
        </w:rPr>
        <w:t xml:space="preserve">Developing new partnerships in </w:t>
      </w:r>
      <w:r w:rsidR="003C79E6" w:rsidRPr="009610A8">
        <w:rPr>
          <w:sz w:val="24"/>
        </w:rPr>
        <w:t>Latin America</w:t>
      </w:r>
      <w:bookmarkEnd w:id="50"/>
    </w:p>
    <w:p w14:paraId="13054AC5" w14:textId="77777777" w:rsidR="006A6E79" w:rsidRPr="009610A8" w:rsidRDefault="000A5B00" w:rsidP="006A6E79">
      <w:pPr>
        <w:spacing w:after="120" w:line="240" w:lineRule="auto"/>
        <w:rPr>
          <w:szCs w:val="24"/>
        </w:rPr>
      </w:pPr>
      <w:r w:rsidRPr="009610A8">
        <w:rPr>
          <w:szCs w:val="24"/>
        </w:rPr>
        <w:t>The Council’s Expert Members established a Latin American Working Group to report on opportunities to enhance Australia’s competitive positioning in the region and overcome barriers to education, training and research engagement. This is the first time Expert Members selected a geographic region for intensive focus. To date, Australia’s engagement with the region has been heavily weighted towards onshore ELICOS and VET delivery, with Australia’s approach to cooperation seen by many Latin American partners as short-term and commercially driven.</w:t>
      </w:r>
    </w:p>
    <w:p w14:paraId="4D12247C" w14:textId="491EA1EB" w:rsidR="000A5B00" w:rsidRPr="009610A8" w:rsidRDefault="000A5B00" w:rsidP="000A5B00">
      <w:pPr>
        <w:spacing w:after="120" w:line="240" w:lineRule="auto"/>
        <w:rPr>
          <w:szCs w:val="24"/>
        </w:rPr>
      </w:pPr>
      <w:r w:rsidRPr="009610A8">
        <w:rPr>
          <w:szCs w:val="24"/>
        </w:rPr>
        <w:t xml:space="preserve">The Latin America Working Group led an extensive consultation process to inform its sector-driven report, which was delivered to the Council in late 2018. The recommendations outline how government, the sector and industry can work together to increase education engagement with the region by building knowledge of Latin American </w:t>
      </w:r>
      <w:r w:rsidR="003F56FC" w:rsidRPr="009610A8">
        <w:rPr>
          <w:szCs w:val="24"/>
        </w:rPr>
        <w:t>partners</w:t>
      </w:r>
      <w:r w:rsidRPr="009610A8">
        <w:rPr>
          <w:szCs w:val="24"/>
        </w:rPr>
        <w:t xml:space="preserve">; delivering appropriate products; improving market access; and promoting Australia in a more targeted and coordinated way. </w:t>
      </w:r>
      <w:r w:rsidR="003E0EC1" w:rsidRPr="009610A8">
        <w:rPr>
          <w:szCs w:val="24"/>
        </w:rPr>
        <w:t xml:space="preserve">The development of a market action plan for Mexico could be a model for engagement with other countries in the region. </w:t>
      </w:r>
    </w:p>
    <w:p w14:paraId="4C0E765F" w14:textId="77777777" w:rsidR="003C79E6" w:rsidRPr="009610A8" w:rsidRDefault="003C79E6" w:rsidP="003C79E6">
      <w:pPr>
        <w:spacing w:after="120" w:line="240" w:lineRule="auto"/>
        <w:rPr>
          <w:szCs w:val="24"/>
        </w:rPr>
      </w:pPr>
      <w:r w:rsidRPr="009610A8">
        <w:rPr>
          <w:szCs w:val="24"/>
        </w:rPr>
        <w:t>The negotiation of a FTA with the Pacific Alliance (Mexico, Colombia, Peru, and Chile) has been complemented by the installation of a new Counsellor (Education and Research) for the Pacific Alliance in early 2018. Based in Mexico City, the new position further strengthens Australia’s engagement with this economic bloc, a</w:t>
      </w:r>
      <w:r w:rsidRPr="009610A8">
        <w:rPr>
          <w:rFonts w:cstheme="minorHAnsi"/>
          <w:szCs w:val="24"/>
        </w:rPr>
        <w:t xml:space="preserve">longside the existing Counsellor position based in Brasilia. Australia’s dedicated education representation in the region focuses on forging and maintaining </w:t>
      </w:r>
      <w:r w:rsidRPr="009610A8">
        <w:rPr>
          <w:szCs w:val="24"/>
        </w:rPr>
        <w:t xml:space="preserve">government-to-government relationships, supporting policy development and capacity-building, and expanding education, research and training engagement with Latin America. Expert Members met with the newly appointed Education Counsellors for Brasilia and Mexico City in February 2018, immediately prior to their deployment. </w:t>
      </w:r>
    </w:p>
    <w:p w14:paraId="61E005BB" w14:textId="77777777" w:rsidR="003C79E6" w:rsidRPr="009610A8" w:rsidRDefault="004D4784" w:rsidP="003C79E6">
      <w:pPr>
        <w:pStyle w:val="Heading3"/>
        <w:numPr>
          <w:ilvl w:val="2"/>
          <w:numId w:val="25"/>
        </w:numPr>
        <w:spacing w:before="360"/>
        <w:ind w:left="709" w:hanging="709"/>
        <w:rPr>
          <w:sz w:val="24"/>
        </w:rPr>
      </w:pPr>
      <w:bookmarkStart w:id="51" w:name="_Toc530471848"/>
      <w:r w:rsidRPr="009610A8">
        <w:rPr>
          <w:sz w:val="24"/>
        </w:rPr>
        <w:t>Building on the</w:t>
      </w:r>
      <w:r w:rsidR="003C79E6" w:rsidRPr="009610A8">
        <w:rPr>
          <w:sz w:val="24"/>
        </w:rPr>
        <w:t xml:space="preserve"> Indian Economic Strategy</w:t>
      </w:r>
      <w:bookmarkEnd w:id="51"/>
    </w:p>
    <w:p w14:paraId="6A48D45C" w14:textId="1B3F4C01" w:rsidR="003C79E6" w:rsidRPr="009610A8" w:rsidRDefault="003C79E6" w:rsidP="003C79E6">
      <w:pPr>
        <w:spacing w:after="120" w:line="240" w:lineRule="auto"/>
        <w:rPr>
          <w:szCs w:val="24"/>
        </w:rPr>
      </w:pPr>
      <w:r w:rsidRPr="009610A8">
        <w:rPr>
          <w:szCs w:val="24"/>
        </w:rPr>
        <w:t xml:space="preserve">There are significant growth opportunities </w:t>
      </w:r>
      <w:r w:rsidR="001F6F17">
        <w:rPr>
          <w:szCs w:val="24"/>
        </w:rPr>
        <w:t>for</w:t>
      </w:r>
      <w:r w:rsidRPr="009610A8">
        <w:rPr>
          <w:szCs w:val="24"/>
        </w:rPr>
        <w:t xml:space="preserve"> Australian business over the next 20 years in India. Mr Peter Varghese AO’s independent report to Government, </w:t>
      </w:r>
      <w:r w:rsidR="00502395" w:rsidRPr="009610A8">
        <w:rPr>
          <w:szCs w:val="24"/>
        </w:rPr>
        <w:t xml:space="preserve">released July 2018, </w:t>
      </w:r>
      <w:r w:rsidRPr="009610A8">
        <w:rPr>
          <w:i/>
          <w:szCs w:val="24"/>
        </w:rPr>
        <w:t>An</w:t>
      </w:r>
      <w:r w:rsidRPr="009610A8">
        <w:rPr>
          <w:szCs w:val="24"/>
        </w:rPr>
        <w:t xml:space="preserve"> </w:t>
      </w:r>
      <w:r w:rsidRPr="009610A8">
        <w:rPr>
          <w:i/>
          <w:szCs w:val="24"/>
        </w:rPr>
        <w:t xml:space="preserve">India Economic Strategy to 2035, Navigating from Potential to Delivery </w:t>
      </w:r>
      <w:r w:rsidRPr="009610A8">
        <w:rPr>
          <w:szCs w:val="24"/>
        </w:rPr>
        <w:t>(the India Economic Strategy</w:t>
      </w:r>
      <w:r w:rsidR="00502395" w:rsidRPr="009610A8">
        <w:rPr>
          <w:szCs w:val="24"/>
        </w:rPr>
        <w:t>)</w:t>
      </w:r>
      <w:r w:rsidRPr="009610A8">
        <w:rPr>
          <w:szCs w:val="24"/>
        </w:rPr>
        <w:t xml:space="preserve">, maps a pathway to build bilateral economic engagement out to 2035. It highlights education as the flagship sector. Expert Members received an update </w:t>
      </w:r>
      <w:r w:rsidR="00DA4BD2">
        <w:rPr>
          <w:szCs w:val="24"/>
        </w:rPr>
        <w:t>from</w:t>
      </w:r>
      <w:r w:rsidRPr="009610A8">
        <w:rPr>
          <w:szCs w:val="24"/>
        </w:rPr>
        <w:t xml:space="preserve"> Mr Varghese on the development of the India Economic Strategy in February 2018, and discussed opportunities for bilateral and multilateral engagement between India and Australia, and ways to strengthen </w:t>
      </w:r>
      <w:r w:rsidRPr="009610A8">
        <w:rPr>
          <w:szCs w:val="24"/>
        </w:rPr>
        <w:lastRenderedPageBreak/>
        <w:t>links between the two countries.</w:t>
      </w:r>
      <w:r w:rsidR="00751FDA" w:rsidRPr="009610A8">
        <w:rPr>
          <w:szCs w:val="24"/>
        </w:rPr>
        <w:t xml:space="preserve"> </w:t>
      </w:r>
      <w:r w:rsidR="003E0EC1" w:rsidRPr="009610A8">
        <w:rPr>
          <w:szCs w:val="24"/>
        </w:rPr>
        <w:t xml:space="preserve">Education roundtables were held across Australia in September to engage the sector on the India Economic Strategy. </w:t>
      </w:r>
      <w:r w:rsidR="00751FDA" w:rsidRPr="009610A8">
        <w:rPr>
          <w:szCs w:val="24"/>
        </w:rPr>
        <w:t xml:space="preserve">A sector-led reference group </w:t>
      </w:r>
      <w:r w:rsidR="00286330" w:rsidRPr="009610A8">
        <w:rPr>
          <w:szCs w:val="24"/>
        </w:rPr>
        <w:t>is taking</w:t>
      </w:r>
      <w:r w:rsidR="00751FDA" w:rsidRPr="009610A8">
        <w:rPr>
          <w:szCs w:val="24"/>
        </w:rPr>
        <w:t xml:space="preserve"> this engagement forward in 2019. </w:t>
      </w:r>
    </w:p>
    <w:p w14:paraId="65162F25" w14:textId="77777777" w:rsidR="00EE644E" w:rsidRPr="009610A8" w:rsidRDefault="00EE644E" w:rsidP="00EE644E">
      <w:pPr>
        <w:pStyle w:val="Heading3"/>
        <w:numPr>
          <w:ilvl w:val="2"/>
          <w:numId w:val="25"/>
        </w:numPr>
        <w:spacing w:before="360"/>
        <w:ind w:left="709" w:hanging="709"/>
        <w:rPr>
          <w:sz w:val="24"/>
        </w:rPr>
      </w:pPr>
      <w:bookmarkStart w:id="52" w:name="_Toc530471849"/>
      <w:r w:rsidRPr="009610A8">
        <w:rPr>
          <w:sz w:val="24"/>
        </w:rPr>
        <w:t>Supporting student mobility</w:t>
      </w:r>
      <w:bookmarkEnd w:id="52"/>
    </w:p>
    <w:p w14:paraId="1F1B7882" w14:textId="77777777" w:rsidR="00EE644E" w:rsidRPr="009610A8" w:rsidRDefault="00EE644E" w:rsidP="00EE644E">
      <w:pPr>
        <w:spacing w:after="120" w:line="240" w:lineRule="auto"/>
        <w:rPr>
          <w:rFonts w:cstheme="minorHAnsi"/>
          <w:szCs w:val="24"/>
        </w:rPr>
      </w:pPr>
      <w:r w:rsidRPr="009610A8">
        <w:rPr>
          <w:szCs w:val="24"/>
        </w:rPr>
        <w:t xml:space="preserve">A single, streamlined Endeavour Leadership Program has been created to support two-way mobility </w:t>
      </w:r>
      <w:r w:rsidRPr="009610A8">
        <w:rPr>
          <w:rFonts w:cstheme="minorHAnsi"/>
          <w:szCs w:val="24"/>
        </w:rPr>
        <w:t xml:space="preserve">for short and long-term study, research and professional development opportunities across the following categories: </w:t>
      </w:r>
    </w:p>
    <w:p w14:paraId="7BEAD370" w14:textId="77777777" w:rsidR="00EE644E" w:rsidRPr="009610A8" w:rsidRDefault="00EE644E" w:rsidP="00EE644E">
      <w:pPr>
        <w:pStyle w:val="ListParagraph"/>
        <w:numPr>
          <w:ilvl w:val="0"/>
          <w:numId w:val="7"/>
        </w:numPr>
        <w:spacing w:after="120" w:line="240" w:lineRule="auto"/>
        <w:rPr>
          <w:szCs w:val="24"/>
        </w:rPr>
      </w:pPr>
      <w:r w:rsidRPr="009610A8">
        <w:rPr>
          <w:szCs w:val="24"/>
        </w:rPr>
        <w:t xml:space="preserve">Australia-ASEAN Leadership </w:t>
      </w:r>
    </w:p>
    <w:p w14:paraId="7ABE6313" w14:textId="77777777" w:rsidR="00EE644E" w:rsidRPr="009610A8" w:rsidRDefault="00EE644E" w:rsidP="00EE644E">
      <w:pPr>
        <w:pStyle w:val="ListParagraph"/>
        <w:numPr>
          <w:ilvl w:val="0"/>
          <w:numId w:val="7"/>
        </w:numPr>
        <w:spacing w:after="120" w:line="240" w:lineRule="auto"/>
        <w:rPr>
          <w:szCs w:val="24"/>
        </w:rPr>
      </w:pPr>
      <w:r w:rsidRPr="009610A8">
        <w:rPr>
          <w:szCs w:val="24"/>
        </w:rPr>
        <w:t xml:space="preserve">Australia-APEC Leadership </w:t>
      </w:r>
    </w:p>
    <w:p w14:paraId="74EBC59D" w14:textId="77777777" w:rsidR="00EE644E" w:rsidRPr="009610A8" w:rsidRDefault="00EE644E" w:rsidP="00EE644E">
      <w:pPr>
        <w:pStyle w:val="ListParagraph"/>
        <w:numPr>
          <w:ilvl w:val="0"/>
          <w:numId w:val="7"/>
        </w:numPr>
        <w:spacing w:after="120" w:line="240" w:lineRule="auto"/>
        <w:rPr>
          <w:szCs w:val="24"/>
        </w:rPr>
      </w:pPr>
      <w:r w:rsidRPr="009610A8">
        <w:rPr>
          <w:szCs w:val="24"/>
        </w:rPr>
        <w:t xml:space="preserve">Australia-Latin America Leadership </w:t>
      </w:r>
    </w:p>
    <w:p w14:paraId="1408FFAA" w14:textId="77777777" w:rsidR="00EE644E" w:rsidRPr="009610A8" w:rsidRDefault="00EE644E" w:rsidP="00EE644E">
      <w:pPr>
        <w:pStyle w:val="ListParagraph"/>
        <w:numPr>
          <w:ilvl w:val="0"/>
          <w:numId w:val="7"/>
        </w:numPr>
        <w:spacing w:after="120" w:line="240" w:lineRule="auto"/>
        <w:rPr>
          <w:szCs w:val="24"/>
        </w:rPr>
      </w:pPr>
      <w:r w:rsidRPr="009610A8">
        <w:rPr>
          <w:szCs w:val="24"/>
        </w:rPr>
        <w:t xml:space="preserve">Asia-Pacific Leadership </w:t>
      </w:r>
    </w:p>
    <w:p w14:paraId="3844D854" w14:textId="77777777" w:rsidR="00EE644E" w:rsidRPr="009610A8" w:rsidRDefault="00EE644E" w:rsidP="00EE644E">
      <w:pPr>
        <w:pStyle w:val="ListParagraph"/>
        <w:numPr>
          <w:ilvl w:val="0"/>
          <w:numId w:val="7"/>
        </w:numPr>
        <w:spacing w:after="120" w:line="240" w:lineRule="auto"/>
        <w:rPr>
          <w:szCs w:val="24"/>
        </w:rPr>
      </w:pPr>
      <w:r w:rsidRPr="009610A8">
        <w:rPr>
          <w:szCs w:val="24"/>
        </w:rPr>
        <w:t>Global Leadership.</w:t>
      </w:r>
    </w:p>
    <w:p w14:paraId="442BD180" w14:textId="77777777" w:rsidR="00EE644E" w:rsidRPr="009610A8" w:rsidRDefault="00EE644E" w:rsidP="00EE644E">
      <w:pPr>
        <w:spacing w:after="120" w:line="240" w:lineRule="auto"/>
        <w:rPr>
          <w:szCs w:val="24"/>
        </w:rPr>
      </w:pPr>
      <w:r w:rsidRPr="009610A8">
        <w:rPr>
          <w:rFonts w:cstheme="minorHAnsi"/>
          <w:szCs w:val="24"/>
        </w:rPr>
        <w:t>The new program (created by merging the Endeavour</w:t>
      </w:r>
      <w:r w:rsidRPr="009610A8">
        <w:rPr>
          <w:szCs w:val="24"/>
        </w:rPr>
        <w:t xml:space="preserve"> Scholarships and Fellowships and the Endeavour Mobility Grants) will better target funding to ensure that opportunities are sustainable into the future and aligned with strategic priorities.</w:t>
      </w:r>
    </w:p>
    <w:p w14:paraId="3B89926A" w14:textId="77777777" w:rsidR="008B6F3B" w:rsidRPr="008B6F3B" w:rsidRDefault="008B6F3B" w:rsidP="008B6F3B">
      <w:pPr>
        <w:spacing w:after="120" w:line="240" w:lineRule="auto"/>
        <w:rPr>
          <w:rFonts w:cstheme="minorHAnsi"/>
          <w:szCs w:val="24"/>
        </w:rPr>
      </w:pPr>
      <w:r w:rsidRPr="008B6F3B">
        <w:rPr>
          <w:rFonts w:cstheme="minorHAnsi"/>
          <w:szCs w:val="24"/>
        </w:rPr>
        <w:t xml:space="preserve">The inward-bound ODA-funded Australia Awards, managed by DFAT, continues to strengthen engagement with important partner countries and to showcase the Australian education sector. For 2019, DFAT has offered over 3,000 Australia Awards scholarships and short courses to individuals from over 55 developing countries. These include 50 Australia Awards ASEAN Scholarships. </w:t>
      </w:r>
    </w:p>
    <w:p w14:paraId="27C2C659" w14:textId="77777777" w:rsidR="008B6F3B" w:rsidRPr="008B6F3B" w:rsidRDefault="008B6F3B" w:rsidP="008B6F3B">
      <w:pPr>
        <w:spacing w:after="120" w:line="240" w:lineRule="auto"/>
        <w:rPr>
          <w:rFonts w:cstheme="minorHAnsi"/>
          <w:szCs w:val="24"/>
        </w:rPr>
      </w:pPr>
      <w:r w:rsidRPr="008B6F3B">
        <w:rPr>
          <w:rFonts w:cstheme="minorHAnsi"/>
          <w:szCs w:val="24"/>
        </w:rPr>
        <w:t> </w:t>
      </w:r>
    </w:p>
    <w:p w14:paraId="6011042C" w14:textId="18508968" w:rsidR="00EE644E" w:rsidRPr="008B6F3B" w:rsidRDefault="008B6F3B" w:rsidP="008B6F3B">
      <w:pPr>
        <w:spacing w:after="120" w:line="240" w:lineRule="auto"/>
        <w:rPr>
          <w:rFonts w:cstheme="minorHAnsi"/>
          <w:szCs w:val="24"/>
        </w:rPr>
      </w:pPr>
      <w:r w:rsidRPr="008B6F3B">
        <w:rPr>
          <w:rFonts w:cstheme="minorHAnsi"/>
          <w:szCs w:val="24"/>
        </w:rPr>
        <w:t>The New Colombo Plan (NCP) 2019 mobility round was announced in July 2018 and will support around 11,800 Australian undergraduates from 40 universities to participate in projects in 36 host locations across the Indo-Pacific. The 2019 NCP scholarship round was finalised in November 2018 and will send 125 scholars from 37 universities to 24 NCP locations.  Increased interest in scholarship programs in the Pacific, ASEAN and India reflected the priority Australia attaches to developing closer people-to-people and institutional links with these locations.  By the end of 2020, the NCP alumni network will have grown to around 40,000.</w:t>
      </w:r>
      <w:bookmarkStart w:id="53" w:name="_GoBack"/>
      <w:bookmarkEnd w:id="53"/>
    </w:p>
    <w:p w14:paraId="07DA02AD" w14:textId="77777777" w:rsidR="00EE644E" w:rsidRPr="009610A8" w:rsidRDefault="00EE644E" w:rsidP="00EE644E">
      <w:pPr>
        <w:pStyle w:val="Heading3"/>
        <w:numPr>
          <w:ilvl w:val="2"/>
          <w:numId w:val="25"/>
        </w:numPr>
        <w:spacing w:before="360"/>
        <w:ind w:left="709" w:hanging="709"/>
        <w:rPr>
          <w:sz w:val="24"/>
        </w:rPr>
      </w:pPr>
      <w:bookmarkStart w:id="54" w:name="_Toc530471850"/>
      <w:r w:rsidRPr="009610A8">
        <w:rPr>
          <w:sz w:val="24"/>
        </w:rPr>
        <w:t>Building lasting connections with alumni</w:t>
      </w:r>
      <w:bookmarkEnd w:id="54"/>
    </w:p>
    <w:p w14:paraId="51A54F88" w14:textId="05E0CA04" w:rsidR="00EE644E" w:rsidRPr="009610A8" w:rsidRDefault="00EE644E" w:rsidP="00EE644E">
      <w:pPr>
        <w:spacing w:after="120" w:line="240" w:lineRule="auto"/>
        <w:rPr>
          <w:szCs w:val="24"/>
        </w:rPr>
      </w:pPr>
      <w:r w:rsidRPr="009610A8">
        <w:rPr>
          <w:szCs w:val="24"/>
        </w:rPr>
        <w:t>There are now more than 2.5 million internat</w:t>
      </w:r>
      <w:r w:rsidR="007C7C50">
        <w:rPr>
          <w:szCs w:val="24"/>
        </w:rPr>
        <w:t>ional alumni who have studied at</w:t>
      </w:r>
      <w:r w:rsidRPr="009610A8">
        <w:rPr>
          <w:szCs w:val="24"/>
        </w:rPr>
        <w:t xml:space="preserve"> Australian universities. </w:t>
      </w:r>
      <w:r w:rsidRPr="009610A8">
        <w:rPr>
          <w:i/>
          <w:szCs w:val="24"/>
        </w:rPr>
        <w:t>The Australian Global Alumni Engagement Strategy 2016-2020</w:t>
      </w:r>
      <w:r w:rsidRPr="009610A8">
        <w:rPr>
          <w:szCs w:val="24"/>
        </w:rPr>
        <w:t xml:space="preserve"> is a whole of government public diplomacy initiative, developed in collaboration with Australia’s education sector. Through outreach activities and events hosted </w:t>
      </w:r>
      <w:r w:rsidR="007C7C50">
        <w:rPr>
          <w:szCs w:val="24"/>
        </w:rPr>
        <w:t>by</w:t>
      </w:r>
      <w:r w:rsidRPr="009610A8">
        <w:rPr>
          <w:szCs w:val="24"/>
        </w:rPr>
        <w:t xml:space="preserve"> Australian posts around the world, we have created another means to maintain ongoing relationships with our alumni and foster deeper linkages with Australia. Together with a range of social media and other communications, we are now better placed than ever before to showcase the success of our global alumni to demonstrate</w:t>
      </w:r>
      <w:r w:rsidR="007C7C50">
        <w:rPr>
          <w:szCs w:val="24"/>
        </w:rPr>
        <w:t>,</w:t>
      </w:r>
      <w:r w:rsidRPr="009610A8">
        <w:rPr>
          <w:szCs w:val="24"/>
        </w:rPr>
        <w:t xml:space="preserve"> to Australian and international stakeholders</w:t>
      </w:r>
      <w:r w:rsidR="007C7C50">
        <w:rPr>
          <w:szCs w:val="24"/>
        </w:rPr>
        <w:t>,</w:t>
      </w:r>
      <w:r w:rsidRPr="009610A8">
        <w:rPr>
          <w:szCs w:val="24"/>
        </w:rPr>
        <w:t xml:space="preserve"> the inspirational stories of successful alumni who are now making a positive difference to Australia’s engagement with the world.</w:t>
      </w:r>
    </w:p>
    <w:p w14:paraId="0707D02D" w14:textId="77777777" w:rsidR="003C79E6" w:rsidRPr="009610A8" w:rsidRDefault="003C79E6" w:rsidP="003C79E6">
      <w:pPr>
        <w:pStyle w:val="Heading3"/>
        <w:numPr>
          <w:ilvl w:val="2"/>
          <w:numId w:val="25"/>
        </w:numPr>
        <w:spacing w:before="360"/>
        <w:ind w:left="709" w:hanging="709"/>
        <w:rPr>
          <w:sz w:val="24"/>
        </w:rPr>
      </w:pPr>
      <w:bookmarkStart w:id="55" w:name="_Toc530471851"/>
      <w:r w:rsidRPr="009610A8">
        <w:rPr>
          <w:sz w:val="24"/>
        </w:rPr>
        <w:t>Maintaining practical visa settings</w:t>
      </w:r>
      <w:bookmarkEnd w:id="55"/>
    </w:p>
    <w:p w14:paraId="51CA0066" w14:textId="77777777" w:rsidR="003C79E6" w:rsidRPr="009610A8" w:rsidRDefault="003C79E6" w:rsidP="003C79E6">
      <w:pPr>
        <w:spacing w:after="120" w:line="240" w:lineRule="auto"/>
        <w:rPr>
          <w:rFonts w:cstheme="minorHAnsi"/>
          <w:szCs w:val="24"/>
        </w:rPr>
      </w:pPr>
      <w:r w:rsidRPr="009610A8">
        <w:rPr>
          <w:rFonts w:cstheme="minorHAnsi"/>
          <w:szCs w:val="24"/>
        </w:rPr>
        <w:t xml:space="preserve">The Simplified Student Visa Framework (SSVF), introduced on 1 July 2016, is key to supporting sustainable growth of the international education sector by ensuring that visa settings remain competitive whilst maintaining high levels of immigration integrity. </w:t>
      </w:r>
    </w:p>
    <w:p w14:paraId="4D7E2FC8" w14:textId="1B19784C" w:rsidR="003C79E6" w:rsidRPr="009610A8" w:rsidRDefault="003C79E6" w:rsidP="003C79E6">
      <w:pPr>
        <w:spacing w:after="120" w:line="240" w:lineRule="auto"/>
        <w:rPr>
          <w:rFonts w:cstheme="minorHAnsi"/>
          <w:szCs w:val="24"/>
        </w:rPr>
      </w:pPr>
      <w:r w:rsidRPr="009610A8">
        <w:rPr>
          <w:rFonts w:cstheme="minorHAnsi"/>
          <w:szCs w:val="24"/>
        </w:rPr>
        <w:t xml:space="preserve">In 2017 the </w:t>
      </w:r>
      <w:r w:rsidR="00D55D82" w:rsidRPr="009610A8">
        <w:rPr>
          <w:rFonts w:cstheme="minorHAnsi"/>
          <w:szCs w:val="24"/>
        </w:rPr>
        <w:t>Australian Government</w:t>
      </w:r>
      <w:r w:rsidRPr="009610A8">
        <w:rPr>
          <w:rFonts w:cstheme="minorHAnsi"/>
          <w:szCs w:val="24"/>
        </w:rPr>
        <w:t xml:space="preserve"> conducted a high-level appraisal of the SSVF policy settings, with input provided </w:t>
      </w:r>
      <w:r w:rsidR="00502395" w:rsidRPr="009610A8">
        <w:rPr>
          <w:rFonts w:cstheme="minorHAnsi"/>
          <w:szCs w:val="24"/>
        </w:rPr>
        <w:t xml:space="preserve">by </w:t>
      </w:r>
      <w:r w:rsidRPr="009610A8">
        <w:rPr>
          <w:rFonts w:cstheme="minorHAnsi"/>
          <w:szCs w:val="24"/>
        </w:rPr>
        <w:t>key industry stakeholders</w:t>
      </w:r>
      <w:r w:rsidR="00436674" w:rsidRPr="009610A8">
        <w:rPr>
          <w:rFonts w:cstheme="minorHAnsi"/>
          <w:szCs w:val="24"/>
        </w:rPr>
        <w:t xml:space="preserve"> through the Education Visa Consultative Committee</w:t>
      </w:r>
      <w:r w:rsidR="00C5164B" w:rsidRPr="009610A8">
        <w:rPr>
          <w:rFonts w:cstheme="minorHAnsi"/>
          <w:szCs w:val="24"/>
        </w:rPr>
        <w:t xml:space="preserve"> (which includes Expert Members)</w:t>
      </w:r>
      <w:r w:rsidRPr="009610A8">
        <w:rPr>
          <w:rFonts w:cstheme="minorHAnsi"/>
          <w:szCs w:val="24"/>
        </w:rPr>
        <w:t xml:space="preserve">. The appraisal found that the SSVF is generally operating as intended, functioning effectively in managing risk and supporting sustainable growth in the international education sector. Government endorsed and published the SSVF Appraisal in May 2018 with a number of recommendations to fine-tune the </w:t>
      </w:r>
      <w:r w:rsidRPr="009610A8">
        <w:rPr>
          <w:rFonts w:cstheme="minorHAnsi"/>
          <w:szCs w:val="24"/>
        </w:rPr>
        <w:lastRenderedPageBreak/>
        <w:t>operation of the immigration risk framework. Work is underway to implement these recommendations</w:t>
      </w:r>
      <w:r w:rsidR="00D55D82" w:rsidRPr="009610A8">
        <w:rPr>
          <w:rFonts w:cstheme="minorHAnsi"/>
          <w:szCs w:val="24"/>
        </w:rPr>
        <w:t>, with several areas already complete. The Australian Government has:</w:t>
      </w:r>
    </w:p>
    <w:p w14:paraId="7CFBE69E" w14:textId="29FCCCA6" w:rsidR="003C79E6" w:rsidRPr="009610A8" w:rsidRDefault="003C79E6" w:rsidP="003C79E6">
      <w:pPr>
        <w:pStyle w:val="ListParagraph"/>
        <w:numPr>
          <w:ilvl w:val="0"/>
          <w:numId w:val="7"/>
        </w:numPr>
        <w:spacing w:after="120" w:line="240" w:lineRule="auto"/>
        <w:rPr>
          <w:szCs w:val="24"/>
        </w:rPr>
      </w:pPr>
      <w:r w:rsidRPr="009610A8">
        <w:rPr>
          <w:szCs w:val="24"/>
        </w:rPr>
        <w:t>changed the name of the immigration risk framework</w:t>
      </w:r>
      <w:r w:rsidR="007C7C50">
        <w:rPr>
          <w:szCs w:val="24"/>
        </w:rPr>
        <w:t>,</w:t>
      </w:r>
      <w:r w:rsidRPr="009610A8">
        <w:rPr>
          <w:szCs w:val="24"/>
        </w:rPr>
        <w:t xml:space="preserve"> to the evidentiary framework</w:t>
      </w:r>
      <w:r w:rsidR="007C7C50">
        <w:rPr>
          <w:szCs w:val="24"/>
        </w:rPr>
        <w:t>,</w:t>
      </w:r>
      <w:r w:rsidRPr="009610A8">
        <w:rPr>
          <w:szCs w:val="24"/>
        </w:rPr>
        <w:t xml:space="preserve"> to clarify its purpose,</w:t>
      </w:r>
    </w:p>
    <w:p w14:paraId="66CB28DE" w14:textId="1F69579C" w:rsidR="003C79E6" w:rsidRPr="009610A8" w:rsidRDefault="003C79E6" w:rsidP="003C79E6">
      <w:pPr>
        <w:pStyle w:val="ListParagraph"/>
        <w:numPr>
          <w:ilvl w:val="0"/>
          <w:numId w:val="7"/>
        </w:numPr>
        <w:spacing w:after="120" w:line="240" w:lineRule="auto"/>
        <w:rPr>
          <w:szCs w:val="24"/>
        </w:rPr>
      </w:pPr>
      <w:r w:rsidRPr="009610A8">
        <w:rPr>
          <w:szCs w:val="24"/>
        </w:rPr>
        <w:t xml:space="preserve">commenced a communications campaign about the requirement for a student to obtain a new </w:t>
      </w:r>
      <w:r w:rsidR="00436674" w:rsidRPr="009610A8">
        <w:rPr>
          <w:szCs w:val="24"/>
        </w:rPr>
        <w:t xml:space="preserve">student </w:t>
      </w:r>
      <w:r w:rsidRPr="009610A8">
        <w:rPr>
          <w:szCs w:val="24"/>
        </w:rPr>
        <w:t>visa if they change to a lower AQF level course,</w:t>
      </w:r>
    </w:p>
    <w:p w14:paraId="1AEBB507" w14:textId="77777777" w:rsidR="003C79E6" w:rsidRPr="009610A8" w:rsidRDefault="003C79E6" w:rsidP="003C79E6">
      <w:pPr>
        <w:pStyle w:val="ListParagraph"/>
        <w:numPr>
          <w:ilvl w:val="0"/>
          <w:numId w:val="7"/>
        </w:numPr>
        <w:spacing w:after="120" w:line="240" w:lineRule="auto"/>
        <w:rPr>
          <w:szCs w:val="24"/>
        </w:rPr>
      </w:pPr>
      <w:r w:rsidRPr="009610A8">
        <w:rPr>
          <w:szCs w:val="24"/>
        </w:rPr>
        <w:t>worked with agencies to assist education providers to target genuine students, and</w:t>
      </w:r>
    </w:p>
    <w:p w14:paraId="5F8C81FE" w14:textId="77777777" w:rsidR="003C79E6" w:rsidRPr="009610A8" w:rsidRDefault="003C79E6" w:rsidP="003C79E6">
      <w:pPr>
        <w:pStyle w:val="ListParagraph"/>
        <w:numPr>
          <w:ilvl w:val="0"/>
          <w:numId w:val="7"/>
        </w:numPr>
        <w:spacing w:after="120" w:line="240" w:lineRule="auto"/>
        <w:rPr>
          <w:szCs w:val="24"/>
        </w:rPr>
      </w:pPr>
      <w:r w:rsidRPr="009610A8">
        <w:rPr>
          <w:szCs w:val="24"/>
        </w:rPr>
        <w:t>commenced an analysis of the impact on provider Evidence Levels of transferring accountability for immigration risk from the recruiting provider to the student’s onshore provider.</w:t>
      </w:r>
    </w:p>
    <w:p w14:paraId="2C63CCCF" w14:textId="77777777" w:rsidR="00345373" w:rsidRPr="009610A8" w:rsidRDefault="00345373" w:rsidP="004D4784">
      <w:pPr>
        <w:pStyle w:val="Heading3"/>
        <w:numPr>
          <w:ilvl w:val="2"/>
          <w:numId w:val="25"/>
        </w:numPr>
        <w:spacing w:before="360"/>
        <w:ind w:left="709" w:hanging="709"/>
        <w:rPr>
          <w:sz w:val="24"/>
        </w:rPr>
      </w:pPr>
      <w:bookmarkStart w:id="56" w:name="_Toc530471852"/>
      <w:r w:rsidRPr="009610A8">
        <w:rPr>
          <w:sz w:val="24"/>
        </w:rPr>
        <w:t>Improving coordination across government</w:t>
      </w:r>
      <w:bookmarkEnd w:id="56"/>
    </w:p>
    <w:p w14:paraId="0BB4EB62" w14:textId="5557F3DA" w:rsidR="007E41A4" w:rsidRPr="009610A8" w:rsidRDefault="007E41A4" w:rsidP="00CE47E1">
      <w:pPr>
        <w:spacing w:after="120" w:line="240" w:lineRule="auto"/>
        <w:rPr>
          <w:rFonts w:eastAsia="DengXian" w:cstheme="minorHAnsi"/>
          <w:szCs w:val="24"/>
        </w:rPr>
      </w:pPr>
      <w:r w:rsidRPr="009610A8">
        <w:rPr>
          <w:rFonts w:eastAsia="DengXian" w:cstheme="minorHAnsi"/>
          <w:szCs w:val="24"/>
        </w:rPr>
        <w:t xml:space="preserve">The importance of international education is recognised by all state and territory governments; all jurisdictions have </w:t>
      </w:r>
      <w:r w:rsidR="002023DA" w:rsidRPr="009610A8">
        <w:rPr>
          <w:rFonts w:eastAsia="DengXian" w:cstheme="minorHAnsi"/>
          <w:szCs w:val="24"/>
        </w:rPr>
        <w:t xml:space="preserve">developed comprehensive </w:t>
      </w:r>
      <w:r w:rsidRPr="009610A8">
        <w:rPr>
          <w:rFonts w:eastAsia="DengXian" w:cstheme="minorHAnsi"/>
          <w:szCs w:val="24"/>
        </w:rPr>
        <w:t xml:space="preserve">international education strategies. </w:t>
      </w:r>
      <w:r w:rsidR="003E0EC1" w:rsidRPr="009610A8">
        <w:rPr>
          <w:rFonts w:eastAsia="DengXian" w:cstheme="minorHAnsi"/>
          <w:szCs w:val="24"/>
        </w:rPr>
        <w:t xml:space="preserve">Commonwealth and state and territory trade ministers have agreed to pursue collaborative international education marketing activities, including through co-design and co-investment. </w:t>
      </w:r>
    </w:p>
    <w:p w14:paraId="36B6BB56" w14:textId="00A6CEB0" w:rsidR="00345373" w:rsidRPr="009610A8" w:rsidRDefault="007D7E24" w:rsidP="00CE47E1">
      <w:pPr>
        <w:spacing w:after="120" w:line="240" w:lineRule="auto"/>
        <w:rPr>
          <w:rFonts w:eastAsia="DengXian" w:cstheme="minorHAnsi"/>
          <w:szCs w:val="24"/>
        </w:rPr>
      </w:pPr>
      <w:r w:rsidRPr="009610A8">
        <w:rPr>
          <w:rFonts w:eastAsia="DengXian" w:cstheme="minorHAnsi"/>
          <w:szCs w:val="24"/>
        </w:rPr>
        <w:t xml:space="preserve">To ensure </w:t>
      </w:r>
      <w:r w:rsidR="002023DA" w:rsidRPr="009610A8">
        <w:rPr>
          <w:rFonts w:eastAsia="DengXian" w:cstheme="minorHAnsi"/>
          <w:szCs w:val="24"/>
        </w:rPr>
        <w:t xml:space="preserve">state, territory </w:t>
      </w:r>
      <w:r w:rsidRPr="009610A8">
        <w:rPr>
          <w:rFonts w:eastAsia="DengXian" w:cstheme="minorHAnsi"/>
          <w:szCs w:val="24"/>
        </w:rPr>
        <w:t xml:space="preserve">and Australian government agencies share information, advance policy priorities and consider risk in the international education sector, the Commonwealth State and Territories International Education and Training Forum met a number of times in </w:t>
      </w:r>
      <w:r w:rsidR="00436674" w:rsidRPr="009610A8">
        <w:rPr>
          <w:rFonts w:eastAsia="DengXian" w:cstheme="minorHAnsi"/>
          <w:szCs w:val="24"/>
        </w:rPr>
        <w:t>2018</w:t>
      </w:r>
      <w:r w:rsidR="002023DA" w:rsidRPr="009610A8">
        <w:rPr>
          <w:rFonts w:eastAsia="DengXian" w:cstheme="minorHAnsi"/>
          <w:szCs w:val="24"/>
        </w:rPr>
        <w:t xml:space="preserve"> and have committed to</w:t>
      </w:r>
      <w:r w:rsidR="005A5D13">
        <w:rPr>
          <w:rFonts w:eastAsia="DengXian" w:cstheme="minorHAnsi"/>
          <w:szCs w:val="24"/>
        </w:rPr>
        <w:t xml:space="preserve"> a range of coordinated activities</w:t>
      </w:r>
      <w:r w:rsidR="002023DA" w:rsidRPr="009610A8">
        <w:rPr>
          <w:rFonts w:eastAsia="DengXian" w:cstheme="minorHAnsi"/>
          <w:szCs w:val="24"/>
        </w:rPr>
        <w:t>, including: developing consistent messaging around the benefits international education delivers to Australian communities.</w:t>
      </w:r>
    </w:p>
    <w:p w14:paraId="1B3D9694" w14:textId="4AF112AB" w:rsidR="00345373" w:rsidRPr="009610A8" w:rsidRDefault="00345373" w:rsidP="00CE47E1">
      <w:pPr>
        <w:spacing w:after="120" w:line="240" w:lineRule="auto"/>
        <w:rPr>
          <w:rFonts w:eastAsia="DengXian" w:cstheme="minorHAnsi"/>
          <w:szCs w:val="24"/>
        </w:rPr>
      </w:pPr>
      <w:r w:rsidRPr="009610A8">
        <w:rPr>
          <w:rFonts w:eastAsia="DengXian" w:cstheme="minorHAnsi"/>
          <w:szCs w:val="24"/>
        </w:rPr>
        <w:t>To ensure alignment of marketing messages and in</w:t>
      </w:r>
      <w:r w:rsidR="003F56FC" w:rsidRPr="009610A8">
        <w:rPr>
          <w:rFonts w:eastAsia="DengXian" w:cstheme="minorHAnsi"/>
          <w:szCs w:val="24"/>
        </w:rPr>
        <w:t xml:space="preserve">-country </w:t>
      </w:r>
      <w:r w:rsidRPr="009610A8">
        <w:rPr>
          <w:rFonts w:eastAsia="DengXian" w:cstheme="minorHAnsi"/>
          <w:szCs w:val="24"/>
        </w:rPr>
        <w:t xml:space="preserve">promotional activities, </w:t>
      </w:r>
      <w:r w:rsidR="00D55D82" w:rsidRPr="009610A8">
        <w:rPr>
          <w:rFonts w:eastAsia="DengXian" w:cstheme="minorHAnsi"/>
          <w:szCs w:val="24"/>
        </w:rPr>
        <w:t xml:space="preserve">the Australian Government </w:t>
      </w:r>
      <w:r w:rsidR="009F2D2E" w:rsidRPr="009610A8">
        <w:rPr>
          <w:rFonts w:eastAsia="DengXian" w:cstheme="minorHAnsi"/>
          <w:szCs w:val="24"/>
        </w:rPr>
        <w:t>has</w:t>
      </w:r>
      <w:r w:rsidRPr="009610A8">
        <w:rPr>
          <w:rFonts w:eastAsia="DengXian" w:cstheme="minorHAnsi"/>
          <w:szCs w:val="24"/>
        </w:rPr>
        <w:t xml:space="preserve"> reinvigorated its International Education Marketing Forum. A key outcome for the Marketing Forum this year was a successful social media campaign in five growth </w:t>
      </w:r>
      <w:r w:rsidR="003F56FC" w:rsidRPr="009610A8">
        <w:rPr>
          <w:rFonts w:eastAsia="DengXian" w:cstheme="minorHAnsi"/>
          <w:szCs w:val="24"/>
        </w:rPr>
        <w:t>countries</w:t>
      </w:r>
      <w:r w:rsidRPr="009610A8">
        <w:rPr>
          <w:rFonts w:eastAsia="DengXian" w:cstheme="minorHAnsi"/>
          <w:szCs w:val="24"/>
        </w:rPr>
        <w:t>, reaching over 12 million people</w:t>
      </w:r>
      <w:r w:rsidR="002F76BD" w:rsidRPr="009610A8">
        <w:rPr>
          <w:rFonts w:eastAsia="DengXian" w:cstheme="minorHAnsi"/>
          <w:szCs w:val="24"/>
        </w:rPr>
        <w:t>, encouraging prospective students to consider studying in jurisdictions outside of the east coast capital cities</w:t>
      </w:r>
      <w:r w:rsidR="00013304" w:rsidRPr="009610A8">
        <w:rPr>
          <w:rFonts w:eastAsia="DengXian" w:cstheme="minorHAnsi"/>
          <w:szCs w:val="24"/>
        </w:rPr>
        <w:t xml:space="preserve"> (see 4.3.2)</w:t>
      </w:r>
      <w:r w:rsidR="002F76BD" w:rsidRPr="009610A8">
        <w:rPr>
          <w:rFonts w:eastAsia="DengXian" w:cstheme="minorHAnsi"/>
          <w:szCs w:val="24"/>
        </w:rPr>
        <w:t>.</w:t>
      </w:r>
    </w:p>
    <w:p w14:paraId="24C6786B" w14:textId="77777777" w:rsidR="000F3842" w:rsidRPr="009610A8" w:rsidRDefault="004D4784" w:rsidP="004D4784">
      <w:pPr>
        <w:pStyle w:val="Heading3"/>
        <w:numPr>
          <w:ilvl w:val="2"/>
          <w:numId w:val="25"/>
        </w:numPr>
        <w:spacing w:before="360"/>
        <w:ind w:left="709" w:hanging="709"/>
        <w:rPr>
          <w:sz w:val="24"/>
        </w:rPr>
      </w:pPr>
      <w:bookmarkStart w:id="57" w:name="_Toc529288509"/>
      <w:bookmarkStart w:id="58" w:name="_Toc529431905"/>
      <w:bookmarkStart w:id="59" w:name="_Toc529444176"/>
      <w:bookmarkStart w:id="60" w:name="_Toc529446979"/>
      <w:bookmarkStart w:id="61" w:name="_Toc529456953"/>
      <w:bookmarkStart w:id="62" w:name="_Toc529461685"/>
      <w:bookmarkStart w:id="63" w:name="_Toc529538278"/>
      <w:bookmarkStart w:id="64" w:name="_Toc529288510"/>
      <w:bookmarkStart w:id="65" w:name="_Toc529431906"/>
      <w:bookmarkStart w:id="66" w:name="_Toc529444177"/>
      <w:bookmarkStart w:id="67" w:name="_Toc529446980"/>
      <w:bookmarkStart w:id="68" w:name="_Toc529456954"/>
      <w:bookmarkStart w:id="69" w:name="_Toc529461686"/>
      <w:bookmarkStart w:id="70" w:name="_Toc529538279"/>
      <w:bookmarkStart w:id="71" w:name="_Toc530471853"/>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9610A8">
        <w:rPr>
          <w:sz w:val="24"/>
        </w:rPr>
        <w:t>Leveraging m</w:t>
      </w:r>
      <w:r w:rsidR="000F3842" w:rsidRPr="009610A8">
        <w:rPr>
          <w:sz w:val="24"/>
        </w:rPr>
        <w:t>ultilateral partnerships</w:t>
      </w:r>
      <w:bookmarkEnd w:id="71"/>
    </w:p>
    <w:p w14:paraId="6D0673BD" w14:textId="078BFA05" w:rsidR="00AB34EF" w:rsidRPr="009610A8" w:rsidRDefault="00DE2CBA" w:rsidP="00FE2D63">
      <w:pPr>
        <w:spacing w:after="120" w:line="240" w:lineRule="auto"/>
        <w:rPr>
          <w:rFonts w:ascii="Times New Roman" w:hAnsi="Times New Roman" w:cs="Times New Roman"/>
          <w:szCs w:val="24"/>
        </w:rPr>
      </w:pPr>
      <w:r w:rsidRPr="009610A8">
        <w:rPr>
          <w:szCs w:val="24"/>
        </w:rPr>
        <w:t xml:space="preserve">Australia </w:t>
      </w:r>
      <w:r w:rsidR="00991326" w:rsidRPr="009610A8">
        <w:rPr>
          <w:szCs w:val="24"/>
        </w:rPr>
        <w:t>was instrumental in t</w:t>
      </w:r>
      <w:r w:rsidRPr="009610A8">
        <w:rPr>
          <w:szCs w:val="24"/>
        </w:rPr>
        <w:t xml:space="preserve">he </w:t>
      </w:r>
      <w:r w:rsidR="00AB34EF" w:rsidRPr="009610A8">
        <w:rPr>
          <w:szCs w:val="24"/>
        </w:rPr>
        <w:t>development of the new</w:t>
      </w:r>
      <w:r w:rsidR="00C90971" w:rsidRPr="009610A8">
        <w:rPr>
          <w:szCs w:val="24"/>
        </w:rPr>
        <w:t xml:space="preserve"> </w:t>
      </w:r>
      <w:r w:rsidR="00991326" w:rsidRPr="009610A8">
        <w:rPr>
          <w:i/>
          <w:szCs w:val="24"/>
        </w:rPr>
        <w:t>Asia-Pacific Regional Convention on the Recognition of Qualifications in Higher Education</w:t>
      </w:r>
      <w:r w:rsidR="00230F9C" w:rsidRPr="009610A8">
        <w:rPr>
          <w:szCs w:val="24"/>
        </w:rPr>
        <w:t xml:space="preserve"> (</w:t>
      </w:r>
      <w:r w:rsidR="00201556" w:rsidRPr="009610A8">
        <w:rPr>
          <w:szCs w:val="24"/>
        </w:rPr>
        <w:t xml:space="preserve">also known as </w:t>
      </w:r>
      <w:r w:rsidR="00230F9C" w:rsidRPr="009610A8">
        <w:rPr>
          <w:szCs w:val="24"/>
        </w:rPr>
        <w:t xml:space="preserve">the Tokyo </w:t>
      </w:r>
      <w:r w:rsidR="00EE644E" w:rsidRPr="009610A8">
        <w:rPr>
          <w:szCs w:val="24"/>
        </w:rPr>
        <w:t>Convention</w:t>
      </w:r>
      <w:r w:rsidR="00230F9C" w:rsidRPr="009610A8">
        <w:rPr>
          <w:szCs w:val="24"/>
        </w:rPr>
        <w:t>)</w:t>
      </w:r>
      <w:r w:rsidR="00C90971" w:rsidRPr="009610A8">
        <w:rPr>
          <w:szCs w:val="24"/>
        </w:rPr>
        <w:t xml:space="preserve">. The new </w:t>
      </w:r>
      <w:r w:rsidR="005E07DF" w:rsidRPr="009610A8">
        <w:rPr>
          <w:szCs w:val="24"/>
        </w:rPr>
        <w:t xml:space="preserve">treaty-level </w:t>
      </w:r>
      <w:r w:rsidR="00C90971" w:rsidRPr="009610A8">
        <w:rPr>
          <w:szCs w:val="24"/>
        </w:rPr>
        <w:t>agreement</w:t>
      </w:r>
      <w:r w:rsidR="00230F9C" w:rsidRPr="009610A8">
        <w:rPr>
          <w:szCs w:val="24"/>
        </w:rPr>
        <w:t xml:space="preserve"> </w:t>
      </w:r>
      <w:r w:rsidR="00C90971" w:rsidRPr="009610A8">
        <w:rPr>
          <w:szCs w:val="24"/>
        </w:rPr>
        <w:t>support</w:t>
      </w:r>
      <w:r w:rsidR="005E07DF" w:rsidRPr="009610A8">
        <w:rPr>
          <w:szCs w:val="24"/>
        </w:rPr>
        <w:t>s</w:t>
      </w:r>
      <w:r w:rsidR="00C90971" w:rsidRPr="009610A8">
        <w:rPr>
          <w:szCs w:val="24"/>
        </w:rPr>
        <w:t xml:space="preserve"> fair and transparent education </w:t>
      </w:r>
      <w:r w:rsidR="00246DC4" w:rsidRPr="009610A8">
        <w:rPr>
          <w:szCs w:val="24"/>
        </w:rPr>
        <w:t xml:space="preserve">mobility </w:t>
      </w:r>
      <w:r w:rsidR="00C90971" w:rsidRPr="009610A8">
        <w:rPr>
          <w:szCs w:val="24"/>
        </w:rPr>
        <w:t>and provid</w:t>
      </w:r>
      <w:r w:rsidR="005E07DF" w:rsidRPr="009610A8">
        <w:rPr>
          <w:szCs w:val="24"/>
        </w:rPr>
        <w:t>es</w:t>
      </w:r>
      <w:r w:rsidR="00C90971" w:rsidRPr="009610A8">
        <w:rPr>
          <w:szCs w:val="24"/>
        </w:rPr>
        <w:t xml:space="preserve"> a dedicated legal forum for cooperation on qualification</w:t>
      </w:r>
      <w:r w:rsidR="00EA32A8" w:rsidRPr="009610A8">
        <w:rPr>
          <w:szCs w:val="24"/>
        </w:rPr>
        <w:t>s</w:t>
      </w:r>
      <w:r w:rsidR="00C90971" w:rsidRPr="009610A8">
        <w:rPr>
          <w:szCs w:val="24"/>
        </w:rPr>
        <w:t xml:space="preserve"> recognition. </w:t>
      </w:r>
      <w:r w:rsidR="00751FDA" w:rsidRPr="009610A8">
        <w:rPr>
          <w:szCs w:val="24"/>
        </w:rPr>
        <w:t xml:space="preserve">It is significant because it provides ratifying countries with a dedicated forum for cooperation to ensure that qualifications are recognised as fully and widely as possible. The recognition of Australian qualifications abroad is fundamentally important to student, academic, education provider and labour mobility, and underpins the success of Australia’s international education sector. </w:t>
      </w:r>
      <w:r w:rsidR="00AB34EF" w:rsidRPr="009610A8">
        <w:rPr>
          <w:szCs w:val="24"/>
        </w:rPr>
        <w:t>Australia</w:t>
      </w:r>
      <w:r w:rsidR="00751FDA" w:rsidRPr="009610A8">
        <w:rPr>
          <w:szCs w:val="24"/>
        </w:rPr>
        <w:t>, as</w:t>
      </w:r>
      <w:r w:rsidR="00AB34EF" w:rsidRPr="009610A8">
        <w:rPr>
          <w:szCs w:val="24"/>
        </w:rPr>
        <w:t xml:space="preserve"> one of six member-countries to ratify the new Convention so far, will actively encourage other countries to join.</w:t>
      </w:r>
    </w:p>
    <w:p w14:paraId="2B9315D1" w14:textId="51047A89" w:rsidR="00DE2CBA" w:rsidRPr="009610A8" w:rsidRDefault="00DE2CBA" w:rsidP="00CE47E1">
      <w:pPr>
        <w:spacing w:after="120" w:line="240" w:lineRule="auto"/>
        <w:rPr>
          <w:szCs w:val="24"/>
        </w:rPr>
      </w:pPr>
      <w:r w:rsidRPr="009610A8">
        <w:rPr>
          <w:szCs w:val="24"/>
        </w:rPr>
        <w:t xml:space="preserve">Australia </w:t>
      </w:r>
      <w:r w:rsidR="00991326" w:rsidRPr="009610A8">
        <w:rPr>
          <w:szCs w:val="24"/>
        </w:rPr>
        <w:t>also</w:t>
      </w:r>
      <w:r w:rsidRPr="009610A8">
        <w:rPr>
          <w:szCs w:val="24"/>
        </w:rPr>
        <w:t xml:space="preserve"> led the drafting of a </w:t>
      </w:r>
      <w:r w:rsidR="004C4343" w:rsidRPr="009610A8">
        <w:rPr>
          <w:szCs w:val="24"/>
        </w:rPr>
        <w:t>G</w:t>
      </w:r>
      <w:r w:rsidRPr="009610A8">
        <w:rPr>
          <w:szCs w:val="24"/>
        </w:rPr>
        <w:t>lobal</w:t>
      </w:r>
      <w:r w:rsidR="004C4343" w:rsidRPr="009610A8">
        <w:rPr>
          <w:szCs w:val="24"/>
        </w:rPr>
        <w:t xml:space="preserve"> C</w:t>
      </w:r>
      <w:r w:rsidRPr="009610A8">
        <w:rPr>
          <w:szCs w:val="24"/>
        </w:rPr>
        <w:t xml:space="preserve">onvention on international education, </w:t>
      </w:r>
      <w:r w:rsidR="00AB34EF" w:rsidRPr="009610A8">
        <w:rPr>
          <w:szCs w:val="24"/>
        </w:rPr>
        <w:t xml:space="preserve">which will be considered </w:t>
      </w:r>
      <w:r w:rsidR="00CB0344">
        <w:rPr>
          <w:szCs w:val="24"/>
        </w:rPr>
        <w:t>at</w:t>
      </w:r>
      <w:r w:rsidR="00AB34EF" w:rsidRPr="009610A8">
        <w:rPr>
          <w:szCs w:val="24"/>
        </w:rPr>
        <w:t xml:space="preserve"> the</w:t>
      </w:r>
      <w:r w:rsidR="004C4343" w:rsidRPr="009610A8">
        <w:rPr>
          <w:szCs w:val="24"/>
        </w:rPr>
        <w:t xml:space="preserve"> UNESCO General Conference</w:t>
      </w:r>
      <w:r w:rsidRPr="009610A8">
        <w:rPr>
          <w:szCs w:val="24"/>
        </w:rPr>
        <w:t xml:space="preserve"> in 2019.</w:t>
      </w:r>
      <w:r w:rsidR="00991326" w:rsidRPr="009610A8">
        <w:rPr>
          <w:szCs w:val="24"/>
        </w:rPr>
        <w:t xml:space="preserve"> If adopted, this will be the first global treaty in higher education</w:t>
      </w:r>
      <w:r w:rsidR="00C90971" w:rsidRPr="009610A8">
        <w:rPr>
          <w:szCs w:val="24"/>
        </w:rPr>
        <w:t>.</w:t>
      </w:r>
    </w:p>
    <w:p w14:paraId="44B8CC04" w14:textId="77777777" w:rsidR="00B47AC8" w:rsidRPr="009610A8" w:rsidRDefault="00A57527" w:rsidP="00CE47E1">
      <w:pPr>
        <w:spacing w:after="120" w:line="240" w:lineRule="auto"/>
        <w:rPr>
          <w:szCs w:val="24"/>
        </w:rPr>
      </w:pPr>
      <w:r w:rsidRPr="009610A8">
        <w:rPr>
          <w:szCs w:val="24"/>
        </w:rPr>
        <w:t>The G20</w:t>
      </w:r>
      <w:r w:rsidR="005E07DF" w:rsidRPr="009610A8">
        <w:rPr>
          <w:szCs w:val="24"/>
        </w:rPr>
        <w:t xml:space="preserve"> has</w:t>
      </w:r>
      <w:r w:rsidR="00AB34EF" w:rsidRPr="009610A8">
        <w:rPr>
          <w:szCs w:val="24"/>
        </w:rPr>
        <w:t xml:space="preserve"> not historically included education as a major focus</w:t>
      </w:r>
      <w:r w:rsidR="007E41A4" w:rsidRPr="009610A8">
        <w:rPr>
          <w:szCs w:val="24"/>
        </w:rPr>
        <w:t>, however i</w:t>
      </w:r>
      <w:r w:rsidR="009663DE" w:rsidRPr="009610A8">
        <w:rPr>
          <w:szCs w:val="24"/>
        </w:rPr>
        <w:t xml:space="preserve">n </w:t>
      </w:r>
      <w:r w:rsidR="004C27FF" w:rsidRPr="009610A8">
        <w:rPr>
          <w:szCs w:val="24"/>
        </w:rPr>
        <w:t>201</w:t>
      </w:r>
      <w:r w:rsidR="007E41A4" w:rsidRPr="009610A8">
        <w:rPr>
          <w:szCs w:val="24"/>
        </w:rPr>
        <w:t>8</w:t>
      </w:r>
      <w:r w:rsidR="009663DE" w:rsidRPr="009610A8">
        <w:rPr>
          <w:szCs w:val="24"/>
        </w:rPr>
        <w:t xml:space="preserve"> </w:t>
      </w:r>
      <w:r w:rsidR="00B47AC8" w:rsidRPr="009610A8">
        <w:rPr>
          <w:szCs w:val="24"/>
        </w:rPr>
        <w:t>the G20 explored the ‘future of work’ as its theme, and for the first time took the significant step to establish a specific stream of work on education. Australia</w:t>
      </w:r>
      <w:r w:rsidR="00201556" w:rsidRPr="009610A8">
        <w:rPr>
          <w:szCs w:val="24"/>
        </w:rPr>
        <w:t xml:space="preserve"> </w:t>
      </w:r>
      <w:r w:rsidR="00B47AC8" w:rsidRPr="009610A8">
        <w:rPr>
          <w:szCs w:val="24"/>
        </w:rPr>
        <w:t>highlighted the important role of VET and industry engagement in education in preparing students for their working futures.</w:t>
      </w:r>
    </w:p>
    <w:p w14:paraId="00778E2C" w14:textId="77777777" w:rsidR="00995618" w:rsidRPr="009610A8" w:rsidRDefault="005E07DF" w:rsidP="00201556">
      <w:pPr>
        <w:spacing w:after="120" w:line="240" w:lineRule="auto"/>
        <w:rPr>
          <w:szCs w:val="24"/>
        </w:rPr>
      </w:pPr>
      <w:r w:rsidRPr="009610A8">
        <w:rPr>
          <w:szCs w:val="24"/>
        </w:rPr>
        <w:t xml:space="preserve">The Association of Southeast Asian Nations (ASEAN) comprises 10 countries </w:t>
      </w:r>
      <w:r w:rsidR="00A57527" w:rsidRPr="009610A8">
        <w:rPr>
          <w:szCs w:val="24"/>
        </w:rPr>
        <w:t xml:space="preserve">of </w:t>
      </w:r>
      <w:r w:rsidR="00B47AC8" w:rsidRPr="009610A8">
        <w:rPr>
          <w:szCs w:val="24"/>
        </w:rPr>
        <w:t xml:space="preserve">major </w:t>
      </w:r>
      <w:r w:rsidR="00A57527" w:rsidRPr="009610A8">
        <w:rPr>
          <w:szCs w:val="24"/>
        </w:rPr>
        <w:t xml:space="preserve">significance to Australia </w:t>
      </w:r>
      <w:r w:rsidRPr="009610A8">
        <w:rPr>
          <w:szCs w:val="24"/>
        </w:rPr>
        <w:t xml:space="preserve">- Brunei, Cambodia, Indonesia, Laos, Malaysia, Myanmar, </w:t>
      </w:r>
      <w:r w:rsidR="00A57527" w:rsidRPr="009610A8">
        <w:rPr>
          <w:szCs w:val="24"/>
        </w:rPr>
        <w:t xml:space="preserve">the </w:t>
      </w:r>
      <w:r w:rsidRPr="009610A8">
        <w:rPr>
          <w:szCs w:val="24"/>
        </w:rPr>
        <w:t xml:space="preserve">Philippines, Singapore, Thailand and Vietnam. </w:t>
      </w:r>
      <w:r w:rsidR="00A57527" w:rsidRPr="009610A8">
        <w:rPr>
          <w:szCs w:val="24"/>
        </w:rPr>
        <w:t xml:space="preserve">Australia </w:t>
      </w:r>
      <w:r w:rsidR="00995618" w:rsidRPr="009610A8">
        <w:rPr>
          <w:szCs w:val="24"/>
        </w:rPr>
        <w:t xml:space="preserve">is </w:t>
      </w:r>
      <w:r w:rsidRPr="009610A8">
        <w:rPr>
          <w:szCs w:val="24"/>
        </w:rPr>
        <w:t>working</w:t>
      </w:r>
      <w:r w:rsidR="00995618" w:rsidRPr="009610A8">
        <w:rPr>
          <w:szCs w:val="24"/>
        </w:rPr>
        <w:t xml:space="preserve"> as a technical expert to help ASEAN implement the </w:t>
      </w:r>
      <w:r w:rsidR="00A57527" w:rsidRPr="009610A8">
        <w:rPr>
          <w:szCs w:val="24"/>
        </w:rPr>
        <w:t xml:space="preserve">new </w:t>
      </w:r>
      <w:r w:rsidR="00995618" w:rsidRPr="009610A8">
        <w:rPr>
          <w:szCs w:val="24"/>
        </w:rPr>
        <w:t>ASEAN Qualifications Reference Framework (AQRF).</w:t>
      </w:r>
      <w:r w:rsidR="00201556" w:rsidRPr="009610A8">
        <w:rPr>
          <w:szCs w:val="24"/>
        </w:rPr>
        <w:t xml:space="preserve"> The AQRF is one of the most significant education policy innovations in the region, being </w:t>
      </w:r>
      <w:r w:rsidR="00995618" w:rsidRPr="009610A8">
        <w:rPr>
          <w:szCs w:val="24"/>
        </w:rPr>
        <w:lastRenderedPageBreak/>
        <w:t>the first regional qualifications framework in Asia</w:t>
      </w:r>
      <w:r w:rsidR="00201556" w:rsidRPr="009610A8">
        <w:rPr>
          <w:szCs w:val="24"/>
        </w:rPr>
        <w:t xml:space="preserve">, and </w:t>
      </w:r>
      <w:r w:rsidR="00995618" w:rsidRPr="009610A8">
        <w:rPr>
          <w:szCs w:val="24"/>
        </w:rPr>
        <w:t>has triggered major educational reforms across Member States</w:t>
      </w:r>
      <w:r w:rsidR="00201556" w:rsidRPr="009610A8">
        <w:rPr>
          <w:szCs w:val="24"/>
        </w:rPr>
        <w:t xml:space="preserve">. </w:t>
      </w:r>
      <w:r w:rsidR="00995618" w:rsidRPr="009610A8">
        <w:rPr>
          <w:szCs w:val="24"/>
        </w:rPr>
        <w:t>Australia</w:t>
      </w:r>
      <w:r w:rsidR="00B47AC8" w:rsidRPr="009610A8">
        <w:rPr>
          <w:szCs w:val="24"/>
        </w:rPr>
        <w:t>, together with New Zealand,</w:t>
      </w:r>
      <w:r w:rsidR="00995618" w:rsidRPr="009610A8">
        <w:rPr>
          <w:szCs w:val="24"/>
        </w:rPr>
        <w:t xml:space="preserve"> is providing funding and technical support. </w:t>
      </w:r>
    </w:p>
    <w:p w14:paraId="0595E3DD" w14:textId="1D8E6A55" w:rsidR="00995618" w:rsidRPr="009610A8" w:rsidRDefault="00B47AC8" w:rsidP="00AA46EF">
      <w:pPr>
        <w:keepNext/>
        <w:keepLines/>
        <w:spacing w:after="120" w:line="240" w:lineRule="auto"/>
        <w:rPr>
          <w:szCs w:val="24"/>
        </w:rPr>
      </w:pPr>
      <w:r w:rsidRPr="009610A8">
        <w:rPr>
          <w:szCs w:val="24"/>
        </w:rPr>
        <w:t>Through our work with</w:t>
      </w:r>
      <w:r w:rsidR="00995618" w:rsidRPr="009610A8">
        <w:rPr>
          <w:szCs w:val="24"/>
        </w:rPr>
        <w:t xml:space="preserve"> </w:t>
      </w:r>
      <w:r w:rsidR="00A57527" w:rsidRPr="009610A8">
        <w:rPr>
          <w:szCs w:val="24"/>
        </w:rPr>
        <w:t xml:space="preserve">the </w:t>
      </w:r>
      <w:r w:rsidR="00CB0344">
        <w:rPr>
          <w:szCs w:val="24"/>
        </w:rPr>
        <w:t>Asia-</w:t>
      </w:r>
      <w:r w:rsidR="005E07DF" w:rsidRPr="009610A8">
        <w:rPr>
          <w:szCs w:val="24"/>
        </w:rPr>
        <w:t>Pacific Economic Cooperation (</w:t>
      </w:r>
      <w:r w:rsidR="00995618" w:rsidRPr="009610A8">
        <w:rPr>
          <w:szCs w:val="24"/>
        </w:rPr>
        <w:t>APEC</w:t>
      </w:r>
      <w:r w:rsidR="00343368" w:rsidRPr="009610A8">
        <w:rPr>
          <w:szCs w:val="24"/>
        </w:rPr>
        <w:t>)</w:t>
      </w:r>
      <w:r w:rsidR="00995618" w:rsidRPr="009610A8">
        <w:rPr>
          <w:szCs w:val="24"/>
        </w:rPr>
        <w:t>, Australia has led the development of:</w:t>
      </w:r>
    </w:p>
    <w:p w14:paraId="62533966" w14:textId="77777777" w:rsidR="00B47AC8" w:rsidRPr="009610A8" w:rsidRDefault="00B47AC8" w:rsidP="00CE47E1">
      <w:pPr>
        <w:pStyle w:val="ListParagraph"/>
        <w:numPr>
          <w:ilvl w:val="0"/>
          <w:numId w:val="7"/>
        </w:numPr>
        <w:spacing w:after="120" w:line="240" w:lineRule="auto"/>
        <w:rPr>
          <w:szCs w:val="24"/>
        </w:rPr>
      </w:pPr>
      <w:r w:rsidRPr="009610A8">
        <w:rPr>
          <w:szCs w:val="24"/>
        </w:rPr>
        <w:t>a Quality Assurance in Online Learning Toolkit, to enable APEC economies to quality assure blended and online higher education courses delivered in-country;</w:t>
      </w:r>
    </w:p>
    <w:p w14:paraId="2DCDF886" w14:textId="77777777" w:rsidR="00B47AC8" w:rsidRPr="009610A8" w:rsidRDefault="00B47AC8" w:rsidP="00CE47E1">
      <w:pPr>
        <w:pStyle w:val="ListParagraph"/>
        <w:numPr>
          <w:ilvl w:val="0"/>
          <w:numId w:val="7"/>
        </w:numPr>
        <w:spacing w:after="120" w:line="240" w:lineRule="auto"/>
        <w:rPr>
          <w:szCs w:val="24"/>
        </w:rPr>
      </w:pPr>
      <w:r w:rsidRPr="009610A8">
        <w:rPr>
          <w:szCs w:val="24"/>
        </w:rPr>
        <w:t>a set of non-binding Guiding Principles for Research Integrity, to facilitate research cooperation; and</w:t>
      </w:r>
    </w:p>
    <w:p w14:paraId="51C3E793" w14:textId="77777777" w:rsidR="00B47AC8" w:rsidRPr="009610A8" w:rsidRDefault="00B47AC8" w:rsidP="00CE47E1">
      <w:pPr>
        <w:pStyle w:val="ListParagraph"/>
        <w:numPr>
          <w:ilvl w:val="0"/>
          <w:numId w:val="7"/>
        </w:numPr>
        <w:spacing w:after="120" w:line="240" w:lineRule="auto"/>
        <w:rPr>
          <w:szCs w:val="24"/>
        </w:rPr>
      </w:pPr>
      <w:r w:rsidRPr="009610A8">
        <w:rPr>
          <w:szCs w:val="24"/>
        </w:rPr>
        <w:t>occupational standards in key industry sectors, to provide a better understanding of the core skills and knowledge required for priority occupations and to support skills recognition across the Asia-Pacific region.</w:t>
      </w:r>
    </w:p>
    <w:p w14:paraId="6397C366" w14:textId="77777777" w:rsidR="000F3842" w:rsidRPr="009610A8" w:rsidRDefault="004D4784" w:rsidP="004D4784">
      <w:pPr>
        <w:pStyle w:val="Heading3"/>
        <w:numPr>
          <w:ilvl w:val="2"/>
          <w:numId w:val="25"/>
        </w:numPr>
        <w:spacing w:before="360"/>
        <w:ind w:left="709" w:hanging="709"/>
        <w:rPr>
          <w:sz w:val="24"/>
        </w:rPr>
      </w:pPr>
      <w:bookmarkStart w:id="72" w:name="_Toc530471854"/>
      <w:r w:rsidRPr="009610A8">
        <w:rPr>
          <w:sz w:val="24"/>
        </w:rPr>
        <w:t>Growing b</w:t>
      </w:r>
      <w:r w:rsidR="000F3842" w:rsidRPr="009610A8">
        <w:rPr>
          <w:sz w:val="24"/>
        </w:rPr>
        <w:t>ilateral partnerships</w:t>
      </w:r>
      <w:bookmarkEnd w:id="72"/>
    </w:p>
    <w:p w14:paraId="50300774" w14:textId="0A9F792F" w:rsidR="00995618" w:rsidRPr="009610A8" w:rsidRDefault="004C4343" w:rsidP="00CE47E1">
      <w:pPr>
        <w:spacing w:after="120" w:line="240" w:lineRule="auto"/>
        <w:rPr>
          <w:rFonts w:cstheme="minorHAnsi"/>
          <w:szCs w:val="24"/>
        </w:rPr>
      </w:pPr>
      <w:r w:rsidRPr="009610A8">
        <w:rPr>
          <w:rFonts w:cstheme="minorHAnsi"/>
          <w:szCs w:val="24"/>
        </w:rPr>
        <w:t xml:space="preserve">Australia has been working bilaterally with </w:t>
      </w:r>
      <w:r w:rsidR="00A57527" w:rsidRPr="009610A8">
        <w:rPr>
          <w:rFonts w:cstheme="minorHAnsi"/>
          <w:szCs w:val="24"/>
        </w:rPr>
        <w:t>individual</w:t>
      </w:r>
      <w:r w:rsidRPr="009610A8">
        <w:rPr>
          <w:rFonts w:cstheme="minorHAnsi"/>
          <w:szCs w:val="24"/>
        </w:rPr>
        <w:t xml:space="preserve"> countries to progress qualifications recognition and other objectives in areas of </w:t>
      </w:r>
      <w:r w:rsidR="003F56FC" w:rsidRPr="009610A8">
        <w:rPr>
          <w:rFonts w:cstheme="minorHAnsi"/>
          <w:szCs w:val="24"/>
        </w:rPr>
        <w:t xml:space="preserve">growth </w:t>
      </w:r>
      <w:r w:rsidRPr="009610A8">
        <w:rPr>
          <w:rFonts w:cstheme="minorHAnsi"/>
          <w:szCs w:val="24"/>
        </w:rPr>
        <w:t>potential</w:t>
      </w:r>
      <w:r w:rsidR="00FA10C4" w:rsidRPr="009610A8">
        <w:rPr>
          <w:rFonts w:cstheme="minorHAnsi"/>
          <w:szCs w:val="24"/>
        </w:rPr>
        <w:t xml:space="preserve">. </w:t>
      </w:r>
      <w:r w:rsidR="00EB6482" w:rsidRPr="009610A8">
        <w:rPr>
          <w:rFonts w:cstheme="minorHAnsi"/>
          <w:szCs w:val="24"/>
        </w:rPr>
        <w:t xml:space="preserve">For example, </w:t>
      </w:r>
      <w:r w:rsidR="007D32D9" w:rsidRPr="009610A8">
        <w:rPr>
          <w:rFonts w:cstheme="minorHAnsi"/>
          <w:szCs w:val="24"/>
        </w:rPr>
        <w:t xml:space="preserve">Australia and Vietnam recently signed </w:t>
      </w:r>
      <w:r w:rsidR="00EB6482" w:rsidRPr="009610A8">
        <w:rPr>
          <w:rFonts w:cstheme="minorHAnsi"/>
          <w:szCs w:val="24"/>
        </w:rPr>
        <w:t xml:space="preserve">two </w:t>
      </w:r>
      <w:r w:rsidR="007D32D9" w:rsidRPr="009610A8">
        <w:rPr>
          <w:rFonts w:cstheme="minorHAnsi"/>
          <w:szCs w:val="24"/>
        </w:rPr>
        <w:t xml:space="preserve">Memoranda of Understanding </w:t>
      </w:r>
      <w:r w:rsidR="003F2C68" w:rsidRPr="009610A8">
        <w:rPr>
          <w:rFonts w:cstheme="minorHAnsi"/>
          <w:szCs w:val="24"/>
        </w:rPr>
        <w:t xml:space="preserve">to align education </w:t>
      </w:r>
      <w:r w:rsidR="00FA10C4" w:rsidRPr="009610A8">
        <w:rPr>
          <w:rFonts w:cstheme="minorHAnsi"/>
          <w:szCs w:val="24"/>
        </w:rPr>
        <w:t xml:space="preserve">and training </w:t>
      </w:r>
      <w:r w:rsidR="003F2C68" w:rsidRPr="009610A8">
        <w:rPr>
          <w:rFonts w:cstheme="minorHAnsi"/>
          <w:szCs w:val="24"/>
        </w:rPr>
        <w:t>systems for greater market access and student mobility</w:t>
      </w:r>
      <w:r w:rsidR="00FA10C4" w:rsidRPr="009610A8">
        <w:rPr>
          <w:rFonts w:cstheme="minorHAnsi"/>
          <w:szCs w:val="24"/>
        </w:rPr>
        <w:t>, alongside an action plan to imp</w:t>
      </w:r>
      <w:r w:rsidR="00BE223A" w:rsidRPr="009610A8">
        <w:rPr>
          <w:rFonts w:cstheme="minorHAnsi"/>
          <w:szCs w:val="24"/>
        </w:rPr>
        <w:t>lement a competency-based training</w:t>
      </w:r>
      <w:r w:rsidR="00FA10C4" w:rsidRPr="009610A8">
        <w:rPr>
          <w:rFonts w:cstheme="minorHAnsi"/>
          <w:szCs w:val="24"/>
        </w:rPr>
        <w:t xml:space="preserve"> system linked to industry</w:t>
      </w:r>
      <w:r w:rsidR="00A44838" w:rsidRPr="009610A8">
        <w:rPr>
          <w:rFonts w:cstheme="minorHAnsi"/>
          <w:szCs w:val="24"/>
        </w:rPr>
        <w:t>.</w:t>
      </w:r>
      <w:r w:rsidR="008679D8" w:rsidRPr="009610A8">
        <w:rPr>
          <w:rFonts w:cstheme="minorHAnsi"/>
          <w:szCs w:val="24"/>
        </w:rPr>
        <w:t xml:space="preserve"> Government, Council and Australian providers are working on next steps </w:t>
      </w:r>
      <w:r w:rsidR="00D77261">
        <w:rPr>
          <w:rFonts w:cstheme="minorHAnsi"/>
          <w:szCs w:val="24"/>
        </w:rPr>
        <w:t>for</w:t>
      </w:r>
      <w:r w:rsidR="008679D8" w:rsidRPr="009610A8">
        <w:rPr>
          <w:rFonts w:cstheme="minorHAnsi"/>
          <w:szCs w:val="24"/>
        </w:rPr>
        <w:t xml:space="preserve"> the partnership between Australia and Vietnam. </w:t>
      </w:r>
    </w:p>
    <w:p w14:paraId="09F98681" w14:textId="77777777" w:rsidR="00147A3D" w:rsidRPr="009610A8" w:rsidRDefault="000E2EA6" w:rsidP="00D37B89">
      <w:pPr>
        <w:pStyle w:val="Heading2"/>
        <w:numPr>
          <w:ilvl w:val="1"/>
          <w:numId w:val="25"/>
        </w:numPr>
        <w:spacing w:before="360"/>
        <w:ind w:left="709" w:hanging="709"/>
        <w:rPr>
          <w:sz w:val="28"/>
        </w:rPr>
      </w:pPr>
      <w:bookmarkStart w:id="73" w:name="_Toc529431908"/>
      <w:bookmarkStart w:id="74" w:name="_Toc529444179"/>
      <w:bookmarkStart w:id="75" w:name="_Toc529446982"/>
      <w:bookmarkStart w:id="76" w:name="_Toc529456956"/>
      <w:bookmarkStart w:id="77" w:name="_Toc529461688"/>
      <w:bookmarkStart w:id="78" w:name="_Toc529538281"/>
      <w:bookmarkStart w:id="79" w:name="_Toc529288515"/>
      <w:bookmarkStart w:id="80" w:name="_Toc529431912"/>
      <w:bookmarkStart w:id="81" w:name="_Toc529444183"/>
      <w:bookmarkStart w:id="82" w:name="_Toc529446986"/>
      <w:bookmarkStart w:id="83" w:name="_Toc529456960"/>
      <w:bookmarkStart w:id="84" w:name="_Toc529461692"/>
      <w:bookmarkStart w:id="85" w:name="_Toc529538285"/>
      <w:bookmarkStart w:id="86" w:name="_Toc530471857"/>
      <w:bookmarkEnd w:id="73"/>
      <w:bookmarkEnd w:id="74"/>
      <w:bookmarkEnd w:id="75"/>
      <w:bookmarkEnd w:id="76"/>
      <w:bookmarkEnd w:id="77"/>
      <w:bookmarkEnd w:id="78"/>
      <w:bookmarkEnd w:id="79"/>
      <w:bookmarkEnd w:id="80"/>
      <w:bookmarkEnd w:id="81"/>
      <w:bookmarkEnd w:id="82"/>
      <w:bookmarkEnd w:id="83"/>
      <w:bookmarkEnd w:id="84"/>
      <w:bookmarkEnd w:id="85"/>
      <w:r w:rsidRPr="009610A8">
        <w:rPr>
          <w:sz w:val="28"/>
        </w:rPr>
        <w:t xml:space="preserve">Pillar 3 - </w:t>
      </w:r>
      <w:r w:rsidR="00EA37B6" w:rsidRPr="009610A8">
        <w:rPr>
          <w:sz w:val="28"/>
        </w:rPr>
        <w:t>Competing globally</w:t>
      </w:r>
      <w:bookmarkEnd w:id="86"/>
    </w:p>
    <w:p w14:paraId="44A9AF25" w14:textId="63295281" w:rsidR="00AE114F" w:rsidRPr="009610A8" w:rsidRDefault="00763F38" w:rsidP="00B962ED">
      <w:pPr>
        <w:spacing w:after="120" w:line="240" w:lineRule="auto"/>
        <w:rPr>
          <w:caps/>
          <w:szCs w:val="24"/>
        </w:rPr>
      </w:pPr>
      <w:r w:rsidRPr="009610A8">
        <w:rPr>
          <w:szCs w:val="24"/>
        </w:rPr>
        <w:t xml:space="preserve">Australia benefits enormously from the large numbers of international students that choose to </w:t>
      </w:r>
      <w:r w:rsidR="00CB16B9" w:rsidRPr="009610A8">
        <w:rPr>
          <w:szCs w:val="24"/>
        </w:rPr>
        <w:t xml:space="preserve">access </w:t>
      </w:r>
      <w:r w:rsidRPr="009610A8">
        <w:rPr>
          <w:szCs w:val="24"/>
        </w:rPr>
        <w:t xml:space="preserve">our education system. </w:t>
      </w:r>
      <w:r w:rsidR="005800CE" w:rsidRPr="009610A8">
        <w:rPr>
          <w:szCs w:val="24"/>
        </w:rPr>
        <w:t>To drive Australia’s competitive edge, Australia is pursuing a number of key projects</w:t>
      </w:r>
      <w:r w:rsidR="003E0EC1" w:rsidRPr="009610A8">
        <w:rPr>
          <w:szCs w:val="24"/>
        </w:rPr>
        <w:t xml:space="preserve">, including the development of a new nation brand. </w:t>
      </w:r>
      <w:r w:rsidR="00AE114F" w:rsidRPr="009610A8">
        <w:rPr>
          <w:rFonts w:ascii="Calibri" w:eastAsia="DengXian" w:hAnsi="Calibri" w:cs="Times New Roman"/>
          <w:szCs w:val="24"/>
          <w:lang w:eastAsia="en-AU"/>
        </w:rPr>
        <w:t xml:space="preserve">Diversification is at the heart of Australia’s growth agenda – both in terms of student profile (source </w:t>
      </w:r>
      <w:r w:rsidR="003F56FC" w:rsidRPr="009610A8">
        <w:rPr>
          <w:rFonts w:ascii="Calibri" w:eastAsia="DengXian" w:hAnsi="Calibri" w:cs="Times New Roman"/>
          <w:szCs w:val="24"/>
          <w:lang w:eastAsia="en-AU"/>
        </w:rPr>
        <w:t xml:space="preserve">country </w:t>
      </w:r>
      <w:r w:rsidR="00AE114F" w:rsidRPr="009610A8">
        <w:rPr>
          <w:rFonts w:ascii="Calibri" w:eastAsia="DengXian" w:hAnsi="Calibri" w:cs="Times New Roman"/>
          <w:szCs w:val="24"/>
          <w:lang w:eastAsia="en-AU"/>
        </w:rPr>
        <w:t>and course type) and study location.</w:t>
      </w:r>
      <w:r w:rsidR="00EE62FD" w:rsidRPr="009610A8">
        <w:rPr>
          <w:szCs w:val="24"/>
        </w:rPr>
        <w:t xml:space="preserve"> </w:t>
      </w:r>
      <w:r w:rsidR="00B962ED" w:rsidRPr="009610A8">
        <w:rPr>
          <w:szCs w:val="24"/>
        </w:rPr>
        <w:t>Each section of the international education sector has unique strengths, conditions and needs.</w:t>
      </w:r>
    </w:p>
    <w:p w14:paraId="3CB105B1" w14:textId="697BAB11" w:rsidR="003C79E6" w:rsidRPr="009610A8" w:rsidRDefault="004D4784" w:rsidP="004D4784">
      <w:pPr>
        <w:pStyle w:val="Heading3"/>
        <w:numPr>
          <w:ilvl w:val="2"/>
          <w:numId w:val="25"/>
        </w:numPr>
        <w:spacing w:before="360"/>
        <w:ind w:left="709" w:hanging="709"/>
        <w:rPr>
          <w:sz w:val="24"/>
        </w:rPr>
      </w:pPr>
      <w:bookmarkStart w:id="87" w:name="_Toc530471858"/>
      <w:r w:rsidRPr="009610A8">
        <w:rPr>
          <w:sz w:val="24"/>
        </w:rPr>
        <w:t xml:space="preserve">Ensuring a coordinated approach to </w:t>
      </w:r>
      <w:r w:rsidR="00EE644E" w:rsidRPr="009610A8">
        <w:rPr>
          <w:sz w:val="24"/>
        </w:rPr>
        <w:t xml:space="preserve">destination </w:t>
      </w:r>
      <w:r w:rsidRPr="009610A8">
        <w:rPr>
          <w:sz w:val="24"/>
        </w:rPr>
        <w:t>marketing</w:t>
      </w:r>
      <w:bookmarkEnd w:id="87"/>
    </w:p>
    <w:p w14:paraId="6E343CAD" w14:textId="0AD604C3" w:rsidR="003C79E6" w:rsidRPr="009610A8" w:rsidRDefault="003C79E6" w:rsidP="003C79E6">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To ensure the development of </w:t>
      </w:r>
      <w:r w:rsidR="00EB3223" w:rsidRPr="009610A8">
        <w:rPr>
          <w:rFonts w:ascii="Calibri" w:eastAsia="DengXian" w:hAnsi="Calibri" w:cs="Times New Roman"/>
          <w:szCs w:val="24"/>
        </w:rPr>
        <w:t>Australia’s</w:t>
      </w:r>
      <w:r w:rsidRPr="009610A8">
        <w:rPr>
          <w:rFonts w:ascii="Calibri" w:eastAsia="DengXian" w:hAnsi="Calibri" w:cs="Times New Roman"/>
          <w:szCs w:val="24"/>
        </w:rPr>
        <w:t xml:space="preserve"> new </w:t>
      </w:r>
      <w:r w:rsidR="007F681F" w:rsidRPr="009610A8">
        <w:rPr>
          <w:rFonts w:ascii="Calibri" w:eastAsia="DengXian" w:hAnsi="Calibri" w:cs="Times New Roman"/>
          <w:szCs w:val="24"/>
        </w:rPr>
        <w:t>nation b</w:t>
      </w:r>
      <w:r w:rsidRPr="009610A8">
        <w:rPr>
          <w:rFonts w:ascii="Calibri" w:eastAsia="DengXian" w:hAnsi="Calibri" w:cs="Times New Roman"/>
          <w:szCs w:val="24"/>
        </w:rPr>
        <w:t>rand</w:t>
      </w:r>
      <w:r w:rsidR="00EB3223" w:rsidRPr="009610A8">
        <w:rPr>
          <w:rFonts w:ascii="Calibri" w:eastAsia="DengXian" w:hAnsi="Calibri" w:cs="Times New Roman"/>
          <w:szCs w:val="24"/>
        </w:rPr>
        <w:t xml:space="preserve"> (see 4.3.3 below)</w:t>
      </w:r>
      <w:r w:rsidRPr="009610A8">
        <w:rPr>
          <w:rFonts w:ascii="Calibri" w:eastAsia="DengXian" w:hAnsi="Calibri" w:cs="Times New Roman"/>
          <w:szCs w:val="24"/>
        </w:rPr>
        <w:t xml:space="preserve"> takes into account views of the international education sector, the Council established </w:t>
      </w:r>
      <w:r w:rsidR="00286330" w:rsidRPr="009610A8">
        <w:rPr>
          <w:rFonts w:ascii="Calibri" w:eastAsia="DengXian" w:hAnsi="Calibri" w:cs="Times New Roman"/>
          <w:szCs w:val="24"/>
        </w:rPr>
        <w:t xml:space="preserve">a </w:t>
      </w:r>
      <w:r w:rsidR="00EE644E" w:rsidRPr="009610A8">
        <w:rPr>
          <w:rFonts w:ascii="Calibri" w:eastAsia="DengXian" w:hAnsi="Calibri" w:cs="Times New Roman"/>
          <w:szCs w:val="24"/>
        </w:rPr>
        <w:t>Brand and Destination Marketing</w:t>
      </w:r>
      <w:r w:rsidRPr="009610A8">
        <w:rPr>
          <w:rFonts w:ascii="Calibri" w:eastAsia="DengXian" w:hAnsi="Calibri" w:cs="Times New Roman"/>
          <w:szCs w:val="24"/>
        </w:rPr>
        <w:t xml:space="preserve"> Working Group (now concluded)</w:t>
      </w:r>
      <w:r w:rsidR="003E0EC1" w:rsidRPr="009610A8">
        <w:rPr>
          <w:rFonts w:ascii="Calibri" w:eastAsia="DengXian" w:hAnsi="Calibri" w:cs="Times New Roman"/>
          <w:szCs w:val="24"/>
        </w:rPr>
        <w:t xml:space="preserve"> to strongly represent the Council through the </w:t>
      </w:r>
      <w:r w:rsidR="007F681F" w:rsidRPr="009610A8">
        <w:rPr>
          <w:rFonts w:ascii="Calibri" w:eastAsia="DengXian" w:hAnsi="Calibri" w:cs="Times New Roman"/>
          <w:szCs w:val="24"/>
        </w:rPr>
        <w:t>n</w:t>
      </w:r>
      <w:r w:rsidR="003E0EC1" w:rsidRPr="009610A8">
        <w:rPr>
          <w:rFonts w:ascii="Calibri" w:eastAsia="DengXian" w:hAnsi="Calibri" w:cs="Times New Roman"/>
          <w:szCs w:val="24"/>
        </w:rPr>
        <w:t xml:space="preserve">ation </w:t>
      </w:r>
      <w:r w:rsidR="007F681F" w:rsidRPr="009610A8">
        <w:rPr>
          <w:rFonts w:ascii="Calibri" w:eastAsia="DengXian" w:hAnsi="Calibri" w:cs="Times New Roman"/>
          <w:szCs w:val="24"/>
        </w:rPr>
        <w:t>b</w:t>
      </w:r>
      <w:r w:rsidR="003E0EC1" w:rsidRPr="009610A8">
        <w:rPr>
          <w:rFonts w:ascii="Calibri" w:eastAsia="DengXian" w:hAnsi="Calibri" w:cs="Times New Roman"/>
          <w:szCs w:val="24"/>
        </w:rPr>
        <w:t xml:space="preserve">rand consultation process. </w:t>
      </w:r>
    </w:p>
    <w:p w14:paraId="6508AFD5" w14:textId="319DD1FF" w:rsidR="002F76BD" w:rsidRPr="009610A8" w:rsidRDefault="003C79E6" w:rsidP="002F76BD">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One of the key outcomes of the </w:t>
      </w:r>
      <w:r w:rsidR="00EE644E" w:rsidRPr="009610A8">
        <w:rPr>
          <w:rFonts w:ascii="Calibri" w:eastAsia="DengXian" w:hAnsi="Calibri" w:cs="Times New Roman"/>
          <w:szCs w:val="24"/>
        </w:rPr>
        <w:t>Brand and Destination Marketing</w:t>
      </w:r>
      <w:r w:rsidRPr="009610A8">
        <w:rPr>
          <w:rFonts w:ascii="Calibri" w:eastAsia="DengXian" w:hAnsi="Calibri" w:cs="Times New Roman"/>
          <w:szCs w:val="24"/>
        </w:rPr>
        <w:t xml:space="preserve"> Working Group was the development of a market prioritisation framework</w:t>
      </w:r>
      <w:r w:rsidR="003E0EC1" w:rsidRPr="009610A8">
        <w:rPr>
          <w:rFonts w:ascii="Calibri" w:eastAsia="DengXian" w:hAnsi="Calibri" w:cs="Times New Roman"/>
          <w:szCs w:val="24"/>
        </w:rPr>
        <w:t>, a data driven framework to i</w:t>
      </w:r>
      <w:r w:rsidR="00EB3223" w:rsidRPr="009610A8">
        <w:rPr>
          <w:rFonts w:ascii="Calibri" w:eastAsia="DengXian" w:hAnsi="Calibri" w:cs="Times New Roman"/>
          <w:szCs w:val="24"/>
        </w:rPr>
        <w:t>dentify</w:t>
      </w:r>
      <w:r w:rsidR="003E0EC1" w:rsidRPr="009610A8">
        <w:rPr>
          <w:rFonts w:ascii="Calibri" w:eastAsia="DengXian" w:hAnsi="Calibri" w:cs="Times New Roman"/>
          <w:szCs w:val="24"/>
        </w:rPr>
        <w:t xml:space="preserve"> </w:t>
      </w:r>
      <w:r w:rsidR="003F56FC" w:rsidRPr="009610A8">
        <w:rPr>
          <w:rFonts w:ascii="Calibri" w:eastAsia="DengXian" w:hAnsi="Calibri" w:cs="Times New Roman"/>
          <w:szCs w:val="24"/>
        </w:rPr>
        <w:t xml:space="preserve">areas </w:t>
      </w:r>
      <w:r w:rsidR="003E0EC1" w:rsidRPr="009610A8">
        <w:rPr>
          <w:rFonts w:ascii="Calibri" w:eastAsia="DengXian" w:hAnsi="Calibri" w:cs="Times New Roman"/>
          <w:szCs w:val="24"/>
        </w:rPr>
        <w:t>of highest value and interest across jurisdictions and sectors. Specifically</w:t>
      </w:r>
      <w:r w:rsidR="002F76BD" w:rsidRPr="009610A8">
        <w:rPr>
          <w:rFonts w:ascii="Calibri" w:eastAsia="DengXian" w:hAnsi="Calibri" w:cs="Times New Roman"/>
          <w:szCs w:val="24"/>
        </w:rPr>
        <w:t>, the framework:</w:t>
      </w:r>
    </w:p>
    <w:p w14:paraId="194E694E" w14:textId="0E8DE6DA" w:rsidR="002F76BD" w:rsidRPr="009610A8" w:rsidRDefault="002F76BD" w:rsidP="002F76BD">
      <w:pPr>
        <w:pStyle w:val="ListParagraph"/>
        <w:numPr>
          <w:ilvl w:val="0"/>
          <w:numId w:val="48"/>
        </w:numPr>
        <w:spacing w:after="120" w:line="240" w:lineRule="auto"/>
        <w:rPr>
          <w:rFonts w:ascii="Calibri" w:eastAsia="DengXian" w:hAnsi="Calibri" w:cs="Times New Roman"/>
          <w:szCs w:val="24"/>
        </w:rPr>
      </w:pPr>
      <w:r w:rsidRPr="009610A8">
        <w:rPr>
          <w:rFonts w:ascii="Calibri" w:eastAsia="DengXian" w:hAnsi="Calibri" w:cs="Times New Roman"/>
          <w:szCs w:val="24"/>
        </w:rPr>
        <w:t>Identifies where joint marketing activities can be most beneficial (prioritisation)</w:t>
      </w:r>
    </w:p>
    <w:p w14:paraId="702A9087" w14:textId="206AEB90" w:rsidR="002F76BD" w:rsidRPr="009610A8" w:rsidRDefault="002F76BD" w:rsidP="002F76BD">
      <w:pPr>
        <w:pStyle w:val="ListParagraph"/>
        <w:numPr>
          <w:ilvl w:val="0"/>
          <w:numId w:val="48"/>
        </w:numPr>
        <w:spacing w:after="120" w:line="240" w:lineRule="auto"/>
        <w:rPr>
          <w:rFonts w:ascii="Calibri" w:eastAsia="DengXian" w:hAnsi="Calibri" w:cs="Times New Roman"/>
          <w:szCs w:val="24"/>
        </w:rPr>
      </w:pPr>
      <w:r w:rsidRPr="009610A8">
        <w:rPr>
          <w:rFonts w:ascii="Calibri" w:eastAsia="DengXian" w:hAnsi="Calibri" w:cs="Times New Roman"/>
          <w:szCs w:val="24"/>
        </w:rPr>
        <w:t>Outlines potential models and approaches to collaboration and co-design (collaboration opportunities</w:t>
      </w:r>
      <w:r w:rsidR="00EB3223" w:rsidRPr="009610A8">
        <w:rPr>
          <w:rFonts w:ascii="Calibri" w:eastAsia="DengXian" w:hAnsi="Calibri" w:cs="Times New Roman"/>
          <w:szCs w:val="24"/>
        </w:rPr>
        <w:t>)</w:t>
      </w:r>
    </w:p>
    <w:p w14:paraId="2BF777EA" w14:textId="77777777" w:rsidR="002F76BD" w:rsidRPr="009610A8" w:rsidRDefault="002F76BD" w:rsidP="002F76BD">
      <w:pPr>
        <w:pStyle w:val="ListParagraph"/>
        <w:numPr>
          <w:ilvl w:val="0"/>
          <w:numId w:val="48"/>
        </w:numPr>
        <w:spacing w:after="120" w:line="240" w:lineRule="auto"/>
        <w:rPr>
          <w:rFonts w:ascii="Calibri" w:eastAsia="DengXian" w:hAnsi="Calibri" w:cs="Times New Roman"/>
          <w:szCs w:val="24"/>
        </w:rPr>
      </w:pPr>
      <w:r w:rsidRPr="009610A8">
        <w:rPr>
          <w:rFonts w:ascii="Calibri" w:eastAsia="DengXian" w:hAnsi="Calibri" w:cs="Times New Roman"/>
          <w:szCs w:val="24"/>
        </w:rPr>
        <w:t>Supports the management of critical incidents through activation of the international education Reputational Risk Response Framework.</w:t>
      </w:r>
    </w:p>
    <w:p w14:paraId="4FC02300" w14:textId="0068B8B0" w:rsidR="002F76BD" w:rsidRPr="009610A8" w:rsidRDefault="003C79E6" w:rsidP="002F76BD">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The Expert Members will lead and promote the use of the market </w:t>
      </w:r>
      <w:r w:rsidR="00A365A4" w:rsidRPr="009610A8">
        <w:rPr>
          <w:rFonts w:ascii="Calibri" w:eastAsia="DengXian" w:hAnsi="Calibri" w:cs="Times New Roman"/>
          <w:szCs w:val="24"/>
        </w:rPr>
        <w:t xml:space="preserve">prioritisation </w:t>
      </w:r>
      <w:r w:rsidRPr="009610A8">
        <w:rPr>
          <w:rFonts w:ascii="Calibri" w:eastAsia="DengXian" w:hAnsi="Calibri" w:cs="Times New Roman"/>
          <w:szCs w:val="24"/>
        </w:rPr>
        <w:t>framework across the sector in 2019.</w:t>
      </w:r>
      <w:r w:rsidR="00A365A4" w:rsidRPr="009610A8">
        <w:rPr>
          <w:rFonts w:ascii="Calibri" w:eastAsia="DengXian" w:hAnsi="Calibri" w:cs="Times New Roman"/>
          <w:szCs w:val="24"/>
        </w:rPr>
        <w:t xml:space="preserve"> </w:t>
      </w:r>
      <w:r w:rsidR="002F76BD" w:rsidRPr="009610A8">
        <w:rPr>
          <w:rFonts w:ascii="Calibri" w:eastAsia="DengXian" w:hAnsi="Calibri" w:cs="Times New Roman"/>
          <w:szCs w:val="24"/>
        </w:rPr>
        <w:t>The framework has been introduced to the revitalised International Education Marketing Forum and will be considered in the context of planning future marketing activity.</w:t>
      </w:r>
    </w:p>
    <w:p w14:paraId="75494698" w14:textId="77777777" w:rsidR="00EE644E" w:rsidRPr="009610A8" w:rsidRDefault="00EE644E" w:rsidP="00EE644E">
      <w:pPr>
        <w:pStyle w:val="Heading3"/>
        <w:numPr>
          <w:ilvl w:val="2"/>
          <w:numId w:val="25"/>
        </w:numPr>
        <w:spacing w:before="360"/>
        <w:ind w:left="709" w:hanging="709"/>
        <w:rPr>
          <w:sz w:val="24"/>
        </w:rPr>
      </w:pPr>
      <w:bookmarkStart w:id="88" w:name="_Toc530471859"/>
      <w:r w:rsidRPr="009610A8">
        <w:rPr>
          <w:sz w:val="24"/>
        </w:rPr>
        <w:t>Promoting Australia’s excellence</w:t>
      </w:r>
      <w:bookmarkEnd w:id="88"/>
    </w:p>
    <w:p w14:paraId="1726375F" w14:textId="77777777" w:rsidR="00EE644E" w:rsidRPr="009610A8" w:rsidRDefault="00EE644E" w:rsidP="00EE644E">
      <w:pPr>
        <w:spacing w:after="120" w:line="240" w:lineRule="auto"/>
        <w:rPr>
          <w:rFonts w:ascii="Calibri" w:eastAsia="DengXian" w:hAnsi="Calibri" w:cs="Times New Roman"/>
          <w:szCs w:val="24"/>
        </w:rPr>
      </w:pPr>
      <w:r w:rsidRPr="009610A8">
        <w:rPr>
          <w:rFonts w:ascii="Calibri" w:eastAsia="DengXian" w:hAnsi="Calibri" w:cs="Times New Roman"/>
          <w:szCs w:val="24"/>
        </w:rPr>
        <w:t>Australia’s education, training and research strengths and assets are being reflected in a new nation brand that helps to underscore our broader national image overseas. A refreshed brand will reinforce Australia as a quality provider of education, as well as an internationally competitive investment destination, a great place to visit, and a trusted exporter of premium goods and services.</w:t>
      </w:r>
    </w:p>
    <w:p w14:paraId="3026FE9F" w14:textId="504CBC44" w:rsidR="00EE644E" w:rsidRPr="009610A8" w:rsidRDefault="00EE644E" w:rsidP="00EE644E">
      <w:pPr>
        <w:spacing w:after="120" w:line="240" w:lineRule="auto"/>
        <w:rPr>
          <w:rFonts w:ascii="Calibri" w:eastAsia="DengXian" w:hAnsi="Calibri" w:cs="Times New Roman"/>
          <w:szCs w:val="24"/>
        </w:rPr>
      </w:pPr>
      <w:r w:rsidRPr="009610A8">
        <w:rPr>
          <w:rFonts w:ascii="Calibri" w:eastAsia="DengXian" w:hAnsi="Calibri" w:cs="Times New Roman"/>
          <w:szCs w:val="24"/>
        </w:rPr>
        <w:lastRenderedPageBreak/>
        <w:t>Australian Government is also developing, under the auspices of the EGI program and in partnership with state</w:t>
      </w:r>
      <w:r w:rsidR="000E1A29">
        <w:rPr>
          <w:rFonts w:ascii="Calibri" w:eastAsia="DengXian" w:hAnsi="Calibri" w:cs="Times New Roman"/>
          <w:szCs w:val="24"/>
        </w:rPr>
        <w:t>s</w:t>
      </w:r>
      <w:r w:rsidRPr="009610A8">
        <w:rPr>
          <w:rFonts w:ascii="Calibri" w:eastAsia="DengXian" w:hAnsi="Calibri" w:cs="Times New Roman"/>
          <w:szCs w:val="24"/>
        </w:rPr>
        <w:t xml:space="preserve"> and territories, a marketing resource toolkit. The toolkit, consisting of core messages underpinned by evidence, will be shared with the sector and destination marketing bodies to help improve the consistency of Australia’s international education marketing messages. </w:t>
      </w:r>
    </w:p>
    <w:p w14:paraId="190B8C6C" w14:textId="77777777" w:rsidR="003C79E6" w:rsidRPr="009610A8" w:rsidRDefault="004D4784" w:rsidP="003C79E6">
      <w:pPr>
        <w:pStyle w:val="Heading3"/>
        <w:numPr>
          <w:ilvl w:val="2"/>
          <w:numId w:val="25"/>
        </w:numPr>
        <w:spacing w:before="360"/>
        <w:ind w:left="709" w:hanging="709"/>
        <w:rPr>
          <w:sz w:val="24"/>
        </w:rPr>
      </w:pPr>
      <w:bookmarkStart w:id="89" w:name="_Toc530471860"/>
      <w:r w:rsidRPr="009610A8">
        <w:rPr>
          <w:sz w:val="24"/>
        </w:rPr>
        <w:t>Growing international education in regional Australia</w:t>
      </w:r>
      <w:bookmarkEnd w:id="89"/>
    </w:p>
    <w:p w14:paraId="6B16C168" w14:textId="4C81E1D2" w:rsidR="004D4784" w:rsidRPr="009610A8" w:rsidRDefault="003C79E6" w:rsidP="004D4784">
      <w:pPr>
        <w:spacing w:after="120" w:line="240" w:lineRule="auto"/>
        <w:rPr>
          <w:rFonts w:ascii="Calibri" w:eastAsia="MS PGothic" w:hAnsi="Calibri" w:cs="Times New Roman"/>
          <w:szCs w:val="24"/>
        </w:rPr>
      </w:pPr>
      <w:r w:rsidRPr="009610A8">
        <w:rPr>
          <w:rFonts w:ascii="Calibri" w:eastAsia="MS PGothic" w:hAnsi="Calibri" w:cs="Times New Roman"/>
          <w:szCs w:val="24"/>
        </w:rPr>
        <w:t>In November 2018, Expert Members released a consultation paper on growing international education in regional Australia. Submissions from peak bodies, education providers and other key stakeholders will inform the Expert Members’ discussion</w:t>
      </w:r>
      <w:r w:rsidR="00286330" w:rsidRPr="009610A8">
        <w:rPr>
          <w:rFonts w:ascii="Calibri" w:eastAsia="MS PGothic" w:hAnsi="Calibri" w:cs="Times New Roman"/>
          <w:szCs w:val="24"/>
        </w:rPr>
        <w:t>s</w:t>
      </w:r>
      <w:r w:rsidRPr="009610A8">
        <w:rPr>
          <w:rFonts w:ascii="Calibri" w:eastAsia="MS PGothic" w:hAnsi="Calibri" w:cs="Times New Roman"/>
          <w:szCs w:val="24"/>
        </w:rPr>
        <w:t xml:space="preserve"> and advice to government in early 2019.</w:t>
      </w:r>
      <w:r w:rsidR="004D4784" w:rsidRPr="009610A8">
        <w:rPr>
          <w:rFonts w:ascii="Calibri" w:eastAsia="MS PGothic" w:hAnsi="Calibri" w:cs="Times New Roman"/>
          <w:szCs w:val="24"/>
        </w:rPr>
        <w:t xml:space="preserve"> </w:t>
      </w:r>
    </w:p>
    <w:p w14:paraId="63069922" w14:textId="2DC123BC" w:rsidR="003C79E6" w:rsidRPr="009610A8" w:rsidRDefault="004D4784" w:rsidP="003C79E6">
      <w:pPr>
        <w:spacing w:after="120" w:line="240" w:lineRule="auto"/>
        <w:rPr>
          <w:rFonts w:ascii="Calibri" w:eastAsia="MS PGothic" w:hAnsi="Calibri" w:cs="Times New Roman"/>
          <w:szCs w:val="24"/>
        </w:rPr>
      </w:pPr>
      <w:r w:rsidRPr="009610A8">
        <w:rPr>
          <w:rFonts w:ascii="Calibri" w:eastAsia="MS PGothic" w:hAnsi="Calibri" w:cs="Times New Roman"/>
          <w:szCs w:val="24"/>
        </w:rPr>
        <w:t xml:space="preserve">In partnership with all states and territories, </w:t>
      </w:r>
      <w:r w:rsidR="00D55D82" w:rsidRPr="009610A8">
        <w:rPr>
          <w:rFonts w:ascii="Calibri" w:eastAsia="MS PGothic" w:hAnsi="Calibri" w:cs="Times New Roman"/>
          <w:szCs w:val="24"/>
        </w:rPr>
        <w:t xml:space="preserve">the Australian Government </w:t>
      </w:r>
      <w:r w:rsidRPr="009610A8">
        <w:rPr>
          <w:rFonts w:ascii="Calibri" w:eastAsia="MS PGothic" w:hAnsi="Calibri" w:cs="Times New Roman"/>
          <w:szCs w:val="24"/>
        </w:rPr>
        <w:t>launched the</w:t>
      </w:r>
      <w:r w:rsidRPr="009610A8">
        <w:rPr>
          <w:rFonts w:ascii="Calibri" w:eastAsia="MS PGothic" w:hAnsi="Calibri" w:cs="Times New Roman"/>
          <w:b/>
          <w:szCs w:val="24"/>
        </w:rPr>
        <w:t xml:space="preserve"> </w:t>
      </w:r>
      <w:r w:rsidRPr="009610A8">
        <w:rPr>
          <w:rFonts w:ascii="Calibri" w:eastAsia="MS PGothic" w:hAnsi="Calibri" w:cs="Times New Roman"/>
          <w:szCs w:val="24"/>
        </w:rPr>
        <w:t>#</w:t>
      </w:r>
      <w:r w:rsidRPr="009610A8">
        <w:rPr>
          <w:rFonts w:ascii="Calibri" w:eastAsia="MS PGothic" w:hAnsi="Calibri" w:cs="Times New Roman"/>
          <w:i/>
          <w:szCs w:val="24"/>
        </w:rPr>
        <w:t>GoBeyond</w:t>
      </w:r>
      <w:r w:rsidRPr="009610A8">
        <w:rPr>
          <w:rFonts w:ascii="Calibri" w:eastAsia="MS PGothic" w:hAnsi="Calibri" w:cs="Times New Roman"/>
          <w:szCs w:val="24"/>
        </w:rPr>
        <w:t xml:space="preserve"> social media campaign which ran from April 2018 to June 2018, targeting international students in Indonesia, Philippines, Brazil, Colombia and Malaysia. The goal was to raise awareness of study opportunities in regional Australia. The campaign reached over 12 million people and </w:t>
      </w:r>
      <w:r w:rsidR="00357D3A" w:rsidRPr="009610A8">
        <w:rPr>
          <w:rFonts w:ascii="Calibri" w:eastAsia="MS PGothic" w:hAnsi="Calibri" w:cs="Times New Roman"/>
          <w:szCs w:val="24"/>
        </w:rPr>
        <w:t xml:space="preserve">proved the value and opportunity of coordinated marketing efforts, as well as providing </w:t>
      </w:r>
      <w:r w:rsidRPr="009610A8">
        <w:rPr>
          <w:rFonts w:ascii="Calibri" w:eastAsia="MS PGothic" w:hAnsi="Calibri" w:cs="Times New Roman"/>
          <w:szCs w:val="24"/>
        </w:rPr>
        <w:t>insights on how to better engage prospective students digitally.</w:t>
      </w:r>
    </w:p>
    <w:p w14:paraId="40263489" w14:textId="77777777" w:rsidR="005D3154" w:rsidRPr="009610A8" w:rsidRDefault="007B01DC" w:rsidP="00CE47E1">
      <w:pPr>
        <w:pStyle w:val="Heading3"/>
        <w:numPr>
          <w:ilvl w:val="2"/>
          <w:numId w:val="25"/>
        </w:numPr>
        <w:spacing w:before="360"/>
        <w:ind w:left="709" w:hanging="709"/>
        <w:rPr>
          <w:sz w:val="24"/>
        </w:rPr>
      </w:pPr>
      <w:bookmarkStart w:id="90" w:name="_Toc529461695"/>
      <w:bookmarkStart w:id="91" w:name="_Toc529538288"/>
      <w:bookmarkStart w:id="92" w:name="_Toc530471862"/>
      <w:bookmarkEnd w:id="90"/>
      <w:bookmarkEnd w:id="91"/>
      <w:r w:rsidRPr="009610A8" w:rsidDel="003C6C18">
        <w:rPr>
          <w:sz w:val="24"/>
        </w:rPr>
        <w:t>Pursuing</w:t>
      </w:r>
      <w:r w:rsidR="005D3154" w:rsidRPr="009610A8">
        <w:rPr>
          <w:sz w:val="24"/>
        </w:rPr>
        <w:t xml:space="preserve"> strategic growth opportunities</w:t>
      </w:r>
      <w:bookmarkEnd w:id="92"/>
      <w:r w:rsidR="005D3154" w:rsidRPr="009610A8">
        <w:rPr>
          <w:sz w:val="24"/>
        </w:rPr>
        <w:t xml:space="preserve"> </w:t>
      </w:r>
    </w:p>
    <w:p w14:paraId="14BA3C52" w14:textId="483EFBB3" w:rsidR="005D3154" w:rsidRPr="009610A8" w:rsidRDefault="005D3154" w:rsidP="00CE47E1">
      <w:pPr>
        <w:spacing w:after="120" w:line="240" w:lineRule="auto"/>
        <w:rPr>
          <w:rFonts w:ascii="Calibri" w:eastAsia="DengXian" w:hAnsi="Calibri" w:cs="Times New Roman"/>
          <w:szCs w:val="24"/>
          <w:lang w:eastAsia="en-AU"/>
        </w:rPr>
      </w:pPr>
      <w:r w:rsidRPr="009610A8">
        <w:rPr>
          <w:rFonts w:ascii="Calibri" w:eastAsia="DengXian" w:hAnsi="Calibri" w:cs="Times New Roman"/>
          <w:szCs w:val="24"/>
          <w:lang w:eastAsia="en-AU"/>
        </w:rPr>
        <w:t xml:space="preserve">To support the sector to make </w:t>
      </w:r>
      <w:r w:rsidR="00357D3A" w:rsidRPr="009610A8">
        <w:rPr>
          <w:rFonts w:ascii="Calibri" w:eastAsia="DengXian" w:hAnsi="Calibri" w:cs="Times New Roman"/>
          <w:szCs w:val="24"/>
          <w:lang w:eastAsia="en-AU"/>
        </w:rPr>
        <w:t xml:space="preserve">more strategic </w:t>
      </w:r>
      <w:r w:rsidRPr="009610A8">
        <w:rPr>
          <w:rFonts w:ascii="Calibri" w:eastAsia="DengXian" w:hAnsi="Calibri" w:cs="Times New Roman"/>
          <w:szCs w:val="24"/>
          <w:lang w:eastAsia="en-AU"/>
        </w:rPr>
        <w:t xml:space="preserve">growth decisions, </w:t>
      </w:r>
      <w:r w:rsidR="00D55D82" w:rsidRPr="009610A8">
        <w:rPr>
          <w:rFonts w:ascii="Calibri" w:eastAsia="DengXian" w:hAnsi="Calibri" w:cs="Times New Roman"/>
          <w:szCs w:val="24"/>
          <w:lang w:eastAsia="en-AU"/>
        </w:rPr>
        <w:t xml:space="preserve">the Australian Government </w:t>
      </w:r>
      <w:r w:rsidRPr="009610A8">
        <w:rPr>
          <w:rFonts w:ascii="Calibri" w:eastAsia="DengXian" w:hAnsi="Calibri" w:cs="Times New Roman"/>
          <w:szCs w:val="24"/>
          <w:lang w:eastAsia="en-AU"/>
        </w:rPr>
        <w:t>launch</w:t>
      </w:r>
      <w:r w:rsidR="00AE114F" w:rsidRPr="009610A8">
        <w:rPr>
          <w:rFonts w:ascii="Calibri" w:eastAsia="DengXian" w:hAnsi="Calibri" w:cs="Times New Roman"/>
          <w:szCs w:val="24"/>
          <w:lang w:eastAsia="en-AU"/>
        </w:rPr>
        <w:t>ed</w:t>
      </w:r>
      <w:r w:rsidRPr="009610A8">
        <w:rPr>
          <w:rFonts w:ascii="Calibri" w:eastAsia="DengXian" w:hAnsi="Calibri" w:cs="Times New Roman"/>
          <w:szCs w:val="24"/>
          <w:lang w:eastAsia="en-AU"/>
        </w:rPr>
        <w:t xml:space="preserve"> a new online tool </w:t>
      </w:r>
      <w:r w:rsidR="00AE114F" w:rsidRPr="009610A8">
        <w:rPr>
          <w:rFonts w:ascii="Calibri" w:eastAsia="DengXian" w:hAnsi="Calibri" w:cs="Times New Roman"/>
          <w:szCs w:val="24"/>
          <w:lang w:eastAsia="en-AU"/>
        </w:rPr>
        <w:t>‘</w:t>
      </w:r>
      <w:r w:rsidRPr="009610A8">
        <w:rPr>
          <w:rFonts w:ascii="Calibri" w:eastAsia="DengXian" w:hAnsi="Calibri" w:cs="Times New Roman"/>
          <w:i/>
          <w:szCs w:val="24"/>
          <w:lang w:eastAsia="en-AU"/>
        </w:rPr>
        <w:t>Where to Compete?</w:t>
      </w:r>
      <w:r w:rsidR="00AE114F" w:rsidRPr="009610A8">
        <w:rPr>
          <w:rFonts w:ascii="Calibri" w:eastAsia="DengXian" w:hAnsi="Calibri" w:cs="Times New Roman"/>
          <w:i/>
          <w:szCs w:val="24"/>
          <w:lang w:eastAsia="en-AU"/>
        </w:rPr>
        <w:t>’</w:t>
      </w:r>
      <w:r w:rsidR="003E1832">
        <w:rPr>
          <w:rFonts w:ascii="Calibri" w:eastAsia="DengXian" w:hAnsi="Calibri" w:cs="Times New Roman"/>
          <w:szCs w:val="24"/>
          <w:lang w:eastAsia="en-AU"/>
        </w:rPr>
        <w:t>.</w:t>
      </w:r>
      <w:r w:rsidRPr="009610A8">
        <w:rPr>
          <w:rFonts w:ascii="Calibri" w:eastAsia="DengXian" w:hAnsi="Calibri" w:cs="Times New Roman"/>
          <w:szCs w:val="24"/>
          <w:lang w:eastAsia="en-AU"/>
        </w:rPr>
        <w:t xml:space="preserve"> The tool provides insights into opportunities and barriers by </w:t>
      </w:r>
      <w:r w:rsidR="003F56FC" w:rsidRPr="009610A8">
        <w:rPr>
          <w:rFonts w:ascii="Calibri" w:eastAsia="DengXian" w:hAnsi="Calibri" w:cs="Times New Roman"/>
          <w:szCs w:val="24"/>
          <w:lang w:eastAsia="en-AU"/>
        </w:rPr>
        <w:t>country</w:t>
      </w:r>
      <w:r w:rsidRPr="009610A8">
        <w:rPr>
          <w:rFonts w:ascii="Calibri" w:eastAsia="DengXian" w:hAnsi="Calibri" w:cs="Times New Roman"/>
          <w:szCs w:val="24"/>
          <w:lang w:eastAsia="en-AU"/>
        </w:rPr>
        <w:t xml:space="preserve">, sector and delivery mode – matched with the latest student and visa data and benchmarked against global economic indicators. The tool </w:t>
      </w:r>
      <w:r w:rsidR="00357D3A" w:rsidRPr="009610A8">
        <w:rPr>
          <w:rFonts w:ascii="Calibri" w:eastAsia="DengXian" w:hAnsi="Calibri" w:cs="Times New Roman"/>
          <w:szCs w:val="24"/>
          <w:lang w:eastAsia="en-AU"/>
        </w:rPr>
        <w:t xml:space="preserve">enables providers to consider the relative merits of </w:t>
      </w:r>
      <w:r w:rsidR="003F56FC" w:rsidRPr="009610A8">
        <w:rPr>
          <w:rFonts w:ascii="Calibri" w:eastAsia="DengXian" w:hAnsi="Calibri" w:cs="Times New Roman"/>
          <w:szCs w:val="24"/>
          <w:lang w:eastAsia="en-AU"/>
        </w:rPr>
        <w:t>opportunities</w:t>
      </w:r>
      <w:r w:rsidR="0051254A" w:rsidRPr="009610A8">
        <w:rPr>
          <w:rFonts w:ascii="Calibri" w:eastAsia="DengXian" w:hAnsi="Calibri" w:cs="Times New Roman"/>
          <w:szCs w:val="24"/>
          <w:lang w:eastAsia="en-AU"/>
        </w:rPr>
        <w:t>,</w:t>
      </w:r>
      <w:r w:rsidR="00DF3993" w:rsidRPr="009610A8">
        <w:rPr>
          <w:rFonts w:ascii="Calibri" w:eastAsia="DengXian" w:hAnsi="Calibri" w:cs="Times New Roman"/>
          <w:szCs w:val="24"/>
          <w:lang w:eastAsia="en-AU"/>
        </w:rPr>
        <w:t xml:space="preserve"> </w:t>
      </w:r>
      <w:r w:rsidR="00B15ABB" w:rsidRPr="009610A8">
        <w:rPr>
          <w:rFonts w:ascii="Calibri" w:eastAsia="DengXian" w:hAnsi="Calibri" w:cs="Times New Roman"/>
          <w:szCs w:val="24"/>
          <w:lang w:eastAsia="en-AU"/>
        </w:rPr>
        <w:t>supporting diversification</w:t>
      </w:r>
      <w:r w:rsidR="00357D3A" w:rsidRPr="009610A8">
        <w:rPr>
          <w:rFonts w:ascii="Calibri" w:eastAsia="DengXian" w:hAnsi="Calibri" w:cs="Times New Roman"/>
          <w:szCs w:val="24"/>
          <w:lang w:eastAsia="en-AU"/>
        </w:rPr>
        <w:t xml:space="preserve"> </w:t>
      </w:r>
      <w:r w:rsidR="00CB16B9" w:rsidRPr="009610A8">
        <w:rPr>
          <w:rFonts w:ascii="Calibri" w:eastAsia="DengXian" w:hAnsi="Calibri" w:cs="Times New Roman"/>
          <w:szCs w:val="24"/>
          <w:lang w:eastAsia="en-AU"/>
        </w:rPr>
        <w:t>efforts</w:t>
      </w:r>
      <w:r w:rsidR="00357D3A" w:rsidRPr="009610A8">
        <w:rPr>
          <w:rFonts w:ascii="Calibri" w:eastAsia="DengXian" w:hAnsi="Calibri" w:cs="Times New Roman"/>
          <w:szCs w:val="24"/>
          <w:lang w:eastAsia="en-AU"/>
        </w:rPr>
        <w:t xml:space="preserve">. It </w:t>
      </w:r>
      <w:r w:rsidRPr="009610A8">
        <w:rPr>
          <w:rFonts w:ascii="Calibri" w:eastAsia="DengXian" w:hAnsi="Calibri" w:cs="Times New Roman"/>
          <w:szCs w:val="24"/>
          <w:lang w:eastAsia="en-AU"/>
        </w:rPr>
        <w:t xml:space="preserve">currently provides insights for 41 </w:t>
      </w:r>
      <w:r w:rsidR="003F56FC" w:rsidRPr="009610A8">
        <w:rPr>
          <w:rFonts w:ascii="Calibri" w:eastAsia="DengXian" w:hAnsi="Calibri" w:cs="Times New Roman"/>
          <w:szCs w:val="24"/>
          <w:lang w:eastAsia="en-AU"/>
        </w:rPr>
        <w:t xml:space="preserve">countries </w:t>
      </w:r>
      <w:r w:rsidRPr="009610A8">
        <w:rPr>
          <w:rFonts w:ascii="Calibri" w:eastAsia="DengXian" w:hAnsi="Calibri" w:cs="Times New Roman"/>
          <w:szCs w:val="24"/>
          <w:lang w:eastAsia="en-AU"/>
        </w:rPr>
        <w:t xml:space="preserve">with plans to expand to include more </w:t>
      </w:r>
      <w:r w:rsidR="003F56FC" w:rsidRPr="009610A8">
        <w:rPr>
          <w:rFonts w:ascii="Calibri" w:eastAsia="DengXian" w:hAnsi="Calibri" w:cs="Times New Roman"/>
          <w:szCs w:val="24"/>
          <w:lang w:eastAsia="en-AU"/>
        </w:rPr>
        <w:t xml:space="preserve">countries </w:t>
      </w:r>
      <w:r w:rsidRPr="009610A8">
        <w:rPr>
          <w:rFonts w:ascii="Calibri" w:eastAsia="DengXian" w:hAnsi="Calibri" w:cs="Times New Roman"/>
          <w:szCs w:val="24"/>
          <w:lang w:eastAsia="en-AU"/>
        </w:rPr>
        <w:t xml:space="preserve">and </w:t>
      </w:r>
      <w:r w:rsidR="003F56FC" w:rsidRPr="009610A8">
        <w:rPr>
          <w:rFonts w:ascii="Calibri" w:eastAsia="DengXian" w:hAnsi="Calibri" w:cs="Times New Roman"/>
          <w:szCs w:val="24"/>
          <w:lang w:eastAsia="en-AU"/>
        </w:rPr>
        <w:t xml:space="preserve">more </w:t>
      </w:r>
      <w:r w:rsidRPr="009610A8">
        <w:rPr>
          <w:rFonts w:ascii="Calibri" w:eastAsia="DengXian" w:hAnsi="Calibri" w:cs="Times New Roman"/>
          <w:szCs w:val="24"/>
          <w:lang w:eastAsia="en-AU"/>
        </w:rPr>
        <w:t>insights on competitor activities based on user feedback.</w:t>
      </w:r>
    </w:p>
    <w:p w14:paraId="47A8D361" w14:textId="77777777" w:rsidR="00AD7011" w:rsidRPr="009610A8" w:rsidRDefault="000A5B00" w:rsidP="004D4784">
      <w:pPr>
        <w:pStyle w:val="Heading3"/>
        <w:numPr>
          <w:ilvl w:val="2"/>
          <w:numId w:val="25"/>
        </w:numPr>
        <w:spacing w:before="360"/>
        <w:ind w:left="709" w:hanging="709"/>
        <w:rPr>
          <w:sz w:val="24"/>
        </w:rPr>
      </w:pPr>
      <w:bookmarkStart w:id="93" w:name="_Toc530471863"/>
      <w:r w:rsidRPr="009610A8">
        <w:rPr>
          <w:sz w:val="24"/>
        </w:rPr>
        <w:t>Building the capacity of our schools to engage internationally</w:t>
      </w:r>
      <w:bookmarkEnd w:id="93"/>
      <w:r w:rsidR="00AD7011" w:rsidRPr="009610A8">
        <w:rPr>
          <w:sz w:val="24"/>
        </w:rPr>
        <w:t xml:space="preserve"> </w:t>
      </w:r>
    </w:p>
    <w:p w14:paraId="32C215EB" w14:textId="291BBE2F" w:rsidR="00AD7011" w:rsidRPr="009610A8" w:rsidRDefault="00AD7011" w:rsidP="00C85B39">
      <w:pPr>
        <w:spacing w:after="120" w:line="240" w:lineRule="auto"/>
        <w:rPr>
          <w:szCs w:val="24"/>
        </w:rPr>
      </w:pPr>
      <w:r w:rsidRPr="009610A8">
        <w:rPr>
          <w:szCs w:val="24"/>
        </w:rPr>
        <w:t>To contribute to the development of a sector strategy for schools, Expert Members engaged in an intensive policy discussion in November 2018 that identified key priorities and actions to support the sector to engage more deeply in international education. The discussion drew on a range of evidence and research, including the survey of the onshore schools sector that was included in the enhanced</w:t>
      </w:r>
      <w:r w:rsidRPr="009610A8">
        <w:rPr>
          <w:i/>
          <w:szCs w:val="24"/>
        </w:rPr>
        <w:t xml:space="preserve"> International Students Survey 2018</w:t>
      </w:r>
      <w:r w:rsidRPr="009610A8">
        <w:rPr>
          <w:szCs w:val="24"/>
        </w:rPr>
        <w:t>, and initial finding</w:t>
      </w:r>
      <w:r w:rsidR="00DF3993" w:rsidRPr="009610A8">
        <w:rPr>
          <w:szCs w:val="24"/>
        </w:rPr>
        <w:t>s</w:t>
      </w:r>
      <w:r w:rsidRPr="009610A8">
        <w:rPr>
          <w:szCs w:val="24"/>
        </w:rPr>
        <w:t xml:space="preserve"> from two research projects funded under the EGI program.</w:t>
      </w:r>
    </w:p>
    <w:p w14:paraId="5ACF9E81" w14:textId="77777777" w:rsidR="003C79E6" w:rsidRPr="009610A8" w:rsidRDefault="003C79E6" w:rsidP="003C79E6">
      <w:pPr>
        <w:pStyle w:val="Heading3"/>
        <w:numPr>
          <w:ilvl w:val="2"/>
          <w:numId w:val="25"/>
        </w:numPr>
        <w:spacing w:before="360"/>
        <w:ind w:left="709" w:hanging="709"/>
        <w:rPr>
          <w:sz w:val="24"/>
        </w:rPr>
      </w:pPr>
      <w:bookmarkStart w:id="94" w:name="_Toc530471864"/>
      <w:r w:rsidRPr="009610A8">
        <w:rPr>
          <w:sz w:val="24"/>
        </w:rPr>
        <w:t>Facilitating offshore delivery of VET</w:t>
      </w:r>
      <w:bookmarkEnd w:id="94"/>
    </w:p>
    <w:p w14:paraId="6A00954D" w14:textId="7540CA5F" w:rsidR="003C79E6" w:rsidRPr="009610A8" w:rsidRDefault="003C79E6" w:rsidP="003C79E6">
      <w:pPr>
        <w:spacing w:after="120" w:line="240" w:lineRule="auto"/>
        <w:rPr>
          <w:szCs w:val="24"/>
        </w:rPr>
      </w:pPr>
      <w:r w:rsidRPr="009610A8">
        <w:rPr>
          <w:szCs w:val="24"/>
        </w:rPr>
        <w:t xml:space="preserve">In order to support the VET sector to develop new, scalable initiatives to tap into growing international demand for skills, a range of education and training products for providers to deliver under license offshore have been developed, ranging from AQF qualifications to non-accredited short courses. These products are designed to enable Australian VET providers to offer customised training solutions at both country and individual business level. International Skills Training (IST) courses are one example, offering locally tailored and affordable training options to meet the huge demand in-country for skilled workers, which Australian Registered Training Organisations (RTOs) can deliver offshore. The IST courses have been delivered in a number of countries, initially India and now China, and </w:t>
      </w:r>
      <w:r w:rsidR="00286330" w:rsidRPr="009610A8">
        <w:rPr>
          <w:szCs w:val="24"/>
        </w:rPr>
        <w:t xml:space="preserve">an IST advisory group is working </w:t>
      </w:r>
      <w:r w:rsidR="003E1832">
        <w:rPr>
          <w:szCs w:val="24"/>
        </w:rPr>
        <w:t>alongside government in</w:t>
      </w:r>
      <w:r w:rsidR="00286330" w:rsidRPr="009610A8">
        <w:rPr>
          <w:szCs w:val="24"/>
        </w:rPr>
        <w:t xml:space="preserve"> support</w:t>
      </w:r>
      <w:r w:rsidR="003E1832">
        <w:rPr>
          <w:szCs w:val="24"/>
        </w:rPr>
        <w:t>ing</w:t>
      </w:r>
      <w:r w:rsidRPr="009610A8">
        <w:rPr>
          <w:szCs w:val="24"/>
        </w:rPr>
        <w:t xml:space="preserve"> opportunities for further expansion.</w:t>
      </w:r>
    </w:p>
    <w:p w14:paraId="336C8E07" w14:textId="77777777" w:rsidR="003F0475" w:rsidRPr="009610A8" w:rsidRDefault="000A5B00" w:rsidP="004D4784">
      <w:pPr>
        <w:pStyle w:val="Heading3"/>
        <w:numPr>
          <w:ilvl w:val="2"/>
          <w:numId w:val="25"/>
        </w:numPr>
        <w:spacing w:before="360"/>
        <w:ind w:left="709" w:hanging="709"/>
        <w:rPr>
          <w:sz w:val="24"/>
        </w:rPr>
      </w:pPr>
      <w:bookmarkStart w:id="95" w:name="_Toc530471865"/>
      <w:r w:rsidRPr="009610A8">
        <w:rPr>
          <w:sz w:val="24"/>
        </w:rPr>
        <w:t>Supporting diversification into growth areas</w:t>
      </w:r>
      <w:bookmarkEnd w:id="95"/>
    </w:p>
    <w:p w14:paraId="66918153" w14:textId="1CA03E7A" w:rsidR="005D3154" w:rsidRPr="009610A8" w:rsidRDefault="005D3154" w:rsidP="00CE47E1">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To support diversification into potential growth </w:t>
      </w:r>
      <w:r w:rsidR="003F56FC" w:rsidRPr="009610A8">
        <w:rPr>
          <w:rFonts w:ascii="Calibri" w:eastAsia="DengXian" w:hAnsi="Calibri" w:cs="Times New Roman"/>
          <w:szCs w:val="24"/>
        </w:rPr>
        <w:t>areas</w:t>
      </w:r>
      <w:r w:rsidRPr="009610A8">
        <w:rPr>
          <w:rFonts w:ascii="Calibri" w:eastAsia="DengXian" w:hAnsi="Calibri" w:cs="Times New Roman"/>
          <w:szCs w:val="24"/>
        </w:rPr>
        <w:t>, Market Action Plans</w:t>
      </w:r>
      <w:r w:rsidR="00D55D82" w:rsidRPr="009610A8">
        <w:rPr>
          <w:rFonts w:ascii="Calibri" w:eastAsia="DengXian" w:hAnsi="Calibri" w:cs="Times New Roman"/>
          <w:szCs w:val="24"/>
        </w:rPr>
        <w:t xml:space="preserve"> are in development</w:t>
      </w:r>
      <w:r w:rsidRPr="009610A8">
        <w:rPr>
          <w:rFonts w:ascii="Calibri" w:eastAsia="DengXian" w:hAnsi="Calibri" w:cs="Times New Roman"/>
          <w:szCs w:val="24"/>
        </w:rPr>
        <w:t xml:space="preserve"> for Indonesia, Vietnam and Mexico. Funded through the EGI program, these plans will establish a collective view of market priorities and trial more effective approaches to collaboration across government and the sector. English Australia and IEAA conducted sector consultations</w:t>
      </w:r>
      <w:r w:rsidR="006863E6" w:rsidRPr="009610A8">
        <w:rPr>
          <w:rFonts w:ascii="Calibri" w:eastAsia="DengXian" w:hAnsi="Calibri" w:cs="Times New Roman"/>
          <w:szCs w:val="24"/>
        </w:rPr>
        <w:t xml:space="preserve"> </w:t>
      </w:r>
      <w:r w:rsidR="00021794" w:rsidRPr="009610A8">
        <w:rPr>
          <w:rFonts w:ascii="Calibri" w:eastAsia="DengXian" w:hAnsi="Calibri" w:cs="Times New Roman"/>
          <w:szCs w:val="24"/>
        </w:rPr>
        <w:t>to</w:t>
      </w:r>
      <w:r w:rsidR="006863E6" w:rsidRPr="009610A8">
        <w:rPr>
          <w:rFonts w:ascii="Calibri" w:eastAsia="DengXian" w:hAnsi="Calibri" w:cs="Times New Roman"/>
          <w:szCs w:val="24"/>
        </w:rPr>
        <w:t xml:space="preserve"> </w:t>
      </w:r>
      <w:r w:rsidRPr="009610A8">
        <w:rPr>
          <w:rFonts w:ascii="Calibri" w:eastAsia="DengXian" w:hAnsi="Calibri" w:cs="Times New Roman"/>
          <w:szCs w:val="24"/>
        </w:rPr>
        <w:t xml:space="preserve">inform the Indonesia and Vietnam plans. The plan for Mexico </w:t>
      </w:r>
      <w:r w:rsidR="00021794" w:rsidRPr="009610A8">
        <w:rPr>
          <w:rFonts w:ascii="Calibri" w:eastAsia="DengXian" w:hAnsi="Calibri" w:cs="Times New Roman"/>
          <w:szCs w:val="24"/>
        </w:rPr>
        <w:t>will be</w:t>
      </w:r>
      <w:r w:rsidRPr="009610A8">
        <w:rPr>
          <w:rFonts w:ascii="Calibri" w:eastAsia="DengXian" w:hAnsi="Calibri" w:cs="Times New Roman"/>
          <w:szCs w:val="24"/>
        </w:rPr>
        <w:t xml:space="preserve"> developed in the context of the recommendations of the Latin America Working Group Report. </w:t>
      </w:r>
    </w:p>
    <w:p w14:paraId="771B44BC" w14:textId="4C2215B9" w:rsidR="003D1B0D" w:rsidRPr="009610A8" w:rsidRDefault="003D1B0D" w:rsidP="00CE47E1">
      <w:pPr>
        <w:spacing w:after="120" w:line="240" w:lineRule="auto"/>
        <w:rPr>
          <w:szCs w:val="24"/>
        </w:rPr>
      </w:pPr>
      <w:r w:rsidRPr="009610A8">
        <w:rPr>
          <w:szCs w:val="24"/>
        </w:rPr>
        <w:lastRenderedPageBreak/>
        <w:t>The</w:t>
      </w:r>
      <w:r w:rsidR="00C7717A" w:rsidRPr="009610A8">
        <w:rPr>
          <w:szCs w:val="24"/>
        </w:rPr>
        <w:t>se</w:t>
      </w:r>
      <w:r w:rsidRPr="009610A8">
        <w:rPr>
          <w:szCs w:val="24"/>
        </w:rPr>
        <w:t xml:space="preserve"> Market Action Plans will </w:t>
      </w:r>
      <w:r w:rsidR="00B201BA" w:rsidRPr="009610A8">
        <w:rPr>
          <w:szCs w:val="24"/>
        </w:rPr>
        <w:t xml:space="preserve">be refined </w:t>
      </w:r>
      <w:r w:rsidR="00CB16B9" w:rsidRPr="009610A8">
        <w:rPr>
          <w:szCs w:val="24"/>
        </w:rPr>
        <w:t>as a</w:t>
      </w:r>
      <w:r w:rsidRPr="009610A8">
        <w:rPr>
          <w:szCs w:val="24"/>
        </w:rPr>
        <w:t xml:space="preserve"> model </w:t>
      </w:r>
      <w:r w:rsidR="005F0CC7" w:rsidRPr="009610A8">
        <w:rPr>
          <w:szCs w:val="24"/>
        </w:rPr>
        <w:t>to be used in the development of</w:t>
      </w:r>
      <w:r w:rsidRPr="009610A8">
        <w:rPr>
          <w:szCs w:val="24"/>
        </w:rPr>
        <w:t xml:space="preserve"> </w:t>
      </w:r>
      <w:r w:rsidR="000D0B1E">
        <w:rPr>
          <w:szCs w:val="24"/>
        </w:rPr>
        <w:t>future</w:t>
      </w:r>
      <w:r w:rsidRPr="009610A8">
        <w:rPr>
          <w:szCs w:val="24"/>
        </w:rPr>
        <w:t xml:space="preserve"> market plans</w:t>
      </w:r>
      <w:r w:rsidR="00492C70" w:rsidRPr="009610A8">
        <w:rPr>
          <w:szCs w:val="24"/>
        </w:rPr>
        <w:t>.</w:t>
      </w:r>
    </w:p>
    <w:p w14:paraId="6C28DC9A" w14:textId="77777777" w:rsidR="005D3154" w:rsidRPr="009610A8" w:rsidRDefault="005D3154" w:rsidP="004D4784">
      <w:pPr>
        <w:pStyle w:val="Heading3"/>
        <w:numPr>
          <w:ilvl w:val="2"/>
          <w:numId w:val="25"/>
        </w:numPr>
        <w:spacing w:before="360"/>
        <w:ind w:left="709" w:hanging="709"/>
        <w:rPr>
          <w:sz w:val="24"/>
        </w:rPr>
      </w:pPr>
      <w:bookmarkStart w:id="96" w:name="_Toc530471866"/>
      <w:r w:rsidRPr="009610A8">
        <w:rPr>
          <w:sz w:val="24"/>
        </w:rPr>
        <w:t>Competing at scale through consortia and partnerships</w:t>
      </w:r>
      <w:bookmarkEnd w:id="96"/>
    </w:p>
    <w:p w14:paraId="76A3E6F8" w14:textId="2C909464" w:rsidR="005D3154" w:rsidRPr="009610A8" w:rsidRDefault="005D3154" w:rsidP="00CE47E1">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The global demand for skills is growing, with potential opportunities requiring delivery at scale. A low cost, high volume model is required for Australian providers to realise some international education opportunities. </w:t>
      </w:r>
      <w:r w:rsidR="00357D3A" w:rsidRPr="009610A8">
        <w:rPr>
          <w:rFonts w:ascii="Calibri" w:eastAsia="DengXian" w:hAnsi="Calibri" w:cs="Times New Roman"/>
          <w:szCs w:val="24"/>
        </w:rPr>
        <w:t>Similarly, the increasingly competitive landscape means that Australia</w:t>
      </w:r>
      <w:r w:rsidR="000D0B1E">
        <w:rPr>
          <w:rFonts w:ascii="Calibri" w:eastAsia="DengXian" w:hAnsi="Calibri" w:cs="Times New Roman"/>
          <w:szCs w:val="24"/>
        </w:rPr>
        <w:t>n</w:t>
      </w:r>
      <w:r w:rsidR="00357D3A" w:rsidRPr="009610A8">
        <w:rPr>
          <w:rFonts w:ascii="Calibri" w:eastAsia="DengXian" w:hAnsi="Calibri" w:cs="Times New Roman"/>
          <w:szCs w:val="24"/>
        </w:rPr>
        <w:t xml:space="preserve"> providers must also consider linkages with other providers or businesses, to build on each other</w:t>
      </w:r>
      <w:r w:rsidR="00DF3993" w:rsidRPr="009610A8">
        <w:rPr>
          <w:rFonts w:ascii="Calibri" w:eastAsia="DengXian" w:hAnsi="Calibri" w:cs="Times New Roman"/>
          <w:szCs w:val="24"/>
        </w:rPr>
        <w:t>’</w:t>
      </w:r>
      <w:r w:rsidR="00357D3A" w:rsidRPr="009610A8">
        <w:rPr>
          <w:rFonts w:ascii="Calibri" w:eastAsia="DengXian" w:hAnsi="Calibri" w:cs="Times New Roman"/>
          <w:szCs w:val="24"/>
        </w:rPr>
        <w:t>s relative strengths and to provide world-leading student experiences</w:t>
      </w:r>
      <w:r w:rsidR="000D0B1E">
        <w:rPr>
          <w:rFonts w:ascii="Calibri" w:eastAsia="DengXian" w:hAnsi="Calibri" w:cs="Times New Roman"/>
          <w:szCs w:val="24"/>
        </w:rPr>
        <w:t xml:space="preserve">. </w:t>
      </w:r>
      <w:r w:rsidR="00D55D82" w:rsidRPr="009610A8">
        <w:rPr>
          <w:rFonts w:ascii="Calibri" w:eastAsia="DengXian" w:hAnsi="Calibri" w:cs="Times New Roman"/>
          <w:szCs w:val="24"/>
        </w:rPr>
        <w:t>A newly launched</w:t>
      </w:r>
      <w:r w:rsidRPr="009610A8">
        <w:rPr>
          <w:rFonts w:ascii="Calibri" w:eastAsia="DengXian" w:hAnsi="Calibri" w:cs="Times New Roman"/>
          <w:szCs w:val="24"/>
        </w:rPr>
        <w:t xml:space="preserve"> Consortia Toolkit includes a research report and step-by-step guide to help Australian small-to-medium enterprises (SMEs) pursue large-scale opportunities through the formation of consortia and partnerships. </w:t>
      </w:r>
    </w:p>
    <w:p w14:paraId="08E0AF02" w14:textId="77777777" w:rsidR="00EA37B6" w:rsidRPr="009610A8" w:rsidRDefault="00EA37B6" w:rsidP="004D4784">
      <w:pPr>
        <w:pStyle w:val="Heading1"/>
        <w:pageBreakBefore/>
        <w:numPr>
          <w:ilvl w:val="0"/>
          <w:numId w:val="25"/>
        </w:numPr>
        <w:spacing w:after="120"/>
        <w:ind w:left="357" w:hanging="357"/>
        <w:rPr>
          <w:sz w:val="32"/>
        </w:rPr>
      </w:pPr>
      <w:bookmarkStart w:id="97" w:name="_Toc529288520"/>
      <w:bookmarkStart w:id="98" w:name="_Toc529431917"/>
      <w:bookmarkStart w:id="99" w:name="_Toc529444188"/>
      <w:bookmarkStart w:id="100" w:name="_Toc529446991"/>
      <w:bookmarkStart w:id="101" w:name="_Toc529456965"/>
      <w:bookmarkStart w:id="102" w:name="_Toc529461698"/>
      <w:bookmarkStart w:id="103" w:name="_Toc529538291"/>
      <w:bookmarkStart w:id="104" w:name="_Toc529431919"/>
      <w:bookmarkStart w:id="105" w:name="_Toc529444190"/>
      <w:bookmarkStart w:id="106" w:name="_Toc529446993"/>
      <w:bookmarkStart w:id="107" w:name="_Toc529456967"/>
      <w:bookmarkStart w:id="108" w:name="_Toc529461700"/>
      <w:bookmarkStart w:id="109" w:name="_Toc529538293"/>
      <w:bookmarkStart w:id="110" w:name="_Toc530471867"/>
      <w:bookmarkEnd w:id="97"/>
      <w:bookmarkEnd w:id="98"/>
      <w:bookmarkEnd w:id="99"/>
      <w:bookmarkEnd w:id="100"/>
      <w:bookmarkEnd w:id="101"/>
      <w:bookmarkEnd w:id="102"/>
      <w:bookmarkEnd w:id="103"/>
      <w:bookmarkEnd w:id="104"/>
      <w:bookmarkEnd w:id="105"/>
      <w:bookmarkEnd w:id="106"/>
      <w:bookmarkEnd w:id="107"/>
      <w:bookmarkEnd w:id="108"/>
      <w:bookmarkEnd w:id="109"/>
      <w:r w:rsidRPr="009610A8">
        <w:rPr>
          <w:sz w:val="32"/>
        </w:rPr>
        <w:lastRenderedPageBreak/>
        <w:t>The year ahead</w:t>
      </w:r>
      <w:bookmarkEnd w:id="110"/>
    </w:p>
    <w:p w14:paraId="2EA69D65" w14:textId="0E345A59" w:rsidR="00636022" w:rsidRPr="009610A8" w:rsidRDefault="00E15B97" w:rsidP="00DD737B">
      <w:pPr>
        <w:spacing w:after="120" w:line="240" w:lineRule="auto"/>
        <w:rPr>
          <w:szCs w:val="24"/>
        </w:rPr>
      </w:pPr>
      <w:r w:rsidRPr="009610A8">
        <w:rPr>
          <w:szCs w:val="24"/>
        </w:rPr>
        <w:t xml:space="preserve">While Australia continues to be a destination of choice for international students, there are early signs that </w:t>
      </w:r>
      <w:r w:rsidR="0005760F" w:rsidRPr="009610A8">
        <w:rPr>
          <w:szCs w:val="24"/>
        </w:rPr>
        <w:t xml:space="preserve">demand for Australian education from overseas is </w:t>
      </w:r>
      <w:r w:rsidRPr="009610A8">
        <w:rPr>
          <w:szCs w:val="24"/>
        </w:rPr>
        <w:t>slowing. In 2018, year to date data indicates that student enrolment growth is slowing from</w:t>
      </w:r>
      <w:r w:rsidR="00357D3A" w:rsidRPr="009610A8">
        <w:rPr>
          <w:szCs w:val="24"/>
        </w:rPr>
        <w:t xml:space="preserve"> a</w:t>
      </w:r>
      <w:r w:rsidRPr="009610A8">
        <w:rPr>
          <w:szCs w:val="24"/>
        </w:rPr>
        <w:t xml:space="preserve"> five-year average growth rate of 11</w:t>
      </w:r>
      <w:r w:rsidR="00592F25" w:rsidRPr="009610A8">
        <w:rPr>
          <w:szCs w:val="24"/>
        </w:rPr>
        <w:t xml:space="preserve"> per cent. </w:t>
      </w:r>
      <w:r w:rsidR="003C69EF" w:rsidRPr="009610A8">
        <w:rPr>
          <w:szCs w:val="24"/>
        </w:rPr>
        <w:t>In recognition of the early signs of slowing growth, g</w:t>
      </w:r>
      <w:r w:rsidR="00636022" w:rsidRPr="009610A8">
        <w:rPr>
          <w:szCs w:val="24"/>
        </w:rPr>
        <w:t>overnment</w:t>
      </w:r>
      <w:r w:rsidR="00B67126" w:rsidRPr="009610A8">
        <w:rPr>
          <w:szCs w:val="24"/>
        </w:rPr>
        <w:t>, the Council,</w:t>
      </w:r>
      <w:r w:rsidR="00636022" w:rsidRPr="009610A8">
        <w:rPr>
          <w:szCs w:val="24"/>
        </w:rPr>
        <w:t xml:space="preserve"> and the international education sector </w:t>
      </w:r>
      <w:r w:rsidR="00B67126" w:rsidRPr="009610A8">
        <w:rPr>
          <w:szCs w:val="24"/>
        </w:rPr>
        <w:t>are</w:t>
      </w:r>
      <w:r w:rsidR="00636022" w:rsidRPr="009610A8">
        <w:rPr>
          <w:szCs w:val="24"/>
        </w:rPr>
        <w:t xml:space="preserve"> focusing efforts on short, medium and </w:t>
      </w:r>
      <w:r w:rsidR="00B67126" w:rsidRPr="009610A8">
        <w:rPr>
          <w:szCs w:val="24"/>
        </w:rPr>
        <w:t>long-term</w:t>
      </w:r>
      <w:r w:rsidR="00636022" w:rsidRPr="009610A8">
        <w:rPr>
          <w:szCs w:val="24"/>
        </w:rPr>
        <w:t xml:space="preserve"> measures </w:t>
      </w:r>
      <w:r w:rsidR="00FA66F8" w:rsidRPr="009610A8">
        <w:rPr>
          <w:szCs w:val="24"/>
        </w:rPr>
        <w:t xml:space="preserve">to counteract </w:t>
      </w:r>
      <w:r w:rsidR="00B67126" w:rsidRPr="009610A8">
        <w:rPr>
          <w:szCs w:val="24"/>
        </w:rPr>
        <w:t xml:space="preserve">the </w:t>
      </w:r>
      <w:r w:rsidR="00FA66F8" w:rsidRPr="009610A8">
        <w:rPr>
          <w:szCs w:val="24"/>
        </w:rPr>
        <w:t>potential impacts</w:t>
      </w:r>
      <w:r w:rsidR="00B67126" w:rsidRPr="009610A8">
        <w:rPr>
          <w:szCs w:val="24"/>
        </w:rPr>
        <w:t xml:space="preserve">. </w:t>
      </w:r>
    </w:p>
    <w:p w14:paraId="48F0F1F9" w14:textId="097ABE49" w:rsidR="005D3154" w:rsidRPr="009610A8" w:rsidRDefault="005D3154" w:rsidP="00DD737B">
      <w:pPr>
        <w:spacing w:after="120" w:line="240" w:lineRule="auto"/>
        <w:rPr>
          <w:rFonts w:ascii="Calibri" w:eastAsia="DengXian" w:hAnsi="Calibri" w:cs="Times New Roman"/>
          <w:szCs w:val="24"/>
        </w:rPr>
      </w:pPr>
      <w:r w:rsidRPr="009610A8">
        <w:rPr>
          <w:rFonts w:ascii="Calibri" w:eastAsia="DengXian" w:hAnsi="Calibri" w:cs="Times New Roman"/>
          <w:szCs w:val="24"/>
        </w:rPr>
        <w:t xml:space="preserve">The Council will build on </w:t>
      </w:r>
      <w:r w:rsidR="008B573C" w:rsidRPr="009610A8">
        <w:rPr>
          <w:rFonts w:ascii="Calibri" w:eastAsia="DengXian" w:hAnsi="Calibri" w:cs="Times New Roman"/>
          <w:szCs w:val="24"/>
        </w:rPr>
        <w:t xml:space="preserve">its </w:t>
      </w:r>
      <w:r w:rsidRPr="009610A8">
        <w:rPr>
          <w:rFonts w:ascii="Calibri" w:eastAsia="DengXian" w:hAnsi="Calibri" w:cs="Times New Roman"/>
          <w:szCs w:val="24"/>
        </w:rPr>
        <w:t xml:space="preserve">foundation activities and continue to support students and the sector to capitalise on new opportunities and respond to emerging risks. </w:t>
      </w:r>
    </w:p>
    <w:p w14:paraId="5E7FC5D5" w14:textId="77777777" w:rsidR="00492C70" w:rsidRPr="009610A8" w:rsidRDefault="00AC69F7" w:rsidP="00DD737B">
      <w:pPr>
        <w:pStyle w:val="Heading2"/>
        <w:numPr>
          <w:ilvl w:val="1"/>
          <w:numId w:val="25"/>
        </w:numPr>
        <w:spacing w:before="360"/>
        <w:ind w:left="709" w:hanging="709"/>
        <w:rPr>
          <w:sz w:val="28"/>
        </w:rPr>
      </w:pPr>
      <w:bookmarkStart w:id="111" w:name="_Toc530471868"/>
      <w:r w:rsidRPr="009610A8">
        <w:rPr>
          <w:sz w:val="28"/>
        </w:rPr>
        <w:t>Ensuring</w:t>
      </w:r>
      <w:r w:rsidR="00492C70" w:rsidRPr="009610A8">
        <w:rPr>
          <w:sz w:val="28"/>
        </w:rPr>
        <w:t xml:space="preserve"> sustainable growth of the international education sector</w:t>
      </w:r>
      <w:bookmarkEnd w:id="111"/>
      <w:r w:rsidR="00492C70" w:rsidRPr="009610A8">
        <w:rPr>
          <w:sz w:val="28"/>
        </w:rPr>
        <w:t xml:space="preserve"> </w:t>
      </w:r>
    </w:p>
    <w:p w14:paraId="66D55731" w14:textId="455E7BCB" w:rsidR="00492C70" w:rsidRPr="009610A8" w:rsidRDefault="00492C70" w:rsidP="00DD737B">
      <w:pPr>
        <w:spacing w:after="120" w:line="240" w:lineRule="auto"/>
        <w:rPr>
          <w:szCs w:val="24"/>
        </w:rPr>
      </w:pPr>
      <w:r w:rsidRPr="009610A8">
        <w:rPr>
          <w:szCs w:val="24"/>
        </w:rPr>
        <w:t xml:space="preserve">Expert Members </w:t>
      </w:r>
      <w:r w:rsidR="007022D6" w:rsidRPr="009610A8">
        <w:rPr>
          <w:szCs w:val="24"/>
        </w:rPr>
        <w:t xml:space="preserve">have sought sector and community views, and </w:t>
      </w:r>
      <w:r w:rsidRPr="009610A8">
        <w:rPr>
          <w:szCs w:val="24"/>
        </w:rPr>
        <w:t>will consider options and provide advice on how to diversify the international education sector, both in terms of where</w:t>
      </w:r>
      <w:r w:rsidR="0005760F" w:rsidRPr="009610A8">
        <w:rPr>
          <w:szCs w:val="24"/>
        </w:rPr>
        <w:t xml:space="preserve"> </w:t>
      </w:r>
      <w:r w:rsidRPr="009610A8">
        <w:rPr>
          <w:szCs w:val="24"/>
        </w:rPr>
        <w:t>and what courses, international students study. They will consider a range of evidence and research, including the findi</w:t>
      </w:r>
      <w:r w:rsidR="00A03223" w:rsidRPr="009610A8">
        <w:rPr>
          <w:szCs w:val="24"/>
        </w:rPr>
        <w:t xml:space="preserve">ngs of </w:t>
      </w:r>
      <w:r w:rsidR="007E4B8D" w:rsidRPr="009610A8">
        <w:rPr>
          <w:szCs w:val="24"/>
        </w:rPr>
        <w:t>a</w:t>
      </w:r>
      <w:r w:rsidR="00B126FC" w:rsidRPr="009610A8">
        <w:rPr>
          <w:szCs w:val="24"/>
        </w:rPr>
        <w:t>n EGI</w:t>
      </w:r>
      <w:r w:rsidR="007E4B8D" w:rsidRPr="009610A8">
        <w:rPr>
          <w:szCs w:val="24"/>
        </w:rPr>
        <w:t xml:space="preserve"> research project by </w:t>
      </w:r>
      <w:r w:rsidRPr="009610A8">
        <w:rPr>
          <w:szCs w:val="24"/>
        </w:rPr>
        <w:t xml:space="preserve">Deloitte Access Economics </w:t>
      </w:r>
      <w:r w:rsidR="007E4B8D" w:rsidRPr="009610A8">
        <w:rPr>
          <w:szCs w:val="24"/>
        </w:rPr>
        <w:t>on d</w:t>
      </w:r>
      <w:r w:rsidRPr="009610A8">
        <w:rPr>
          <w:szCs w:val="24"/>
        </w:rPr>
        <w:t xml:space="preserve">iversification in </w:t>
      </w:r>
      <w:r w:rsidR="007E4B8D" w:rsidRPr="009610A8">
        <w:rPr>
          <w:szCs w:val="24"/>
        </w:rPr>
        <w:t>i</w:t>
      </w:r>
      <w:r w:rsidRPr="009610A8">
        <w:rPr>
          <w:szCs w:val="24"/>
        </w:rPr>
        <w:t xml:space="preserve">nternational </w:t>
      </w:r>
      <w:r w:rsidR="007E4B8D" w:rsidRPr="009610A8">
        <w:rPr>
          <w:szCs w:val="24"/>
        </w:rPr>
        <w:t>e</w:t>
      </w:r>
      <w:r w:rsidRPr="009610A8">
        <w:rPr>
          <w:szCs w:val="24"/>
        </w:rPr>
        <w:t xml:space="preserve">ducation and </w:t>
      </w:r>
      <w:r w:rsidR="007E4B8D" w:rsidRPr="009610A8">
        <w:rPr>
          <w:szCs w:val="24"/>
        </w:rPr>
        <w:t>t</w:t>
      </w:r>
      <w:r w:rsidRPr="009610A8">
        <w:rPr>
          <w:szCs w:val="24"/>
        </w:rPr>
        <w:t>raining</w:t>
      </w:r>
      <w:r w:rsidR="007E4B8D" w:rsidRPr="009610A8">
        <w:rPr>
          <w:szCs w:val="24"/>
        </w:rPr>
        <w:t xml:space="preserve">. </w:t>
      </w:r>
    </w:p>
    <w:p w14:paraId="217ED256" w14:textId="65396301" w:rsidR="00492C70" w:rsidRPr="009610A8" w:rsidRDefault="00B126FC" w:rsidP="00DD737B">
      <w:pPr>
        <w:spacing w:after="120" w:line="240" w:lineRule="auto"/>
        <w:rPr>
          <w:szCs w:val="24"/>
        </w:rPr>
      </w:pPr>
      <w:r w:rsidRPr="009610A8">
        <w:rPr>
          <w:szCs w:val="24"/>
        </w:rPr>
        <w:t>Expert Members will</w:t>
      </w:r>
      <w:r w:rsidR="007022D6" w:rsidRPr="009610A8">
        <w:rPr>
          <w:szCs w:val="24"/>
        </w:rPr>
        <w:t xml:space="preserve"> identify options, in consultation with key stakeholder groups across Australia, and</w:t>
      </w:r>
      <w:r w:rsidRPr="009610A8">
        <w:rPr>
          <w:szCs w:val="24"/>
        </w:rPr>
        <w:t xml:space="preserve"> hold </w:t>
      </w:r>
      <w:r w:rsidR="00B201BA" w:rsidRPr="009610A8">
        <w:rPr>
          <w:szCs w:val="24"/>
        </w:rPr>
        <w:t xml:space="preserve">intensive </w:t>
      </w:r>
      <w:r w:rsidR="00492C70" w:rsidRPr="009610A8">
        <w:rPr>
          <w:szCs w:val="24"/>
        </w:rPr>
        <w:t>policy discussion</w:t>
      </w:r>
      <w:r w:rsidR="008B573C" w:rsidRPr="009610A8">
        <w:rPr>
          <w:szCs w:val="24"/>
        </w:rPr>
        <w:t>s</w:t>
      </w:r>
      <w:r w:rsidR="000B6A66">
        <w:rPr>
          <w:szCs w:val="24"/>
        </w:rPr>
        <w:t xml:space="preserve"> </w:t>
      </w:r>
      <w:r w:rsidR="00DF3993" w:rsidRPr="009610A8">
        <w:rPr>
          <w:szCs w:val="24"/>
        </w:rPr>
        <w:t xml:space="preserve">in </w:t>
      </w:r>
      <w:r w:rsidR="00492C70" w:rsidRPr="009610A8">
        <w:rPr>
          <w:szCs w:val="24"/>
        </w:rPr>
        <w:t>2019</w:t>
      </w:r>
      <w:r w:rsidR="008A559B" w:rsidRPr="009610A8">
        <w:rPr>
          <w:szCs w:val="24"/>
        </w:rPr>
        <w:t xml:space="preserve"> to identify how to better capitalise on the capacity of locations outside </w:t>
      </w:r>
      <w:r w:rsidR="006B04CD" w:rsidRPr="009610A8">
        <w:rPr>
          <w:szCs w:val="24"/>
        </w:rPr>
        <w:t xml:space="preserve">Brisbane, </w:t>
      </w:r>
      <w:r w:rsidR="008A559B" w:rsidRPr="009610A8">
        <w:rPr>
          <w:szCs w:val="24"/>
        </w:rPr>
        <w:t>Melbourne and Sydney t</w:t>
      </w:r>
      <w:r w:rsidR="00A03223" w:rsidRPr="009610A8">
        <w:rPr>
          <w:szCs w:val="24"/>
        </w:rPr>
        <w:t>o</w:t>
      </w:r>
      <w:r w:rsidR="008A559B" w:rsidRPr="009610A8">
        <w:rPr>
          <w:szCs w:val="24"/>
        </w:rPr>
        <w:t xml:space="preserve"> grow their international student engagement</w:t>
      </w:r>
      <w:r w:rsidR="00492C70" w:rsidRPr="009610A8">
        <w:rPr>
          <w:szCs w:val="24"/>
        </w:rPr>
        <w:t>.</w:t>
      </w:r>
    </w:p>
    <w:p w14:paraId="1957F76D" w14:textId="77777777" w:rsidR="00492C70" w:rsidRPr="009610A8" w:rsidRDefault="00214A26" w:rsidP="00DD737B">
      <w:pPr>
        <w:spacing w:after="120" w:line="240" w:lineRule="auto"/>
        <w:rPr>
          <w:szCs w:val="24"/>
        </w:rPr>
      </w:pPr>
      <w:r w:rsidRPr="009610A8">
        <w:rPr>
          <w:szCs w:val="24"/>
        </w:rPr>
        <w:t xml:space="preserve">The </w:t>
      </w:r>
      <w:r w:rsidR="00492C70" w:rsidRPr="009610A8">
        <w:rPr>
          <w:szCs w:val="24"/>
        </w:rPr>
        <w:t>Council</w:t>
      </w:r>
      <w:r w:rsidR="00A03223" w:rsidRPr="009610A8">
        <w:rPr>
          <w:szCs w:val="24"/>
        </w:rPr>
        <w:t xml:space="preserve">, </w:t>
      </w:r>
      <w:r w:rsidR="00B126FC" w:rsidRPr="009610A8">
        <w:rPr>
          <w:szCs w:val="24"/>
        </w:rPr>
        <w:t>led by</w:t>
      </w:r>
      <w:r w:rsidR="00A03223" w:rsidRPr="009610A8">
        <w:rPr>
          <w:szCs w:val="24"/>
        </w:rPr>
        <w:t xml:space="preserve"> CISA,</w:t>
      </w:r>
      <w:r w:rsidR="00492C70" w:rsidRPr="009610A8">
        <w:rPr>
          <w:szCs w:val="24"/>
        </w:rPr>
        <w:t xml:space="preserve"> will also conduct </w:t>
      </w:r>
      <w:r w:rsidR="00A03223" w:rsidRPr="009610A8">
        <w:rPr>
          <w:szCs w:val="24"/>
        </w:rPr>
        <w:t>a cost-benefit analysis of</w:t>
      </w:r>
      <w:r w:rsidR="00492C70" w:rsidRPr="009610A8">
        <w:rPr>
          <w:szCs w:val="24"/>
        </w:rPr>
        <w:t xml:space="preserve"> Australia’s international education in comparison with </w:t>
      </w:r>
      <w:r w:rsidR="00A03223" w:rsidRPr="009610A8">
        <w:rPr>
          <w:szCs w:val="24"/>
        </w:rPr>
        <w:t xml:space="preserve">our </w:t>
      </w:r>
      <w:r w:rsidR="00492C70" w:rsidRPr="009610A8">
        <w:rPr>
          <w:szCs w:val="24"/>
        </w:rPr>
        <w:t>major competitors</w:t>
      </w:r>
      <w:r w:rsidR="00B126FC" w:rsidRPr="009610A8">
        <w:rPr>
          <w:szCs w:val="24"/>
        </w:rPr>
        <w:t>. This will</w:t>
      </w:r>
      <w:r w:rsidR="00492C70" w:rsidRPr="009610A8">
        <w:rPr>
          <w:szCs w:val="24"/>
        </w:rPr>
        <w:t xml:space="preserve"> inform discussions on how to increase the relative value-for-money of education in Australia.</w:t>
      </w:r>
    </w:p>
    <w:p w14:paraId="5EBBBD54" w14:textId="77777777" w:rsidR="00883758" w:rsidRPr="009610A8" w:rsidRDefault="00883758" w:rsidP="00DD737B">
      <w:pPr>
        <w:pStyle w:val="Heading2"/>
        <w:numPr>
          <w:ilvl w:val="1"/>
          <w:numId w:val="25"/>
        </w:numPr>
        <w:spacing w:before="360"/>
        <w:ind w:left="709" w:hanging="709"/>
        <w:rPr>
          <w:sz w:val="28"/>
        </w:rPr>
      </w:pPr>
      <w:bookmarkStart w:id="112" w:name="_Toc530471869"/>
      <w:r w:rsidRPr="009610A8">
        <w:rPr>
          <w:sz w:val="28"/>
        </w:rPr>
        <w:t>Communicating the benefits of international education to Australia</w:t>
      </w:r>
      <w:bookmarkEnd w:id="112"/>
    </w:p>
    <w:p w14:paraId="635B2A36" w14:textId="77777777" w:rsidR="00A03223" w:rsidRPr="009610A8" w:rsidRDefault="00214A26" w:rsidP="00DD737B">
      <w:pPr>
        <w:spacing w:after="120" w:line="240" w:lineRule="auto"/>
        <w:rPr>
          <w:szCs w:val="24"/>
        </w:rPr>
      </w:pPr>
      <w:r w:rsidRPr="009610A8">
        <w:rPr>
          <w:szCs w:val="24"/>
        </w:rPr>
        <w:t xml:space="preserve">The </w:t>
      </w:r>
      <w:r w:rsidR="008D44E5" w:rsidRPr="009610A8">
        <w:rPr>
          <w:szCs w:val="24"/>
        </w:rPr>
        <w:t>Council</w:t>
      </w:r>
      <w:r w:rsidR="00883758" w:rsidRPr="009610A8">
        <w:rPr>
          <w:szCs w:val="24"/>
        </w:rPr>
        <w:t xml:space="preserve"> will continue </w:t>
      </w:r>
      <w:r w:rsidR="008D44E5" w:rsidRPr="009610A8">
        <w:rPr>
          <w:szCs w:val="24"/>
        </w:rPr>
        <w:t xml:space="preserve">to work </w:t>
      </w:r>
      <w:r w:rsidR="00883758" w:rsidRPr="009610A8">
        <w:rPr>
          <w:szCs w:val="24"/>
        </w:rPr>
        <w:t xml:space="preserve">to ensure the Australian community understands the </w:t>
      </w:r>
      <w:r w:rsidR="008D44E5" w:rsidRPr="009610A8">
        <w:rPr>
          <w:szCs w:val="24"/>
        </w:rPr>
        <w:t xml:space="preserve">substantial </w:t>
      </w:r>
      <w:r w:rsidR="00883758" w:rsidRPr="009610A8">
        <w:rPr>
          <w:szCs w:val="24"/>
        </w:rPr>
        <w:t>benefits of international education</w:t>
      </w:r>
      <w:r w:rsidR="007D5505" w:rsidRPr="009610A8">
        <w:rPr>
          <w:szCs w:val="24"/>
        </w:rPr>
        <w:t xml:space="preserve">, including through </w:t>
      </w:r>
      <w:r w:rsidR="005D3154" w:rsidRPr="009610A8">
        <w:rPr>
          <w:szCs w:val="24"/>
        </w:rPr>
        <w:t>champion</w:t>
      </w:r>
      <w:r w:rsidR="007D5505" w:rsidRPr="009610A8">
        <w:rPr>
          <w:szCs w:val="24"/>
        </w:rPr>
        <w:t>ing</w:t>
      </w:r>
      <w:r w:rsidR="005D3154" w:rsidRPr="009610A8">
        <w:rPr>
          <w:szCs w:val="24"/>
        </w:rPr>
        <w:t xml:space="preserve"> the benefits of international education at a range of forums and events over the coming year. </w:t>
      </w:r>
    </w:p>
    <w:p w14:paraId="3B6F4CA2" w14:textId="77777777" w:rsidR="00883758" w:rsidRPr="009610A8" w:rsidRDefault="007D5505" w:rsidP="00DD737B">
      <w:pPr>
        <w:spacing w:after="120" w:line="240" w:lineRule="auto"/>
        <w:rPr>
          <w:szCs w:val="24"/>
        </w:rPr>
      </w:pPr>
      <w:r w:rsidRPr="009610A8">
        <w:rPr>
          <w:szCs w:val="24"/>
        </w:rPr>
        <w:t>O</w:t>
      </w:r>
      <w:r w:rsidR="00025847" w:rsidRPr="009610A8">
        <w:rPr>
          <w:szCs w:val="24"/>
        </w:rPr>
        <w:t xml:space="preserve">pportunities </w:t>
      </w:r>
      <w:r w:rsidR="00A03223" w:rsidRPr="009610A8">
        <w:rPr>
          <w:szCs w:val="24"/>
        </w:rPr>
        <w:t>are also increasing</w:t>
      </w:r>
      <w:r w:rsidR="00E66EF9" w:rsidRPr="009610A8">
        <w:rPr>
          <w:szCs w:val="24"/>
        </w:rPr>
        <w:t xml:space="preserve"> </w:t>
      </w:r>
      <w:r w:rsidR="00025847" w:rsidRPr="009610A8">
        <w:rPr>
          <w:szCs w:val="24"/>
        </w:rPr>
        <w:t>for Australian students</w:t>
      </w:r>
      <w:r w:rsidR="00A03223" w:rsidRPr="009610A8">
        <w:rPr>
          <w:szCs w:val="24"/>
        </w:rPr>
        <w:t xml:space="preserve"> to study overseas</w:t>
      </w:r>
      <w:r w:rsidR="00E66EF9" w:rsidRPr="009610A8">
        <w:rPr>
          <w:szCs w:val="24"/>
        </w:rPr>
        <w:t>. O</w:t>
      </w:r>
      <w:r w:rsidR="00025847" w:rsidRPr="009610A8">
        <w:rPr>
          <w:szCs w:val="24"/>
        </w:rPr>
        <w:t xml:space="preserve">ne in five </w:t>
      </w:r>
      <w:r w:rsidR="00E66EF9" w:rsidRPr="009610A8">
        <w:rPr>
          <w:szCs w:val="24"/>
        </w:rPr>
        <w:t xml:space="preserve">Australian higher education students </w:t>
      </w:r>
      <w:r w:rsidR="00025847" w:rsidRPr="009610A8">
        <w:rPr>
          <w:szCs w:val="24"/>
        </w:rPr>
        <w:t xml:space="preserve">have </w:t>
      </w:r>
      <w:r w:rsidR="008D44E5" w:rsidRPr="009610A8">
        <w:rPr>
          <w:szCs w:val="24"/>
        </w:rPr>
        <w:t>an</w:t>
      </w:r>
      <w:r w:rsidR="00025847" w:rsidRPr="009610A8">
        <w:rPr>
          <w:szCs w:val="24"/>
        </w:rPr>
        <w:t xml:space="preserve"> international experience during their degree, </w:t>
      </w:r>
      <w:r w:rsidR="00E66EF9" w:rsidRPr="009610A8">
        <w:rPr>
          <w:szCs w:val="24"/>
        </w:rPr>
        <w:t>and this</w:t>
      </w:r>
      <w:r w:rsidR="00025847" w:rsidRPr="009610A8">
        <w:rPr>
          <w:szCs w:val="24"/>
        </w:rPr>
        <w:t xml:space="preserve"> increases </w:t>
      </w:r>
      <w:r w:rsidR="00436980" w:rsidRPr="009610A8">
        <w:rPr>
          <w:szCs w:val="24"/>
        </w:rPr>
        <w:t xml:space="preserve">the </w:t>
      </w:r>
      <w:r w:rsidR="00025847" w:rsidRPr="009610A8">
        <w:rPr>
          <w:szCs w:val="24"/>
        </w:rPr>
        <w:t>global engagement</w:t>
      </w:r>
      <w:r w:rsidR="00E66EF9" w:rsidRPr="009610A8">
        <w:rPr>
          <w:szCs w:val="24"/>
        </w:rPr>
        <w:t>, connections and</w:t>
      </w:r>
      <w:r w:rsidR="00025847" w:rsidRPr="009610A8">
        <w:rPr>
          <w:szCs w:val="24"/>
        </w:rPr>
        <w:t xml:space="preserve"> cultural capacity of </w:t>
      </w:r>
      <w:r w:rsidR="00436980" w:rsidRPr="009610A8">
        <w:rPr>
          <w:szCs w:val="24"/>
        </w:rPr>
        <w:t>Australia</w:t>
      </w:r>
      <w:r w:rsidR="00EB549E" w:rsidRPr="009610A8">
        <w:rPr>
          <w:szCs w:val="24"/>
        </w:rPr>
        <w:t>’s</w:t>
      </w:r>
      <w:r w:rsidR="00025847" w:rsidRPr="009610A8">
        <w:rPr>
          <w:szCs w:val="24"/>
        </w:rPr>
        <w:t xml:space="preserve"> citizens and workforce.</w:t>
      </w:r>
    </w:p>
    <w:p w14:paraId="37DBB5B9" w14:textId="77777777" w:rsidR="00A03223" w:rsidRPr="009610A8" w:rsidRDefault="00A03223" w:rsidP="00DD737B">
      <w:pPr>
        <w:spacing w:after="120" w:line="240" w:lineRule="auto"/>
        <w:rPr>
          <w:szCs w:val="24"/>
        </w:rPr>
      </w:pPr>
      <w:r w:rsidRPr="009610A8">
        <w:rPr>
          <w:szCs w:val="24"/>
        </w:rPr>
        <w:t xml:space="preserve">The Council will also continue to </w:t>
      </w:r>
      <w:r w:rsidR="00436980" w:rsidRPr="009610A8">
        <w:rPr>
          <w:szCs w:val="24"/>
        </w:rPr>
        <w:t xml:space="preserve">champion </w:t>
      </w:r>
      <w:r w:rsidRPr="009610A8">
        <w:rPr>
          <w:szCs w:val="24"/>
        </w:rPr>
        <w:t xml:space="preserve">initiatives such as the New Colombo Plan and the Endeavour Leadership </w:t>
      </w:r>
      <w:r w:rsidR="007D5505" w:rsidRPr="009610A8">
        <w:rPr>
          <w:szCs w:val="24"/>
        </w:rPr>
        <w:t>Program, which</w:t>
      </w:r>
      <w:r w:rsidRPr="009610A8">
        <w:rPr>
          <w:szCs w:val="24"/>
        </w:rPr>
        <w:t xml:space="preserve"> </w:t>
      </w:r>
      <w:r w:rsidR="00357D3A" w:rsidRPr="009610A8">
        <w:rPr>
          <w:szCs w:val="24"/>
        </w:rPr>
        <w:t xml:space="preserve">support richer student experiences and learning outcomes, and </w:t>
      </w:r>
      <w:r w:rsidRPr="009610A8">
        <w:rPr>
          <w:szCs w:val="24"/>
        </w:rPr>
        <w:t>build the capacity of Australian students to be champions for international engagement and to communicate the broader value of international education back to their peers, their families and their communities.</w:t>
      </w:r>
    </w:p>
    <w:p w14:paraId="02D75001" w14:textId="77777777" w:rsidR="007A3166" w:rsidRPr="009610A8" w:rsidRDefault="007A3166" w:rsidP="002372C8">
      <w:pPr>
        <w:pStyle w:val="Heading2"/>
        <w:numPr>
          <w:ilvl w:val="1"/>
          <w:numId w:val="25"/>
        </w:numPr>
        <w:spacing w:before="360"/>
        <w:ind w:left="709" w:hanging="709"/>
        <w:rPr>
          <w:sz w:val="28"/>
        </w:rPr>
      </w:pPr>
      <w:bookmarkStart w:id="113" w:name="_Toc530471870"/>
      <w:r w:rsidRPr="009610A8">
        <w:rPr>
          <w:sz w:val="28"/>
        </w:rPr>
        <w:t>Growing opportunities for VET</w:t>
      </w:r>
      <w:bookmarkEnd w:id="113"/>
    </w:p>
    <w:p w14:paraId="26C4F61D" w14:textId="7A36A45B" w:rsidR="00B15ABB" w:rsidRPr="009610A8" w:rsidRDefault="00F952C8" w:rsidP="002372C8">
      <w:pPr>
        <w:rPr>
          <w:szCs w:val="24"/>
        </w:rPr>
      </w:pPr>
      <w:r w:rsidRPr="009610A8">
        <w:t xml:space="preserve">The </w:t>
      </w:r>
      <w:r w:rsidRPr="009610A8">
        <w:rPr>
          <w:szCs w:val="24"/>
        </w:rPr>
        <w:t>Council will continue to support the VET sector to engage with the opportunities available both on and offshore and consider how it can best support the sector following a comprehensive policy discussion in 2019. Expert Members will also drive the implementation of a VET international engagement strategy, to be released in early 2019. The strategy seeks to position Australia as a country of choice for the provision of quality, industry-relevant training and as an international leader in the development of a globally skilled workforce.</w:t>
      </w:r>
      <w:r w:rsidR="00B15ABB" w:rsidRPr="009610A8">
        <w:rPr>
          <w:szCs w:val="24"/>
        </w:rPr>
        <w:t xml:space="preserve"> </w:t>
      </w:r>
    </w:p>
    <w:p w14:paraId="380C1034" w14:textId="77777777" w:rsidR="00492C70" w:rsidRPr="009610A8" w:rsidRDefault="00492C70" w:rsidP="00DD737B">
      <w:pPr>
        <w:pStyle w:val="Heading2"/>
        <w:numPr>
          <w:ilvl w:val="1"/>
          <w:numId w:val="25"/>
        </w:numPr>
        <w:spacing w:before="360"/>
        <w:ind w:left="709" w:hanging="709"/>
        <w:rPr>
          <w:sz w:val="28"/>
        </w:rPr>
      </w:pPr>
      <w:bookmarkStart w:id="114" w:name="_Toc530471871"/>
      <w:r w:rsidRPr="009610A8">
        <w:rPr>
          <w:sz w:val="28"/>
        </w:rPr>
        <w:t>Improving the transparency and practice of education agents</w:t>
      </w:r>
      <w:bookmarkEnd w:id="114"/>
    </w:p>
    <w:p w14:paraId="41D66BE3" w14:textId="56EC009C" w:rsidR="00492C70" w:rsidRPr="009610A8" w:rsidRDefault="00436980" w:rsidP="00DD737B">
      <w:pPr>
        <w:spacing w:after="120" w:line="240" w:lineRule="auto"/>
        <w:rPr>
          <w:szCs w:val="24"/>
        </w:rPr>
      </w:pPr>
      <w:r w:rsidRPr="009610A8">
        <w:rPr>
          <w:szCs w:val="24"/>
        </w:rPr>
        <w:t xml:space="preserve">Given the </w:t>
      </w:r>
      <w:r w:rsidR="00492C70" w:rsidRPr="009610A8">
        <w:rPr>
          <w:szCs w:val="24"/>
        </w:rPr>
        <w:t>regulatory changes to formalise the Agents’ Code of Conduct</w:t>
      </w:r>
      <w:r w:rsidRPr="009610A8">
        <w:rPr>
          <w:szCs w:val="24"/>
        </w:rPr>
        <w:t xml:space="preserve">, </w:t>
      </w:r>
      <w:r w:rsidR="007D7E24" w:rsidRPr="009610A8">
        <w:rPr>
          <w:szCs w:val="24"/>
        </w:rPr>
        <w:t xml:space="preserve">the recently commenced Joint Standing Committee inquiry into the </w:t>
      </w:r>
      <w:r w:rsidR="007D7E24" w:rsidRPr="009610A8">
        <w:rPr>
          <w:i/>
          <w:szCs w:val="24"/>
        </w:rPr>
        <w:t>Efficacy of Current Regulation of Australian Migration Agents</w:t>
      </w:r>
      <w:r w:rsidR="007D7E24" w:rsidRPr="009610A8">
        <w:rPr>
          <w:szCs w:val="24"/>
        </w:rPr>
        <w:t xml:space="preserve">, </w:t>
      </w:r>
      <w:r w:rsidR="00460B47" w:rsidRPr="009610A8">
        <w:rPr>
          <w:szCs w:val="24"/>
        </w:rPr>
        <w:t xml:space="preserve">and the </w:t>
      </w:r>
      <w:r w:rsidR="00460B47" w:rsidRPr="009610A8">
        <w:rPr>
          <w:szCs w:val="24"/>
        </w:rPr>
        <w:lastRenderedPageBreak/>
        <w:t xml:space="preserve">publication of information on agent performance, </w:t>
      </w:r>
      <w:r w:rsidR="00214A26" w:rsidRPr="009610A8">
        <w:rPr>
          <w:szCs w:val="24"/>
        </w:rPr>
        <w:t xml:space="preserve">the </w:t>
      </w:r>
      <w:r w:rsidR="00492C70" w:rsidRPr="009610A8">
        <w:rPr>
          <w:szCs w:val="24"/>
        </w:rPr>
        <w:t xml:space="preserve">Council will consider </w:t>
      </w:r>
      <w:r w:rsidR="00281330" w:rsidRPr="009610A8">
        <w:rPr>
          <w:szCs w:val="24"/>
        </w:rPr>
        <w:t>how government can support</w:t>
      </w:r>
      <w:r w:rsidR="00492C70" w:rsidRPr="009610A8">
        <w:rPr>
          <w:szCs w:val="24"/>
        </w:rPr>
        <w:t xml:space="preserve"> the sector to influence good practice and integrity by agents.</w:t>
      </w:r>
    </w:p>
    <w:p w14:paraId="59F5CADD" w14:textId="77777777" w:rsidR="00883758" w:rsidRPr="009610A8" w:rsidRDefault="00AC69F7" w:rsidP="00DD737B">
      <w:pPr>
        <w:pStyle w:val="Heading2"/>
        <w:numPr>
          <w:ilvl w:val="1"/>
          <w:numId w:val="25"/>
        </w:numPr>
        <w:spacing w:before="360"/>
        <w:ind w:left="709" w:hanging="709"/>
        <w:rPr>
          <w:sz w:val="28"/>
        </w:rPr>
      </w:pPr>
      <w:bookmarkStart w:id="115" w:name="_Toc529461705"/>
      <w:bookmarkStart w:id="116" w:name="_Toc529538298"/>
      <w:bookmarkStart w:id="117" w:name="_Toc530471872"/>
      <w:bookmarkEnd w:id="115"/>
      <w:bookmarkEnd w:id="116"/>
      <w:r w:rsidRPr="009610A8">
        <w:rPr>
          <w:sz w:val="28"/>
        </w:rPr>
        <w:t>Improving work-integrated learning opportunities</w:t>
      </w:r>
      <w:bookmarkEnd w:id="117"/>
    </w:p>
    <w:p w14:paraId="4574739A" w14:textId="6C29FA9F" w:rsidR="00FF0BC2" w:rsidRPr="009610A8" w:rsidRDefault="00FF0BC2" w:rsidP="00DD737B">
      <w:pPr>
        <w:spacing w:after="120" w:line="240" w:lineRule="auto"/>
        <w:rPr>
          <w:szCs w:val="24"/>
        </w:rPr>
      </w:pPr>
      <w:r w:rsidRPr="009610A8">
        <w:rPr>
          <w:szCs w:val="24"/>
        </w:rPr>
        <w:t>Work</w:t>
      </w:r>
      <w:r w:rsidR="00DF3993" w:rsidRPr="009610A8">
        <w:rPr>
          <w:szCs w:val="24"/>
        </w:rPr>
        <w:t>-</w:t>
      </w:r>
      <w:r w:rsidRPr="009610A8">
        <w:rPr>
          <w:szCs w:val="24"/>
        </w:rPr>
        <w:t xml:space="preserve">integrated learning (also known as work-based learning) provides students the opportunity to engage in learning activities connected with industry and community, enhancing their learning by connecting theory to practice, and providing an avenue for engagement with Australian industry and community partners. </w:t>
      </w:r>
    </w:p>
    <w:p w14:paraId="1F83A354" w14:textId="77777777" w:rsidR="00883758" w:rsidRPr="009610A8" w:rsidRDefault="00E66EF9" w:rsidP="00DD737B">
      <w:pPr>
        <w:spacing w:after="120" w:line="240" w:lineRule="auto"/>
        <w:rPr>
          <w:szCs w:val="24"/>
        </w:rPr>
      </w:pPr>
      <w:r w:rsidRPr="009610A8">
        <w:rPr>
          <w:szCs w:val="24"/>
        </w:rPr>
        <w:t xml:space="preserve">Expert Members will consider the results of </w:t>
      </w:r>
      <w:r w:rsidR="001756DF" w:rsidRPr="009610A8">
        <w:rPr>
          <w:szCs w:val="24"/>
        </w:rPr>
        <w:t xml:space="preserve">two </w:t>
      </w:r>
      <w:r w:rsidR="00436980" w:rsidRPr="009610A8">
        <w:rPr>
          <w:szCs w:val="24"/>
        </w:rPr>
        <w:t xml:space="preserve">EGI </w:t>
      </w:r>
      <w:r w:rsidR="001756DF" w:rsidRPr="009610A8">
        <w:rPr>
          <w:szCs w:val="24"/>
        </w:rPr>
        <w:t xml:space="preserve">research </w:t>
      </w:r>
      <w:r w:rsidRPr="009610A8">
        <w:rPr>
          <w:szCs w:val="24"/>
        </w:rPr>
        <w:t>projects</w:t>
      </w:r>
      <w:r w:rsidR="001756DF" w:rsidRPr="009610A8">
        <w:rPr>
          <w:szCs w:val="24"/>
        </w:rPr>
        <w:t xml:space="preserve"> </w:t>
      </w:r>
      <w:r w:rsidR="00436980" w:rsidRPr="009610A8">
        <w:rPr>
          <w:szCs w:val="24"/>
        </w:rPr>
        <w:t xml:space="preserve">on work-integrated learning </w:t>
      </w:r>
      <w:r w:rsidR="001756DF" w:rsidRPr="009610A8">
        <w:rPr>
          <w:szCs w:val="24"/>
        </w:rPr>
        <w:t>(conducted by Universities Australia and by the Australian Technology Network</w:t>
      </w:r>
      <w:r w:rsidR="00436980" w:rsidRPr="009610A8">
        <w:rPr>
          <w:szCs w:val="24"/>
        </w:rPr>
        <w:t xml:space="preserve">). </w:t>
      </w:r>
      <w:r w:rsidR="001756DF" w:rsidRPr="009610A8">
        <w:rPr>
          <w:szCs w:val="24"/>
        </w:rPr>
        <w:t xml:space="preserve">Outcomes of these research projects </w:t>
      </w:r>
      <w:r w:rsidR="00436980" w:rsidRPr="009610A8">
        <w:rPr>
          <w:szCs w:val="24"/>
        </w:rPr>
        <w:t>will</w:t>
      </w:r>
      <w:r w:rsidR="001756DF" w:rsidRPr="009610A8">
        <w:rPr>
          <w:szCs w:val="24"/>
        </w:rPr>
        <w:t xml:space="preserve"> be available for</w:t>
      </w:r>
      <w:r w:rsidR="00F060E1" w:rsidRPr="009610A8">
        <w:rPr>
          <w:szCs w:val="24"/>
        </w:rPr>
        <w:t xml:space="preserve"> broader d</w:t>
      </w:r>
      <w:r w:rsidR="001756DF" w:rsidRPr="009610A8">
        <w:rPr>
          <w:szCs w:val="24"/>
        </w:rPr>
        <w:t xml:space="preserve">issemination in the first half of </w:t>
      </w:r>
      <w:r w:rsidR="00F060E1" w:rsidRPr="009610A8">
        <w:rPr>
          <w:szCs w:val="24"/>
        </w:rPr>
        <w:t>2019.</w:t>
      </w:r>
    </w:p>
    <w:p w14:paraId="181D92D4" w14:textId="52E6C8A0" w:rsidR="007F681F" w:rsidRPr="009610A8" w:rsidRDefault="00D55D82" w:rsidP="00DD737B">
      <w:pPr>
        <w:spacing w:after="120" w:line="240" w:lineRule="auto"/>
        <w:rPr>
          <w:szCs w:val="24"/>
        </w:rPr>
      </w:pPr>
      <w:r w:rsidRPr="009610A8">
        <w:rPr>
          <w:szCs w:val="24"/>
        </w:rPr>
        <w:t xml:space="preserve">Work is also underway to partner with state and territory governments </w:t>
      </w:r>
      <w:r w:rsidR="007F681F" w:rsidRPr="009610A8">
        <w:rPr>
          <w:szCs w:val="24"/>
        </w:rPr>
        <w:t>to promote internships and work</w:t>
      </w:r>
      <w:r w:rsidR="00DF3993" w:rsidRPr="009610A8">
        <w:rPr>
          <w:szCs w:val="24"/>
        </w:rPr>
        <w:t>-</w:t>
      </w:r>
      <w:r w:rsidR="007F681F" w:rsidRPr="009610A8">
        <w:rPr>
          <w:szCs w:val="24"/>
        </w:rPr>
        <w:t xml:space="preserve">integrated learning programs that connect international students with employers. </w:t>
      </w:r>
    </w:p>
    <w:p w14:paraId="4196832A" w14:textId="77777777" w:rsidR="00492C70" w:rsidRPr="009610A8" w:rsidRDefault="00492C70" w:rsidP="00DD737B">
      <w:pPr>
        <w:pStyle w:val="Heading2"/>
        <w:numPr>
          <w:ilvl w:val="1"/>
          <w:numId w:val="25"/>
        </w:numPr>
        <w:spacing w:before="360"/>
        <w:ind w:left="709" w:hanging="709"/>
        <w:rPr>
          <w:sz w:val="28"/>
        </w:rPr>
      </w:pPr>
      <w:bookmarkStart w:id="118" w:name="_Toc530471873"/>
      <w:bookmarkStart w:id="119" w:name="_Hlk527372009"/>
      <w:r w:rsidRPr="009610A8">
        <w:rPr>
          <w:sz w:val="28"/>
        </w:rPr>
        <w:t>Facilitating greater international engagement in the schools sector</w:t>
      </w:r>
      <w:bookmarkEnd w:id="118"/>
    </w:p>
    <w:bookmarkEnd w:id="119"/>
    <w:p w14:paraId="4632CC48" w14:textId="1E7D92E4" w:rsidR="00AD6DF4" w:rsidRPr="009610A8" w:rsidRDefault="00AD7011" w:rsidP="00DD737B">
      <w:pPr>
        <w:spacing w:after="120" w:line="240" w:lineRule="auto"/>
        <w:rPr>
          <w:szCs w:val="24"/>
        </w:rPr>
      </w:pPr>
      <w:r w:rsidRPr="009610A8">
        <w:rPr>
          <w:szCs w:val="24"/>
        </w:rPr>
        <w:t xml:space="preserve">Government and Council will continue to encourage the opportunities presented by the schools sector. </w:t>
      </w:r>
      <w:r w:rsidR="00AD6DF4" w:rsidRPr="009610A8">
        <w:rPr>
          <w:i/>
          <w:szCs w:val="24"/>
        </w:rPr>
        <w:t>Investigating Markets for School Curriculum, Assessment and Regulation Exports</w:t>
      </w:r>
      <w:r w:rsidR="00AD6DF4" w:rsidRPr="009610A8">
        <w:rPr>
          <w:szCs w:val="24"/>
        </w:rPr>
        <w:t xml:space="preserve">, led by the NSW Education Standards Agency, seeks to identify opportunities to deliver and sell Australian school curriculum, assessment and regulatory products offshore. </w:t>
      </w:r>
      <w:r w:rsidR="00AD6DF4" w:rsidRPr="009610A8">
        <w:rPr>
          <w:i/>
          <w:szCs w:val="24"/>
        </w:rPr>
        <w:t>Filling the Data Gap</w:t>
      </w:r>
      <w:r w:rsidR="00AD6DF4" w:rsidRPr="009610A8">
        <w:rPr>
          <w:szCs w:val="24"/>
        </w:rPr>
        <w:t xml:space="preserve">, led by </w:t>
      </w:r>
      <w:r w:rsidR="000B601E" w:rsidRPr="009610A8">
        <w:rPr>
          <w:szCs w:val="24"/>
        </w:rPr>
        <w:t>Tribal Group</w:t>
      </w:r>
      <w:r w:rsidR="00AD6DF4" w:rsidRPr="009610A8">
        <w:rPr>
          <w:szCs w:val="24"/>
        </w:rPr>
        <w:t xml:space="preserve">, is exploring better ways to capture international student cohorts in the schools sector beyond those on a traditional student visa. </w:t>
      </w:r>
    </w:p>
    <w:p w14:paraId="25D3C0D2" w14:textId="759E9031" w:rsidR="00492C70" w:rsidRPr="009610A8" w:rsidRDefault="00492C70" w:rsidP="00DD737B">
      <w:pPr>
        <w:spacing w:after="120" w:line="240" w:lineRule="auto"/>
        <w:rPr>
          <w:szCs w:val="24"/>
        </w:rPr>
      </w:pPr>
      <w:r w:rsidRPr="009610A8">
        <w:rPr>
          <w:szCs w:val="24"/>
        </w:rPr>
        <w:t xml:space="preserve">The Council will also work with school education </w:t>
      </w:r>
      <w:r w:rsidR="00367834" w:rsidRPr="009610A8">
        <w:rPr>
          <w:szCs w:val="24"/>
        </w:rPr>
        <w:t xml:space="preserve">jurisdictions and peak </w:t>
      </w:r>
      <w:r w:rsidRPr="009610A8">
        <w:rPr>
          <w:szCs w:val="24"/>
        </w:rPr>
        <w:t xml:space="preserve">bodies to coordinate support for </w:t>
      </w:r>
      <w:r w:rsidR="00367834" w:rsidRPr="009610A8">
        <w:rPr>
          <w:szCs w:val="24"/>
        </w:rPr>
        <w:t xml:space="preserve">international </w:t>
      </w:r>
      <w:r w:rsidRPr="009610A8">
        <w:rPr>
          <w:szCs w:val="24"/>
        </w:rPr>
        <w:t>engagement</w:t>
      </w:r>
      <w:r w:rsidR="00367834" w:rsidRPr="009610A8">
        <w:rPr>
          <w:szCs w:val="24"/>
        </w:rPr>
        <w:t>,</w:t>
      </w:r>
      <w:r w:rsidRPr="009610A8">
        <w:rPr>
          <w:szCs w:val="24"/>
        </w:rPr>
        <w:t xml:space="preserve"> including </w:t>
      </w:r>
      <w:r w:rsidR="00367834" w:rsidRPr="009610A8">
        <w:rPr>
          <w:szCs w:val="24"/>
        </w:rPr>
        <w:t>broadening</w:t>
      </w:r>
      <w:r w:rsidRPr="009610A8">
        <w:rPr>
          <w:szCs w:val="24"/>
        </w:rPr>
        <w:t xml:space="preserve"> offshore delivery and curriculum licensing arrangements</w:t>
      </w:r>
      <w:r w:rsidR="00367834" w:rsidRPr="009610A8">
        <w:rPr>
          <w:szCs w:val="24"/>
        </w:rPr>
        <w:t xml:space="preserve"> and identifying opportunities for Australian students to build their intercultural capabilities</w:t>
      </w:r>
      <w:r w:rsidRPr="009610A8">
        <w:rPr>
          <w:szCs w:val="24"/>
        </w:rPr>
        <w:t xml:space="preserve">. </w:t>
      </w:r>
      <w:r w:rsidR="005820C9" w:rsidRPr="009610A8">
        <w:rPr>
          <w:szCs w:val="24"/>
        </w:rPr>
        <w:t>This will complement the government’s work to improv</w:t>
      </w:r>
      <w:r w:rsidR="000B6A66">
        <w:rPr>
          <w:szCs w:val="24"/>
        </w:rPr>
        <w:t>e</w:t>
      </w:r>
      <w:r w:rsidR="005820C9" w:rsidRPr="009610A8">
        <w:rPr>
          <w:szCs w:val="24"/>
        </w:rPr>
        <w:t xml:space="preserve"> student support for younger international students, ensuring regulatory frameworks meet the needs of students aged under 18 years, and their families. </w:t>
      </w:r>
    </w:p>
    <w:p w14:paraId="479909E3" w14:textId="77777777" w:rsidR="00883758" w:rsidRPr="009610A8" w:rsidRDefault="00883758" w:rsidP="00DD737B">
      <w:pPr>
        <w:pStyle w:val="Heading2"/>
        <w:numPr>
          <w:ilvl w:val="1"/>
          <w:numId w:val="25"/>
        </w:numPr>
        <w:spacing w:before="360"/>
        <w:ind w:left="709" w:hanging="709"/>
        <w:rPr>
          <w:sz w:val="28"/>
        </w:rPr>
      </w:pPr>
      <w:bookmarkStart w:id="120" w:name="_Toc530471874"/>
      <w:r w:rsidRPr="009610A8">
        <w:rPr>
          <w:sz w:val="28"/>
        </w:rPr>
        <w:t>Implementing the recommendations from the Latin America Working Group Report</w:t>
      </w:r>
      <w:bookmarkEnd w:id="120"/>
    </w:p>
    <w:p w14:paraId="551D1BE3" w14:textId="4B3520A0" w:rsidR="00021794" w:rsidRPr="009610A8" w:rsidRDefault="00021794" w:rsidP="00A3429A">
      <w:pPr>
        <w:spacing w:after="120" w:line="240" w:lineRule="auto"/>
        <w:rPr>
          <w:szCs w:val="24"/>
        </w:rPr>
      </w:pPr>
      <w:r w:rsidRPr="009610A8">
        <w:rPr>
          <w:szCs w:val="24"/>
        </w:rPr>
        <w:t xml:space="preserve">Expert Members and government agencies will work together to </w:t>
      </w:r>
      <w:r w:rsidR="00C5164B" w:rsidRPr="009610A8">
        <w:rPr>
          <w:szCs w:val="24"/>
        </w:rPr>
        <w:t xml:space="preserve">take forward </w:t>
      </w:r>
      <w:r w:rsidRPr="009610A8">
        <w:rPr>
          <w:szCs w:val="24"/>
        </w:rPr>
        <w:t xml:space="preserve">the </w:t>
      </w:r>
      <w:r w:rsidR="00CB446F">
        <w:rPr>
          <w:szCs w:val="24"/>
        </w:rPr>
        <w:t xml:space="preserve">recommendations of the </w:t>
      </w:r>
      <w:r w:rsidRPr="009610A8">
        <w:rPr>
          <w:szCs w:val="24"/>
        </w:rPr>
        <w:t>Latin America Working Group’s</w:t>
      </w:r>
      <w:r w:rsidR="00CB446F">
        <w:rPr>
          <w:szCs w:val="24"/>
        </w:rPr>
        <w:t xml:space="preserve"> </w:t>
      </w:r>
      <w:r w:rsidR="00574D8F">
        <w:rPr>
          <w:szCs w:val="24"/>
        </w:rPr>
        <w:t>report</w:t>
      </w:r>
      <w:r w:rsidR="005820C9" w:rsidRPr="009610A8">
        <w:rPr>
          <w:szCs w:val="24"/>
        </w:rPr>
        <w:t xml:space="preserve"> which provide</w:t>
      </w:r>
      <w:r w:rsidR="00574D8F">
        <w:rPr>
          <w:szCs w:val="24"/>
        </w:rPr>
        <w:t>s</w:t>
      </w:r>
      <w:r w:rsidR="005820C9" w:rsidRPr="009610A8">
        <w:rPr>
          <w:szCs w:val="24"/>
        </w:rPr>
        <w:t xml:space="preserve"> actions to lift cooperation across government, industry and the sector</w:t>
      </w:r>
      <w:r w:rsidRPr="009610A8">
        <w:rPr>
          <w:szCs w:val="24"/>
        </w:rPr>
        <w:t xml:space="preserve">. The Market Action Plan for Mexico will be developed to identify specific actions to support this. </w:t>
      </w:r>
    </w:p>
    <w:p w14:paraId="58C3A5CF" w14:textId="77777777" w:rsidR="003C3470" w:rsidRPr="009610A8" w:rsidRDefault="003C3470" w:rsidP="00A3429A">
      <w:pPr>
        <w:pStyle w:val="Heading2"/>
        <w:numPr>
          <w:ilvl w:val="1"/>
          <w:numId w:val="25"/>
        </w:numPr>
        <w:spacing w:before="360"/>
        <w:ind w:left="709" w:hanging="709"/>
        <w:rPr>
          <w:sz w:val="28"/>
        </w:rPr>
      </w:pPr>
      <w:bookmarkStart w:id="121" w:name="_Toc529538302"/>
      <w:bookmarkStart w:id="122" w:name="_Toc529538303"/>
      <w:bookmarkStart w:id="123" w:name="_Toc530471875"/>
      <w:bookmarkEnd w:id="121"/>
      <w:bookmarkEnd w:id="122"/>
      <w:r w:rsidRPr="009610A8">
        <w:rPr>
          <w:sz w:val="28"/>
        </w:rPr>
        <w:t>A focus on China</w:t>
      </w:r>
      <w:bookmarkEnd w:id="123"/>
    </w:p>
    <w:p w14:paraId="64BCE7F0" w14:textId="03974876" w:rsidR="00FF4EE5" w:rsidRPr="009610A8" w:rsidRDefault="00883758" w:rsidP="00DD737B">
      <w:pPr>
        <w:spacing w:after="120" w:line="240" w:lineRule="auto"/>
        <w:rPr>
          <w:szCs w:val="24"/>
        </w:rPr>
      </w:pPr>
      <w:r w:rsidRPr="009610A8">
        <w:rPr>
          <w:szCs w:val="24"/>
        </w:rPr>
        <w:t xml:space="preserve">The Council </w:t>
      </w:r>
      <w:r w:rsidR="00AD7011" w:rsidRPr="009610A8">
        <w:rPr>
          <w:szCs w:val="24"/>
        </w:rPr>
        <w:t>has established a</w:t>
      </w:r>
      <w:r w:rsidRPr="009610A8">
        <w:rPr>
          <w:szCs w:val="24"/>
        </w:rPr>
        <w:t xml:space="preserve"> China Working Group to </w:t>
      </w:r>
      <w:r w:rsidR="003F56FC" w:rsidRPr="009610A8">
        <w:rPr>
          <w:szCs w:val="24"/>
        </w:rPr>
        <w:t xml:space="preserve">consider </w:t>
      </w:r>
      <w:r w:rsidRPr="009610A8">
        <w:rPr>
          <w:szCs w:val="24"/>
        </w:rPr>
        <w:t>opportun</w:t>
      </w:r>
      <w:r w:rsidR="00FF4EE5" w:rsidRPr="009610A8">
        <w:rPr>
          <w:szCs w:val="24"/>
        </w:rPr>
        <w:t xml:space="preserve">ities while addressing </w:t>
      </w:r>
      <w:r w:rsidR="00AD7011" w:rsidRPr="009610A8">
        <w:rPr>
          <w:szCs w:val="24"/>
        </w:rPr>
        <w:t xml:space="preserve">concerns </w:t>
      </w:r>
      <w:r w:rsidR="00DF3993" w:rsidRPr="009610A8">
        <w:rPr>
          <w:szCs w:val="24"/>
        </w:rPr>
        <w:t>about</w:t>
      </w:r>
      <w:r w:rsidR="00FF4EE5" w:rsidRPr="009610A8">
        <w:rPr>
          <w:szCs w:val="24"/>
        </w:rPr>
        <w:t xml:space="preserve"> </w:t>
      </w:r>
      <w:r w:rsidR="0005760F" w:rsidRPr="009610A8">
        <w:rPr>
          <w:szCs w:val="24"/>
        </w:rPr>
        <w:t xml:space="preserve">the high </w:t>
      </w:r>
      <w:r w:rsidR="00FF4EE5" w:rsidRPr="009610A8">
        <w:rPr>
          <w:szCs w:val="24"/>
        </w:rPr>
        <w:t>concentration of students</w:t>
      </w:r>
      <w:r w:rsidRPr="009610A8">
        <w:rPr>
          <w:szCs w:val="24"/>
        </w:rPr>
        <w:t xml:space="preserve"> </w:t>
      </w:r>
      <w:r w:rsidR="0005760F" w:rsidRPr="009610A8">
        <w:rPr>
          <w:szCs w:val="24"/>
        </w:rPr>
        <w:t>in a small number of institutions</w:t>
      </w:r>
      <w:r w:rsidRPr="009610A8">
        <w:rPr>
          <w:szCs w:val="24"/>
        </w:rPr>
        <w:t xml:space="preserve">. </w:t>
      </w:r>
    </w:p>
    <w:p w14:paraId="3E1AD80D" w14:textId="5DC37ECD" w:rsidR="00883758" w:rsidRPr="009610A8" w:rsidRDefault="00883758" w:rsidP="00DD737B">
      <w:pPr>
        <w:spacing w:after="120" w:line="240" w:lineRule="auto"/>
        <w:rPr>
          <w:szCs w:val="24"/>
        </w:rPr>
      </w:pPr>
      <w:r w:rsidRPr="009610A8">
        <w:rPr>
          <w:szCs w:val="24"/>
        </w:rPr>
        <w:t xml:space="preserve">The </w:t>
      </w:r>
      <w:r w:rsidR="00670712" w:rsidRPr="009610A8">
        <w:rPr>
          <w:szCs w:val="24"/>
        </w:rPr>
        <w:t xml:space="preserve">China </w:t>
      </w:r>
      <w:r w:rsidR="00FF4EE5" w:rsidRPr="009610A8">
        <w:rPr>
          <w:szCs w:val="24"/>
        </w:rPr>
        <w:t xml:space="preserve">Working Group </w:t>
      </w:r>
      <w:r w:rsidRPr="009610A8">
        <w:rPr>
          <w:szCs w:val="24"/>
        </w:rPr>
        <w:t>will investigate how Australia can diversify</w:t>
      </w:r>
      <w:r w:rsidR="00156058" w:rsidRPr="009610A8">
        <w:rPr>
          <w:szCs w:val="24"/>
        </w:rPr>
        <w:t xml:space="preserve"> and refresh </w:t>
      </w:r>
      <w:r w:rsidRPr="009610A8">
        <w:rPr>
          <w:szCs w:val="24"/>
        </w:rPr>
        <w:t>its education engagement with China to ensure</w:t>
      </w:r>
      <w:r w:rsidR="00156058" w:rsidRPr="009610A8">
        <w:rPr>
          <w:szCs w:val="24"/>
        </w:rPr>
        <w:t xml:space="preserve"> it is keeping pace with China’s rapidly developing education system and changing aspirations for education cooperation</w:t>
      </w:r>
      <w:r w:rsidRPr="009610A8">
        <w:rPr>
          <w:szCs w:val="24"/>
        </w:rPr>
        <w:t xml:space="preserve">. The work will inform the Expert Members on strategies to manage sustainable growth in </w:t>
      </w:r>
      <w:r w:rsidR="00EB549E" w:rsidRPr="009610A8">
        <w:rPr>
          <w:szCs w:val="24"/>
        </w:rPr>
        <w:t>Australia’s</w:t>
      </w:r>
      <w:r w:rsidRPr="009610A8">
        <w:rPr>
          <w:szCs w:val="24"/>
        </w:rPr>
        <w:t xml:space="preserve"> largest international student </w:t>
      </w:r>
      <w:r w:rsidR="003F56FC" w:rsidRPr="009610A8">
        <w:rPr>
          <w:szCs w:val="24"/>
        </w:rPr>
        <w:t>partner</w:t>
      </w:r>
      <w:r w:rsidRPr="009610A8">
        <w:rPr>
          <w:szCs w:val="24"/>
        </w:rPr>
        <w:t>, explor</w:t>
      </w:r>
      <w:r w:rsidR="00AD7011" w:rsidRPr="009610A8">
        <w:rPr>
          <w:szCs w:val="24"/>
        </w:rPr>
        <w:t>e</w:t>
      </w:r>
      <w:r w:rsidRPr="009610A8">
        <w:rPr>
          <w:szCs w:val="24"/>
        </w:rPr>
        <w:t xml:space="preserve"> ways to encourage Chinese students into a broader range of courses, institutions and locations around </w:t>
      </w:r>
      <w:r w:rsidR="00AD7011" w:rsidRPr="009610A8">
        <w:rPr>
          <w:szCs w:val="24"/>
        </w:rPr>
        <w:t xml:space="preserve">Australia, and </w:t>
      </w:r>
      <w:r w:rsidRPr="009610A8">
        <w:rPr>
          <w:szCs w:val="24"/>
        </w:rPr>
        <w:t xml:space="preserve">identify new approaches to quality assurance and collaboration. </w:t>
      </w:r>
    </w:p>
    <w:p w14:paraId="26DF39D9" w14:textId="77777777" w:rsidR="003C3470" w:rsidRPr="009610A8" w:rsidRDefault="003C3470" w:rsidP="00DD737B">
      <w:pPr>
        <w:pStyle w:val="Heading2"/>
        <w:numPr>
          <w:ilvl w:val="1"/>
          <w:numId w:val="25"/>
        </w:numPr>
        <w:spacing w:before="360"/>
        <w:ind w:left="709" w:hanging="709"/>
        <w:rPr>
          <w:sz w:val="28"/>
        </w:rPr>
      </w:pPr>
      <w:bookmarkStart w:id="124" w:name="_Toc530471876"/>
      <w:r w:rsidRPr="009610A8">
        <w:rPr>
          <w:sz w:val="28"/>
        </w:rPr>
        <w:t>A focus on India</w:t>
      </w:r>
      <w:bookmarkEnd w:id="124"/>
    </w:p>
    <w:p w14:paraId="5CBB0C7A" w14:textId="09BDB7DE" w:rsidR="00624472" w:rsidRPr="009610A8" w:rsidRDefault="00AD7011" w:rsidP="000A4B67">
      <w:pPr>
        <w:spacing w:after="120" w:line="240" w:lineRule="auto"/>
        <w:rPr>
          <w:szCs w:val="24"/>
        </w:rPr>
      </w:pPr>
      <w:r w:rsidRPr="009610A8">
        <w:rPr>
          <w:szCs w:val="24"/>
        </w:rPr>
        <w:t xml:space="preserve">Through the establishment of an India Working Group, Expert Members will drive key action stemming from the India Economic Strategy. </w:t>
      </w:r>
      <w:r w:rsidR="00883758" w:rsidRPr="009610A8">
        <w:rPr>
          <w:szCs w:val="24"/>
        </w:rPr>
        <w:t xml:space="preserve">The Indian Government aims to increase its university enrolment rate from 27 per </w:t>
      </w:r>
      <w:r w:rsidR="00883758" w:rsidRPr="009610A8">
        <w:rPr>
          <w:szCs w:val="24"/>
        </w:rPr>
        <w:lastRenderedPageBreak/>
        <w:t>cent to 50 per cent by 2030, and it estimates an additional 120 million skilled workers will be required by 2022</w:t>
      </w:r>
      <w:r w:rsidR="008F0C39" w:rsidRPr="009610A8">
        <w:rPr>
          <w:rStyle w:val="FootnoteReference"/>
          <w:szCs w:val="24"/>
        </w:rPr>
        <w:footnoteReference w:id="16"/>
      </w:r>
      <w:r w:rsidR="00883758" w:rsidRPr="009610A8">
        <w:rPr>
          <w:szCs w:val="24"/>
        </w:rPr>
        <w:t>. India’s tertiary age population</w:t>
      </w:r>
      <w:r w:rsidR="00912BFF" w:rsidRPr="009610A8">
        <w:rPr>
          <w:szCs w:val="24"/>
        </w:rPr>
        <w:t xml:space="preserve">, </w:t>
      </w:r>
      <w:r w:rsidR="00883758" w:rsidRPr="009610A8">
        <w:rPr>
          <w:szCs w:val="24"/>
        </w:rPr>
        <w:t>the largest in the world, is projected to peak at 126 million in 2026</w:t>
      </w:r>
      <w:r w:rsidR="008F0C39" w:rsidRPr="009610A8">
        <w:rPr>
          <w:rStyle w:val="FootnoteReference"/>
          <w:szCs w:val="24"/>
        </w:rPr>
        <w:footnoteReference w:id="17"/>
      </w:r>
      <w:r w:rsidR="00883758" w:rsidRPr="009610A8">
        <w:rPr>
          <w:szCs w:val="24"/>
        </w:rPr>
        <w:t xml:space="preserve">. The India Economic Strategy makes a number of recommendations to position Australia to partner with India to support its education ambitions in the </w:t>
      </w:r>
      <w:r w:rsidR="00670712" w:rsidRPr="009610A8">
        <w:rPr>
          <w:szCs w:val="24"/>
        </w:rPr>
        <w:t>higher</w:t>
      </w:r>
      <w:r w:rsidR="00883758" w:rsidRPr="009610A8">
        <w:rPr>
          <w:szCs w:val="24"/>
        </w:rPr>
        <w:t xml:space="preserve">, secondary and vocational </w:t>
      </w:r>
      <w:r w:rsidR="00670712" w:rsidRPr="009610A8">
        <w:rPr>
          <w:szCs w:val="24"/>
        </w:rPr>
        <w:t xml:space="preserve">education </w:t>
      </w:r>
      <w:r w:rsidR="00883758" w:rsidRPr="009610A8">
        <w:rPr>
          <w:szCs w:val="24"/>
        </w:rPr>
        <w:t>sectors.</w:t>
      </w:r>
      <w:r w:rsidR="00624472" w:rsidRPr="009610A8">
        <w:rPr>
          <w:szCs w:val="24"/>
        </w:rPr>
        <w:br w:type="page"/>
      </w:r>
    </w:p>
    <w:p w14:paraId="0EDA8B93" w14:textId="77777777" w:rsidR="00624472" w:rsidRPr="009610A8" w:rsidRDefault="00624472" w:rsidP="00D478D6">
      <w:pPr>
        <w:pStyle w:val="Heading1"/>
        <w:pageBreakBefore/>
        <w:numPr>
          <w:ilvl w:val="0"/>
          <w:numId w:val="25"/>
        </w:numPr>
        <w:spacing w:after="120"/>
        <w:ind w:left="357" w:hanging="357"/>
        <w:rPr>
          <w:sz w:val="32"/>
        </w:rPr>
      </w:pPr>
      <w:bookmarkStart w:id="125" w:name="_Toc530471877"/>
      <w:r w:rsidRPr="009610A8">
        <w:rPr>
          <w:sz w:val="32"/>
        </w:rPr>
        <w:lastRenderedPageBreak/>
        <w:t>Conclusion</w:t>
      </w:r>
      <w:bookmarkEnd w:id="125"/>
    </w:p>
    <w:p w14:paraId="7129456A" w14:textId="572EB259" w:rsidR="002E3E67" w:rsidRPr="009610A8" w:rsidRDefault="002E3E67">
      <w:pPr>
        <w:rPr>
          <w:szCs w:val="24"/>
        </w:rPr>
      </w:pPr>
      <w:r w:rsidRPr="009610A8">
        <w:rPr>
          <w:szCs w:val="24"/>
        </w:rPr>
        <w:t xml:space="preserve">Australia’s international education sector is growing, albeit at a slowing rate, and has many opportunities before it. </w:t>
      </w:r>
    </w:p>
    <w:p w14:paraId="5758EA7E" w14:textId="0D66822C" w:rsidR="000A4411" w:rsidRPr="009610A8" w:rsidRDefault="000A4411" w:rsidP="000A4411">
      <w:pPr>
        <w:rPr>
          <w:szCs w:val="24"/>
        </w:rPr>
      </w:pPr>
      <w:r w:rsidRPr="009610A8">
        <w:rPr>
          <w:szCs w:val="24"/>
        </w:rPr>
        <w:t>To reach the ambitious targets of the National Strategy</w:t>
      </w:r>
      <w:r w:rsidR="005820C9" w:rsidRPr="009610A8">
        <w:rPr>
          <w:rFonts w:ascii="Calibri" w:eastAsia="DengXian" w:hAnsi="Calibri" w:cs="Times New Roman"/>
          <w:szCs w:val="24"/>
        </w:rPr>
        <w:t xml:space="preserve"> and the complementary market development roadmap</w:t>
      </w:r>
      <w:r w:rsidRPr="009610A8">
        <w:rPr>
          <w:szCs w:val="24"/>
        </w:rPr>
        <w:t xml:space="preserve">, Australia will continue </w:t>
      </w:r>
      <w:r w:rsidR="00C17047">
        <w:rPr>
          <w:szCs w:val="24"/>
        </w:rPr>
        <w:t xml:space="preserve">to </w:t>
      </w:r>
      <w:r w:rsidRPr="009610A8">
        <w:rPr>
          <w:szCs w:val="24"/>
        </w:rPr>
        <w:t xml:space="preserve">grow our education offerings, maintain our strong reputation for quality, and strive for innovation and improvement in the international education sector. </w:t>
      </w:r>
    </w:p>
    <w:p w14:paraId="0928CEB3" w14:textId="561C895B" w:rsidR="002E3E67" w:rsidRPr="009610A8" w:rsidRDefault="002E3E67" w:rsidP="002E3E67">
      <w:pPr>
        <w:rPr>
          <w:szCs w:val="24"/>
        </w:rPr>
      </w:pPr>
      <w:r w:rsidRPr="009610A8">
        <w:rPr>
          <w:szCs w:val="24"/>
        </w:rPr>
        <w:t>High student satisfaction, developing new and growing existing partnerships</w:t>
      </w:r>
      <w:r w:rsidR="00777AE6" w:rsidRPr="009610A8">
        <w:rPr>
          <w:szCs w:val="24"/>
        </w:rPr>
        <w:t xml:space="preserve"> and the many other achievements listed in this report, </w:t>
      </w:r>
      <w:r w:rsidRPr="009610A8">
        <w:rPr>
          <w:szCs w:val="24"/>
        </w:rPr>
        <w:t xml:space="preserve">are all </w:t>
      </w:r>
      <w:r w:rsidR="00777AE6" w:rsidRPr="009610A8">
        <w:rPr>
          <w:szCs w:val="24"/>
        </w:rPr>
        <w:t>sources of pride for the</w:t>
      </w:r>
      <w:r w:rsidRPr="009610A8">
        <w:rPr>
          <w:szCs w:val="24"/>
        </w:rPr>
        <w:t xml:space="preserve"> Council. Working collaboratively across industry, government and education providers</w:t>
      </w:r>
      <w:r w:rsidR="00777AE6" w:rsidRPr="009610A8">
        <w:rPr>
          <w:szCs w:val="24"/>
        </w:rPr>
        <w:t>, with the i</w:t>
      </w:r>
      <w:r w:rsidRPr="009610A8">
        <w:rPr>
          <w:szCs w:val="24"/>
        </w:rPr>
        <w:t>nsights and active engagement of the Expert Members, Australia’s response to challenges a</w:t>
      </w:r>
      <w:r w:rsidR="00777AE6" w:rsidRPr="009610A8">
        <w:rPr>
          <w:szCs w:val="24"/>
        </w:rPr>
        <w:t xml:space="preserve">nd opportunities will </w:t>
      </w:r>
      <w:r w:rsidR="0005760F" w:rsidRPr="009610A8">
        <w:rPr>
          <w:szCs w:val="24"/>
        </w:rPr>
        <w:t xml:space="preserve">continue to </w:t>
      </w:r>
      <w:r w:rsidR="00777AE6" w:rsidRPr="009610A8">
        <w:rPr>
          <w:szCs w:val="24"/>
        </w:rPr>
        <w:t>be strong</w:t>
      </w:r>
      <w:r w:rsidRPr="009610A8">
        <w:rPr>
          <w:szCs w:val="24"/>
        </w:rPr>
        <w:t xml:space="preserve"> and sector led. </w:t>
      </w:r>
    </w:p>
    <w:p w14:paraId="7D8E6438" w14:textId="77777777" w:rsidR="000059AC" w:rsidRPr="009610A8" w:rsidRDefault="000059AC">
      <w:pPr>
        <w:rPr>
          <w:szCs w:val="24"/>
        </w:rPr>
      </w:pPr>
      <w:r w:rsidRPr="009610A8">
        <w:rPr>
          <w:szCs w:val="24"/>
        </w:rPr>
        <w:br w:type="page"/>
      </w:r>
    </w:p>
    <w:p w14:paraId="5AA7A537" w14:textId="77777777" w:rsidR="000059AC" w:rsidRPr="009610A8" w:rsidRDefault="000059AC" w:rsidP="000059AC">
      <w:pPr>
        <w:pStyle w:val="Heading1"/>
        <w:spacing w:after="120"/>
        <w:rPr>
          <w:sz w:val="32"/>
        </w:rPr>
      </w:pPr>
      <w:bookmarkStart w:id="126" w:name="_Toc530471878"/>
      <w:r w:rsidRPr="009610A8">
        <w:rPr>
          <w:sz w:val="32"/>
        </w:rPr>
        <w:lastRenderedPageBreak/>
        <w:t>Attachment A: Enabling Growth and Innovation Projects</w:t>
      </w:r>
      <w:bookmarkEnd w:id="126"/>
    </w:p>
    <w:p w14:paraId="6C7A05F8" w14:textId="77777777" w:rsidR="00CF46A5" w:rsidRPr="009610A8" w:rsidRDefault="00CF46A5" w:rsidP="00D478D6">
      <w:pPr>
        <w:spacing w:before="300" w:after="0" w:line="240" w:lineRule="auto"/>
        <w:rPr>
          <w:rFonts w:asciiTheme="majorHAnsi" w:hAnsiTheme="majorHAnsi" w:cstheme="majorHAnsi"/>
          <w:color w:val="1F4E79" w:themeColor="accent1" w:themeShade="80"/>
          <w:sz w:val="28"/>
          <w:szCs w:val="32"/>
        </w:rPr>
      </w:pPr>
      <w:r w:rsidRPr="009610A8">
        <w:rPr>
          <w:rFonts w:asciiTheme="majorHAnsi" w:hAnsiTheme="majorHAnsi" w:cstheme="majorHAnsi"/>
          <w:color w:val="1F4E79" w:themeColor="accent1" w:themeShade="80"/>
          <w:sz w:val="28"/>
          <w:szCs w:val="32"/>
        </w:rPr>
        <w:t xml:space="preserve">2016-17 </w:t>
      </w:r>
      <w:r w:rsidR="00F85FAE" w:rsidRPr="009610A8">
        <w:rPr>
          <w:rFonts w:asciiTheme="majorHAnsi" w:hAnsiTheme="majorHAnsi" w:cstheme="majorHAnsi"/>
          <w:color w:val="1F4E79" w:themeColor="accent1" w:themeShade="80"/>
          <w:sz w:val="28"/>
          <w:szCs w:val="32"/>
        </w:rPr>
        <w:t>P</w:t>
      </w:r>
      <w:r w:rsidRPr="009610A8">
        <w:rPr>
          <w:rFonts w:asciiTheme="majorHAnsi" w:hAnsiTheme="majorHAnsi" w:cstheme="majorHAnsi"/>
          <w:color w:val="1F4E79" w:themeColor="accent1" w:themeShade="80"/>
          <w:sz w:val="28"/>
          <w:szCs w:val="32"/>
        </w:rPr>
        <w:t>rojects</w:t>
      </w:r>
    </w:p>
    <w:tbl>
      <w:tblPr>
        <w:tblStyle w:val="GridTable4-Accent11"/>
        <w:tblW w:w="10348" w:type="dxa"/>
        <w:tblLook w:val="04A0" w:firstRow="1" w:lastRow="0" w:firstColumn="1" w:lastColumn="0" w:noHBand="0" w:noVBand="1"/>
      </w:tblPr>
      <w:tblGrid>
        <w:gridCol w:w="1838"/>
        <w:gridCol w:w="8510"/>
      </w:tblGrid>
      <w:tr w:rsidR="00782F90" w:rsidRPr="009610A8" w14:paraId="6B358FFF" w14:textId="77777777" w:rsidTr="00963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043F6E1" w14:textId="77777777" w:rsidR="00782F90" w:rsidRPr="009610A8" w:rsidRDefault="00782F90" w:rsidP="00FF088E">
            <w:pPr>
              <w:spacing w:before="120" w:after="120"/>
              <w:rPr>
                <w:rFonts w:ascii="Calibri" w:eastAsia="Calibri" w:hAnsi="Calibri" w:cs="Times New Roman"/>
              </w:rPr>
            </w:pPr>
            <w:r w:rsidRPr="009610A8">
              <w:rPr>
                <w:rFonts w:ascii="Calibri" w:eastAsia="Calibri" w:hAnsi="Calibri" w:cs="Times New Roman"/>
              </w:rPr>
              <w:t>Organisation</w:t>
            </w:r>
          </w:p>
        </w:tc>
        <w:tc>
          <w:tcPr>
            <w:tcW w:w="8510" w:type="dxa"/>
          </w:tcPr>
          <w:p w14:paraId="6A62CBE9" w14:textId="77777777" w:rsidR="00782F90" w:rsidRPr="009610A8" w:rsidRDefault="00782F90" w:rsidP="00FF088E">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Project Title and Description</w:t>
            </w:r>
          </w:p>
        </w:tc>
      </w:tr>
      <w:tr w:rsidR="00782F90" w:rsidRPr="009610A8" w14:paraId="3D9E7EFC" w14:textId="77777777" w:rsidTr="00963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E20820" w14:textId="77777777" w:rsidR="00782F90"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KPMG</w:t>
            </w:r>
          </w:p>
        </w:tc>
        <w:tc>
          <w:tcPr>
            <w:tcW w:w="8510" w:type="dxa"/>
          </w:tcPr>
          <w:p w14:paraId="7A5E690C"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A scoping study of a ‘sharing economy’ model for international student accommodation in Australia</w:t>
            </w:r>
          </w:p>
          <w:p w14:paraId="12F0DEC2" w14:textId="4D7CE8A3" w:rsidR="00782F90"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The project examines the feasibility of a user review ratings scheme for international student accommodation and make</w:t>
            </w:r>
            <w:r w:rsidR="00912BFF" w:rsidRPr="009610A8">
              <w:rPr>
                <w:rFonts w:ascii="Calibri" w:eastAsia="Calibri" w:hAnsi="Calibri" w:cs="Times New Roman"/>
              </w:rPr>
              <w:t>s</w:t>
            </w:r>
            <w:r w:rsidRPr="009610A8">
              <w:rPr>
                <w:rFonts w:ascii="Calibri" w:eastAsia="Calibri" w:hAnsi="Calibri" w:cs="Times New Roman"/>
              </w:rPr>
              <w:t xml:space="preserve"> recommendations for future models which could be used in Australia.</w:t>
            </w:r>
          </w:p>
        </w:tc>
      </w:tr>
      <w:tr w:rsidR="00455583" w:rsidRPr="009610A8" w14:paraId="182F4CA1"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047A6078"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Universities Australia</w:t>
            </w:r>
          </w:p>
        </w:tc>
        <w:tc>
          <w:tcPr>
            <w:tcW w:w="8510" w:type="dxa"/>
          </w:tcPr>
          <w:p w14:paraId="65D383AE"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Developing employability opportunities for international students by undertaking an audit of work-integrated learning</w:t>
            </w:r>
          </w:p>
          <w:p w14:paraId="7E6F8ADD"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A work-integrated learning (WIL) audit provides a comprehensive overview of current WIL activity. The project will identify barriers and opportunities to providing greater opportunities to enhance the employability skills of graduates.</w:t>
            </w:r>
          </w:p>
        </w:tc>
      </w:tr>
      <w:tr w:rsidR="00455583" w:rsidRPr="009610A8" w14:paraId="1D0ED9BB"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9B7834"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Council of International Students Australia</w:t>
            </w:r>
          </w:p>
        </w:tc>
        <w:tc>
          <w:tcPr>
            <w:tcW w:w="8510" w:type="dxa"/>
          </w:tcPr>
          <w:p w14:paraId="0C5F5A2E"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Council for International Students annual conference</w:t>
            </w:r>
          </w:p>
          <w:p w14:paraId="411350C8" w14:textId="77777777" w:rsidR="00455583" w:rsidRPr="009610A8" w:rsidRDefault="00924916"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provides f</w:t>
            </w:r>
            <w:r w:rsidR="00455583" w:rsidRPr="009610A8">
              <w:rPr>
                <w:rFonts w:ascii="Calibri" w:eastAsia="Calibri" w:hAnsi="Calibri" w:cs="Times New Roman"/>
              </w:rPr>
              <w:t xml:space="preserve">unding </w:t>
            </w:r>
            <w:r w:rsidRPr="009610A8">
              <w:rPr>
                <w:rFonts w:ascii="Calibri" w:eastAsia="Calibri" w:hAnsi="Calibri" w:cs="Times New Roman"/>
              </w:rPr>
              <w:t>to</w:t>
            </w:r>
            <w:r w:rsidR="00455583" w:rsidRPr="009610A8">
              <w:rPr>
                <w:rFonts w:ascii="Calibri" w:eastAsia="Calibri" w:hAnsi="Calibri" w:cs="Times New Roman"/>
              </w:rPr>
              <w:t xml:space="preserve"> support </w:t>
            </w:r>
            <w:r w:rsidRPr="009610A8">
              <w:rPr>
                <w:rFonts w:ascii="Calibri" w:eastAsia="Calibri" w:hAnsi="Calibri" w:cs="Times New Roman"/>
              </w:rPr>
              <w:t xml:space="preserve">the </w:t>
            </w:r>
            <w:r w:rsidR="00455583" w:rsidRPr="009610A8">
              <w:rPr>
                <w:rFonts w:ascii="Calibri" w:eastAsia="Calibri" w:hAnsi="Calibri" w:cs="Times New Roman"/>
              </w:rPr>
              <w:t xml:space="preserve">ongoing sustainability of the conference and of </w:t>
            </w:r>
            <w:r w:rsidRPr="009610A8">
              <w:rPr>
                <w:rFonts w:ascii="Calibri" w:eastAsia="Calibri" w:hAnsi="Calibri" w:cs="Times New Roman"/>
              </w:rPr>
              <w:t>the Council for International Students Australia</w:t>
            </w:r>
            <w:r w:rsidR="00455583" w:rsidRPr="009610A8">
              <w:rPr>
                <w:rFonts w:ascii="Calibri" w:eastAsia="Calibri" w:hAnsi="Calibri" w:cs="Times New Roman"/>
              </w:rPr>
              <w:t>, including diversifying participation in the conference and a forum on the student experience.</w:t>
            </w:r>
          </w:p>
        </w:tc>
      </w:tr>
      <w:tr w:rsidR="00455583" w:rsidRPr="009610A8" w14:paraId="4679E335"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5DC3A2F0"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Harvard Project for Asian and International Relations</w:t>
            </w:r>
          </w:p>
        </w:tc>
        <w:tc>
          <w:tcPr>
            <w:tcW w:w="8510" w:type="dxa"/>
          </w:tcPr>
          <w:p w14:paraId="354EC062"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Harvard Project for Asian and International Relations Conference</w:t>
            </w:r>
          </w:p>
          <w:p w14:paraId="2937385C" w14:textId="77777777" w:rsidR="00455583" w:rsidRPr="009610A8" w:rsidRDefault="00924916"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primarily provides f</w:t>
            </w:r>
            <w:r w:rsidR="00455583" w:rsidRPr="009610A8">
              <w:rPr>
                <w:rFonts w:ascii="Calibri" w:eastAsia="Calibri" w:hAnsi="Calibri" w:cs="Times New Roman"/>
              </w:rPr>
              <w:t>unding for scholarships and bursaries to support participation in the conference</w:t>
            </w:r>
            <w:r w:rsidRPr="009610A8">
              <w:rPr>
                <w:rFonts w:ascii="Calibri" w:eastAsia="Calibri" w:hAnsi="Calibri" w:cs="Times New Roman"/>
              </w:rPr>
              <w:t>,</w:t>
            </w:r>
            <w:r w:rsidR="00455583" w:rsidRPr="009610A8">
              <w:rPr>
                <w:rFonts w:ascii="Calibri" w:eastAsia="Calibri" w:hAnsi="Calibri" w:cs="Times New Roman"/>
              </w:rPr>
              <w:t xml:space="preserve"> and to highlight the opportunities available in the Australian education system.</w:t>
            </w:r>
          </w:p>
        </w:tc>
      </w:tr>
      <w:tr w:rsidR="00455583" w:rsidRPr="009610A8" w14:paraId="403457F3" w14:textId="77777777" w:rsidTr="00CB446F">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D0E5486" w14:textId="77777777" w:rsidR="00455583" w:rsidRPr="009610A8" w:rsidRDefault="00455583" w:rsidP="00963F15">
            <w:pPr>
              <w:spacing w:before="120"/>
              <w:contextualSpacing/>
            </w:pPr>
            <w:r w:rsidRPr="009610A8">
              <w:rPr>
                <w:rFonts w:ascii="Calibri" w:eastAsia="Calibri" w:hAnsi="Calibri" w:cs="Times New Roman"/>
                <w:b w:val="0"/>
              </w:rPr>
              <w:t xml:space="preserve">Enhanced 2018 international student survey - This project consists of eight sub-projects </w:t>
            </w:r>
          </w:p>
        </w:tc>
        <w:tc>
          <w:tcPr>
            <w:tcW w:w="8510" w:type="dxa"/>
          </w:tcPr>
          <w:p w14:paraId="39CD8494"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 xml:space="preserve">Data Stocktake and Data Gaps Analysis </w:t>
            </w:r>
          </w:p>
          <w:p w14:paraId="1C63EAD3"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The project will include a consultation across all education sectors to identify provider perspectives on the utility of existing international education data available and perceived ‘data gaps’ (including qualitative survey-based data). </w:t>
            </w:r>
          </w:p>
        </w:tc>
      </w:tr>
      <w:tr w:rsidR="00455583" w:rsidRPr="009610A8" w14:paraId="17912C76" w14:textId="77777777" w:rsidTr="00782F90">
        <w:tc>
          <w:tcPr>
            <w:cnfStyle w:val="001000000000" w:firstRow="0" w:lastRow="0" w:firstColumn="1" w:lastColumn="0" w:oddVBand="0" w:evenVBand="0" w:oddHBand="0" w:evenHBand="0" w:firstRowFirstColumn="0" w:firstRowLastColumn="0" w:lastRowFirstColumn="0" w:lastRowLastColumn="0"/>
            <w:tcW w:w="1838" w:type="dxa"/>
            <w:vMerge/>
          </w:tcPr>
          <w:p w14:paraId="331EE111" w14:textId="77777777" w:rsidR="00455583" w:rsidRPr="009610A8" w:rsidRDefault="00455583" w:rsidP="00FF088E">
            <w:pPr>
              <w:spacing w:before="120"/>
              <w:contextualSpacing/>
            </w:pPr>
          </w:p>
        </w:tc>
        <w:tc>
          <w:tcPr>
            <w:tcW w:w="8510" w:type="dxa"/>
          </w:tcPr>
          <w:p w14:paraId="42AD1035"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Onshore English Language Intensive Courses for Overseas Students</w:t>
            </w:r>
          </w:p>
          <w:p w14:paraId="0453A297" w14:textId="77777777" w:rsidR="00455583" w:rsidRPr="009610A8" w:rsidRDefault="00924916"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Focusing on ELICOS students, this project </w:t>
            </w:r>
            <w:r w:rsidR="00455583" w:rsidRPr="009610A8">
              <w:rPr>
                <w:rFonts w:ascii="Calibri" w:eastAsia="Calibri" w:hAnsi="Calibri" w:cs="Times New Roman"/>
              </w:rPr>
              <w:t>continue</w:t>
            </w:r>
            <w:r w:rsidRPr="009610A8">
              <w:rPr>
                <w:rFonts w:ascii="Calibri" w:eastAsia="Calibri" w:hAnsi="Calibri" w:cs="Times New Roman"/>
              </w:rPr>
              <w:t>s</w:t>
            </w:r>
            <w:r w:rsidR="00455583" w:rsidRPr="009610A8">
              <w:rPr>
                <w:rFonts w:ascii="Calibri" w:eastAsia="Calibri" w:hAnsi="Calibri" w:cs="Times New Roman"/>
              </w:rPr>
              <w:t xml:space="preserve"> a biennial process in which international students participate in a survey investigating their student experience on and off campus. </w:t>
            </w:r>
          </w:p>
        </w:tc>
      </w:tr>
      <w:tr w:rsidR="00455583" w:rsidRPr="009610A8" w14:paraId="0EEA4CF2"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76367C9" w14:textId="77777777" w:rsidR="00455583" w:rsidRPr="009610A8" w:rsidRDefault="00455583" w:rsidP="00FF088E">
            <w:pPr>
              <w:spacing w:before="120"/>
              <w:contextualSpacing/>
            </w:pPr>
          </w:p>
        </w:tc>
        <w:tc>
          <w:tcPr>
            <w:tcW w:w="8510" w:type="dxa"/>
          </w:tcPr>
          <w:p w14:paraId="7B915758"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Onshore schools sector research</w:t>
            </w:r>
          </w:p>
          <w:p w14:paraId="11D0B632" w14:textId="7C1D2127" w:rsidR="00455583" w:rsidRPr="009610A8" w:rsidRDefault="00455583" w:rsidP="00E616A6">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The survey examine</w:t>
            </w:r>
            <w:r w:rsidR="00924916" w:rsidRPr="009610A8">
              <w:rPr>
                <w:rFonts w:ascii="Calibri" w:eastAsia="Calibri" w:hAnsi="Calibri" w:cs="Times New Roman"/>
              </w:rPr>
              <w:t>s</w:t>
            </w:r>
            <w:r w:rsidRPr="009610A8">
              <w:rPr>
                <w:rFonts w:ascii="Calibri" w:eastAsia="Calibri" w:hAnsi="Calibri" w:cs="Times New Roman"/>
              </w:rPr>
              <w:t xml:space="preserve"> international secondary school students</w:t>
            </w:r>
            <w:r w:rsidR="00924916" w:rsidRPr="009610A8">
              <w:rPr>
                <w:rFonts w:ascii="Calibri" w:eastAsia="Calibri" w:hAnsi="Calibri" w:cs="Times New Roman"/>
              </w:rPr>
              <w:t>’</w:t>
            </w:r>
            <w:r w:rsidRPr="009610A8">
              <w:rPr>
                <w:rFonts w:ascii="Calibri" w:eastAsia="Calibri" w:hAnsi="Calibri" w:cs="Times New Roman"/>
              </w:rPr>
              <w:t xml:space="preserve"> experiences in Australia.</w:t>
            </w:r>
          </w:p>
        </w:tc>
      </w:tr>
      <w:tr w:rsidR="00455583" w:rsidRPr="009610A8" w14:paraId="4B8C064E" w14:textId="77777777" w:rsidTr="00782F90">
        <w:tc>
          <w:tcPr>
            <w:cnfStyle w:val="001000000000" w:firstRow="0" w:lastRow="0" w:firstColumn="1" w:lastColumn="0" w:oddVBand="0" w:evenVBand="0" w:oddHBand="0" w:evenHBand="0" w:firstRowFirstColumn="0" w:firstRowLastColumn="0" w:lastRowFirstColumn="0" w:lastRowLastColumn="0"/>
            <w:tcW w:w="1838" w:type="dxa"/>
            <w:vMerge/>
          </w:tcPr>
          <w:p w14:paraId="4D969CE8" w14:textId="77777777" w:rsidR="00455583" w:rsidRPr="009610A8" w:rsidRDefault="00455583" w:rsidP="00FF088E">
            <w:pPr>
              <w:spacing w:before="120"/>
              <w:contextualSpacing/>
            </w:pPr>
          </w:p>
        </w:tc>
        <w:tc>
          <w:tcPr>
            <w:tcW w:w="8510" w:type="dxa"/>
          </w:tcPr>
          <w:p w14:paraId="260E4494"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 xml:space="preserve">Onshore higher education and vocational education and training </w:t>
            </w:r>
          </w:p>
          <w:p w14:paraId="0C69A282" w14:textId="77777777" w:rsidR="00455583" w:rsidRPr="009610A8" w:rsidRDefault="00924916"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Focusing on higher education and VET, t</w:t>
            </w:r>
            <w:r w:rsidR="00455583" w:rsidRPr="009610A8">
              <w:rPr>
                <w:rFonts w:ascii="Calibri" w:eastAsia="Calibri" w:hAnsi="Calibri" w:cs="Times New Roman"/>
              </w:rPr>
              <w:t>he 2018 survey continue</w:t>
            </w:r>
            <w:r w:rsidRPr="009610A8">
              <w:rPr>
                <w:rFonts w:ascii="Calibri" w:eastAsia="Calibri" w:hAnsi="Calibri" w:cs="Times New Roman"/>
              </w:rPr>
              <w:t>s the</w:t>
            </w:r>
            <w:r w:rsidR="00455583" w:rsidRPr="009610A8">
              <w:rPr>
                <w:rFonts w:ascii="Calibri" w:eastAsia="Calibri" w:hAnsi="Calibri" w:cs="Times New Roman"/>
              </w:rPr>
              <w:t xml:space="preserve"> biennial</w:t>
            </w:r>
            <w:r w:rsidRPr="009610A8">
              <w:rPr>
                <w:rFonts w:ascii="Calibri" w:eastAsia="Calibri" w:hAnsi="Calibri" w:cs="Times New Roman"/>
              </w:rPr>
              <w:t xml:space="preserve"> survey</w:t>
            </w:r>
            <w:r w:rsidR="00455583" w:rsidRPr="009610A8">
              <w:rPr>
                <w:rFonts w:ascii="Calibri" w:eastAsia="Calibri" w:hAnsi="Calibri" w:cs="Times New Roman"/>
              </w:rPr>
              <w:t xml:space="preserve"> in which international students across Australia participate in a survey investigating their student experience on and off campus. </w:t>
            </w:r>
          </w:p>
        </w:tc>
      </w:tr>
      <w:tr w:rsidR="00455583" w:rsidRPr="009610A8" w14:paraId="218CE9D8"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55DAB733" w14:textId="77777777" w:rsidR="00455583" w:rsidRPr="009610A8" w:rsidRDefault="00455583" w:rsidP="00FF088E">
            <w:pPr>
              <w:spacing w:before="120"/>
              <w:contextualSpacing/>
            </w:pPr>
          </w:p>
        </w:tc>
        <w:tc>
          <w:tcPr>
            <w:tcW w:w="8510" w:type="dxa"/>
          </w:tcPr>
          <w:p w14:paraId="42B309B3"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Offshore higher education research</w:t>
            </w:r>
          </w:p>
          <w:p w14:paraId="698800A0"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survey investigate</w:t>
            </w:r>
            <w:r w:rsidR="00924916" w:rsidRPr="009610A8">
              <w:rPr>
                <w:rFonts w:ascii="Calibri" w:eastAsia="Calibri" w:hAnsi="Calibri" w:cs="Times New Roman"/>
              </w:rPr>
              <w:t>s</w:t>
            </w:r>
            <w:r w:rsidRPr="009610A8">
              <w:rPr>
                <w:rFonts w:ascii="Calibri" w:eastAsia="Calibri" w:hAnsi="Calibri" w:cs="Times New Roman"/>
              </w:rPr>
              <w:t xml:space="preserve"> the experience and satisfaction of students at offshore locations undertaking Australian higher education programs.</w:t>
            </w:r>
          </w:p>
        </w:tc>
      </w:tr>
      <w:tr w:rsidR="00455583" w:rsidRPr="009610A8" w14:paraId="5F6B6418" w14:textId="77777777" w:rsidTr="00782F90">
        <w:tc>
          <w:tcPr>
            <w:cnfStyle w:val="001000000000" w:firstRow="0" w:lastRow="0" w:firstColumn="1" w:lastColumn="0" w:oddVBand="0" w:evenVBand="0" w:oddHBand="0" w:evenHBand="0" w:firstRowFirstColumn="0" w:firstRowLastColumn="0" w:lastRowFirstColumn="0" w:lastRowLastColumn="0"/>
            <w:tcW w:w="1838" w:type="dxa"/>
            <w:vMerge/>
          </w:tcPr>
          <w:p w14:paraId="35F3D6A4" w14:textId="77777777" w:rsidR="00455583" w:rsidRPr="009610A8" w:rsidRDefault="00455583" w:rsidP="00FF088E">
            <w:pPr>
              <w:spacing w:before="120"/>
              <w:contextualSpacing/>
            </w:pPr>
          </w:p>
        </w:tc>
        <w:tc>
          <w:tcPr>
            <w:tcW w:w="8510" w:type="dxa"/>
          </w:tcPr>
          <w:p w14:paraId="667E1CE1"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Graduate employment outcomes research</w:t>
            </w:r>
          </w:p>
          <w:p w14:paraId="0F26D2A3"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lastRenderedPageBreak/>
              <w:t>This survey investigate</w:t>
            </w:r>
            <w:r w:rsidR="00924916" w:rsidRPr="009610A8">
              <w:rPr>
                <w:rFonts w:ascii="Calibri" w:eastAsia="Calibri" w:hAnsi="Calibri" w:cs="Times New Roman"/>
              </w:rPr>
              <w:t>s</w:t>
            </w:r>
            <w:r w:rsidRPr="009610A8">
              <w:rPr>
                <w:rFonts w:ascii="Calibri" w:eastAsia="Calibri" w:hAnsi="Calibri" w:cs="Times New Roman"/>
              </w:rPr>
              <w:t xml:space="preserve"> the outcomes of international graduates who completed qualifications in Australia. </w:t>
            </w:r>
          </w:p>
        </w:tc>
      </w:tr>
      <w:tr w:rsidR="00455583" w:rsidRPr="009610A8" w14:paraId="3E4997BB"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5EBE55B" w14:textId="77777777" w:rsidR="00455583" w:rsidRPr="009610A8" w:rsidRDefault="00455583" w:rsidP="00FF088E">
            <w:pPr>
              <w:spacing w:before="120"/>
              <w:contextualSpacing/>
            </w:pPr>
          </w:p>
        </w:tc>
        <w:tc>
          <w:tcPr>
            <w:tcW w:w="8510" w:type="dxa"/>
          </w:tcPr>
          <w:p w14:paraId="69584360" w14:textId="75DC3F08" w:rsidR="000B601E" w:rsidRPr="009610A8" w:rsidRDefault="000B601E" w:rsidP="000B60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International student costs of studying and living in regional versus metropolitan areas</w:t>
            </w:r>
          </w:p>
          <w:p w14:paraId="38480737" w14:textId="6013F2F9" w:rsidR="00455583" w:rsidRPr="009610A8" w:rsidRDefault="000B601E" w:rsidP="000B60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Focus group and survey research will investigate the comparative costs of studying and living for international students in regional and metropolitan areas. This may inform marketing strategies to encourage more international students to study in regional areas.</w:t>
            </w:r>
            <w:r w:rsidRPr="009610A8">
              <w:rPr>
                <w:lang w:eastAsia="en-AU"/>
              </w:rPr>
              <w:t xml:space="preserve">  </w:t>
            </w:r>
          </w:p>
        </w:tc>
      </w:tr>
      <w:tr w:rsidR="00455583" w:rsidRPr="009610A8" w14:paraId="39383788" w14:textId="77777777" w:rsidTr="00782F90">
        <w:tc>
          <w:tcPr>
            <w:cnfStyle w:val="001000000000" w:firstRow="0" w:lastRow="0" w:firstColumn="1" w:lastColumn="0" w:oddVBand="0" w:evenVBand="0" w:oddHBand="0" w:evenHBand="0" w:firstRowFirstColumn="0" w:firstRowLastColumn="0" w:lastRowFirstColumn="0" w:lastRowLastColumn="0"/>
            <w:tcW w:w="1838" w:type="dxa"/>
            <w:vMerge/>
          </w:tcPr>
          <w:p w14:paraId="284EB71A" w14:textId="77777777" w:rsidR="00455583" w:rsidRPr="009610A8" w:rsidRDefault="00455583" w:rsidP="00FF088E">
            <w:pPr>
              <w:spacing w:before="120"/>
              <w:contextualSpacing/>
            </w:pPr>
          </w:p>
        </w:tc>
        <w:tc>
          <w:tcPr>
            <w:tcW w:w="8510" w:type="dxa"/>
          </w:tcPr>
          <w:p w14:paraId="6ED335F0"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 xml:space="preserve">English Language Intensive Courses for Overseas Students (ELICOS) all-visa students data collection </w:t>
            </w:r>
          </w:p>
          <w:p w14:paraId="37C91BB1"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annual survey-based data collection involves capturing data about all international students in ELICOS colleges across Australia, including those on visitor/tourist visas, working holiday maker visas and other types. </w:t>
            </w:r>
          </w:p>
        </w:tc>
      </w:tr>
      <w:tr w:rsidR="00455583" w:rsidRPr="009610A8" w14:paraId="2F08806B"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B73B44" w14:textId="77777777" w:rsidR="00455583" w:rsidRPr="009610A8" w:rsidRDefault="00455583" w:rsidP="00FF088E">
            <w:pPr>
              <w:spacing w:before="120"/>
              <w:contextualSpacing/>
            </w:pPr>
            <w:r w:rsidRPr="009610A8">
              <w:rPr>
                <w:rFonts w:ascii="Calibri" w:eastAsia="Calibri" w:hAnsi="Calibri" w:cs="Times New Roman"/>
                <w:b w:val="0"/>
              </w:rPr>
              <w:t>Universities Australia</w:t>
            </w:r>
          </w:p>
        </w:tc>
        <w:tc>
          <w:tcPr>
            <w:tcW w:w="8510" w:type="dxa"/>
          </w:tcPr>
          <w:p w14:paraId="5C6977E4"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Enhancing international cooperation and regional engagement through the China-Australia Higher Education Cooperation Program</w:t>
            </w:r>
          </w:p>
          <w:p w14:paraId="55295E03"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The China-Australia Higher Education Cooperation program increase</w:t>
            </w:r>
            <w:r w:rsidR="00C52D33" w:rsidRPr="009610A8">
              <w:rPr>
                <w:rFonts w:ascii="Calibri" w:eastAsia="Calibri" w:hAnsi="Calibri" w:cs="Times New Roman"/>
              </w:rPr>
              <w:t>s</w:t>
            </w:r>
            <w:r w:rsidRPr="009610A8">
              <w:rPr>
                <w:rFonts w:ascii="Calibri" w:eastAsia="Calibri" w:hAnsi="Calibri" w:cs="Times New Roman"/>
              </w:rPr>
              <w:t xml:space="preserve"> the number of partnerships between Chinese and regional Australian universities, helping to promote regional Australia as a key study destination for Chinese students.  </w:t>
            </w:r>
          </w:p>
        </w:tc>
      </w:tr>
      <w:tr w:rsidR="00455583" w:rsidRPr="009610A8" w14:paraId="3A52335E"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74334EDA"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Australian Academy of Science</w:t>
            </w:r>
          </w:p>
        </w:tc>
        <w:tc>
          <w:tcPr>
            <w:tcW w:w="8510" w:type="dxa"/>
          </w:tcPr>
          <w:p w14:paraId="6F64F40F"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Enhancing research collaboration between Australia and the Americas through postgraduate research student internships</w:t>
            </w:r>
          </w:p>
          <w:p w14:paraId="0EF3CED3" w14:textId="77777777" w:rsidR="00455583" w:rsidRPr="009610A8" w:rsidRDefault="00C52D3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allows p</w:t>
            </w:r>
            <w:r w:rsidR="00455583" w:rsidRPr="009610A8">
              <w:rPr>
                <w:rFonts w:ascii="Calibri" w:eastAsia="Calibri" w:hAnsi="Calibri" w:cs="Times New Roman"/>
              </w:rPr>
              <w:t>ostgraduate research students from the U</w:t>
            </w:r>
            <w:r w:rsidRPr="009610A8">
              <w:rPr>
                <w:rFonts w:ascii="Calibri" w:eastAsia="Calibri" w:hAnsi="Calibri" w:cs="Times New Roman"/>
              </w:rPr>
              <w:t xml:space="preserve">nited States and Latin America to </w:t>
            </w:r>
            <w:r w:rsidR="00455583" w:rsidRPr="009610A8">
              <w:rPr>
                <w:rFonts w:ascii="Calibri" w:eastAsia="Calibri" w:hAnsi="Calibri" w:cs="Times New Roman"/>
              </w:rPr>
              <w:t xml:space="preserve">undertake a research internship program of up to 10 weeks in Australian higher education and research institutions. </w:t>
            </w:r>
            <w:r w:rsidRPr="009610A8">
              <w:rPr>
                <w:rFonts w:ascii="Calibri" w:eastAsia="Calibri" w:hAnsi="Calibri" w:cs="Times New Roman"/>
              </w:rPr>
              <w:t>T</w:t>
            </w:r>
            <w:r w:rsidR="00455583" w:rsidRPr="009610A8">
              <w:rPr>
                <w:rFonts w:ascii="Calibri" w:eastAsia="Calibri" w:hAnsi="Calibri" w:cs="Times New Roman"/>
              </w:rPr>
              <w:t>he project builds on the arrangements currently in place with US, Brazil and Mexico, and allows for extension to Argentina, Chile, Colombia and Peru.</w:t>
            </w:r>
          </w:p>
        </w:tc>
      </w:tr>
      <w:tr w:rsidR="00455583" w:rsidRPr="009610A8" w14:paraId="5A6D69EF"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897842"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English Australia</w:t>
            </w:r>
          </w:p>
        </w:tc>
        <w:tc>
          <w:tcPr>
            <w:tcW w:w="8510" w:type="dxa"/>
          </w:tcPr>
          <w:p w14:paraId="7AD77761"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Raising the profile in China of Australia’s excellence in the delivery of English language training</w:t>
            </w:r>
          </w:p>
          <w:p w14:paraId="370BCABC" w14:textId="2FE4778F" w:rsidR="00455583" w:rsidRPr="009610A8" w:rsidRDefault="00455583" w:rsidP="003F56FC">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The project investigate</w:t>
            </w:r>
            <w:r w:rsidR="00B23D43" w:rsidRPr="009610A8">
              <w:rPr>
                <w:rFonts w:ascii="Calibri" w:eastAsia="Calibri" w:hAnsi="Calibri" w:cs="Times New Roman"/>
              </w:rPr>
              <w:t>s</w:t>
            </w:r>
            <w:r w:rsidRPr="009610A8">
              <w:rPr>
                <w:rFonts w:ascii="Calibri" w:eastAsia="Calibri" w:hAnsi="Calibri" w:cs="Times New Roman"/>
              </w:rPr>
              <w:t xml:space="preserve"> the drivers and conditions to develop a standalone English Language Intensive Course for Overseas Students (ELICOS) market with China encompassing both onshore recruitment and offshore delivery. </w:t>
            </w:r>
          </w:p>
        </w:tc>
      </w:tr>
      <w:tr w:rsidR="00455583" w:rsidRPr="009610A8" w14:paraId="75809920"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3285D549"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Australia Indonesia Centre</w:t>
            </w:r>
          </w:p>
        </w:tc>
        <w:tc>
          <w:tcPr>
            <w:tcW w:w="8510" w:type="dxa"/>
          </w:tcPr>
          <w:p w14:paraId="535414BB"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Transforming Relations with Indonesia through Policy Collaboration</w:t>
            </w:r>
          </w:p>
          <w:p w14:paraId="5BAC2126" w14:textId="20A77F92" w:rsidR="00455583" w:rsidRPr="009610A8" w:rsidRDefault="00901ADD"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commissions research </w:t>
            </w:r>
            <w:r w:rsidR="00455583" w:rsidRPr="009610A8">
              <w:rPr>
                <w:rFonts w:ascii="Calibri" w:eastAsia="Calibri" w:hAnsi="Calibri" w:cs="Times New Roman"/>
              </w:rPr>
              <w:t xml:space="preserve">to help government </w:t>
            </w:r>
            <w:r w:rsidRPr="009610A8">
              <w:rPr>
                <w:rFonts w:ascii="Calibri" w:eastAsia="Calibri" w:hAnsi="Calibri" w:cs="Times New Roman"/>
              </w:rPr>
              <w:t>transform</w:t>
            </w:r>
            <w:r w:rsidR="00455583" w:rsidRPr="009610A8">
              <w:rPr>
                <w:rFonts w:ascii="Calibri" w:eastAsia="Calibri" w:hAnsi="Calibri" w:cs="Times New Roman"/>
              </w:rPr>
              <w:t xml:space="preserve"> relations with Indonesia through policy collaboration on education and training. The research </w:t>
            </w:r>
            <w:r w:rsidRPr="009610A8">
              <w:rPr>
                <w:rFonts w:ascii="Calibri" w:eastAsia="Calibri" w:hAnsi="Calibri" w:cs="Times New Roman"/>
              </w:rPr>
              <w:t>identifies</w:t>
            </w:r>
            <w:r w:rsidR="00455583" w:rsidRPr="009610A8">
              <w:rPr>
                <w:rFonts w:ascii="Calibri" w:eastAsia="Calibri" w:hAnsi="Calibri" w:cs="Times New Roman"/>
              </w:rPr>
              <w:t xml:space="preserve"> how Australia and Indonesia can reduce barriers to cooperation, and create new opportunities for Australian providers to help Indonesia meet its education and skills needs. It will also identify where Australia can share expertise in regulating and quality assuring education systems with Indonesia, as its education and training needs change.  </w:t>
            </w:r>
          </w:p>
        </w:tc>
      </w:tr>
      <w:tr w:rsidR="00455583" w:rsidRPr="009610A8" w14:paraId="33242984"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7F5729"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Australia India Institute</w:t>
            </w:r>
          </w:p>
        </w:tc>
        <w:tc>
          <w:tcPr>
            <w:tcW w:w="8510" w:type="dxa"/>
          </w:tcPr>
          <w:p w14:paraId="6D3FA785"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Strengthening Strategic Engagement with India</w:t>
            </w:r>
          </w:p>
          <w:p w14:paraId="3E0A7B2C" w14:textId="6ACB70CE" w:rsidR="00455583" w:rsidRPr="009610A8" w:rsidRDefault="00901ADD" w:rsidP="003F56FC">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commissions r</w:t>
            </w:r>
            <w:r w:rsidR="00455583" w:rsidRPr="009610A8">
              <w:rPr>
                <w:rFonts w:ascii="Calibri" w:eastAsia="Calibri" w:hAnsi="Calibri" w:cs="Times New Roman"/>
              </w:rPr>
              <w:t>esearch to identify new approaches to strengthen the education, training and research relationship between Australia and India. The research will help Australia’s education, training and research institutions to build stronger linkages with Indian counterparts and overcome access barriers. It will also consider how Australian qualifications can become better known in India, to improve the job prospects for Australian and Australian-qualified Indian students in India.</w:t>
            </w:r>
          </w:p>
        </w:tc>
      </w:tr>
      <w:tr w:rsidR="00455583" w:rsidRPr="009610A8" w14:paraId="36C996C4"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0D598153"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lastRenderedPageBreak/>
              <w:t>Austrade</w:t>
            </w:r>
          </w:p>
        </w:tc>
        <w:tc>
          <w:tcPr>
            <w:tcW w:w="8510" w:type="dxa"/>
          </w:tcPr>
          <w:p w14:paraId="3DC314DC"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Strategic messaging framework</w:t>
            </w:r>
          </w:p>
          <w:p w14:paraId="00040F3F"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deliver</w:t>
            </w:r>
            <w:r w:rsidR="00901ADD" w:rsidRPr="009610A8">
              <w:rPr>
                <w:rFonts w:ascii="Calibri" w:eastAsia="Calibri" w:hAnsi="Calibri" w:cs="Times New Roman"/>
              </w:rPr>
              <w:t>s</w:t>
            </w:r>
            <w:r w:rsidRPr="009610A8">
              <w:rPr>
                <w:rFonts w:ascii="Calibri" w:eastAsia="Calibri" w:hAnsi="Calibri" w:cs="Times New Roman"/>
              </w:rPr>
              <w:t xml:space="preserve"> a new messaging framework for use across Australia’s international education and training sector, and by all levels of government. The Framework improve</w:t>
            </w:r>
            <w:r w:rsidR="00901ADD" w:rsidRPr="009610A8">
              <w:rPr>
                <w:rFonts w:ascii="Calibri" w:eastAsia="Calibri" w:hAnsi="Calibri" w:cs="Times New Roman"/>
              </w:rPr>
              <w:t>s</w:t>
            </w:r>
            <w:r w:rsidRPr="009610A8">
              <w:rPr>
                <w:rFonts w:ascii="Calibri" w:eastAsia="Calibri" w:hAnsi="Calibri" w:cs="Times New Roman"/>
              </w:rPr>
              <w:t xml:space="preserve"> the quality and consistency of how Australia’s strengths are positioned internationally.</w:t>
            </w:r>
          </w:p>
        </w:tc>
      </w:tr>
      <w:tr w:rsidR="00455583" w:rsidRPr="009610A8" w14:paraId="44D0D743"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A99D7E"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Austrade</w:t>
            </w:r>
          </w:p>
        </w:tc>
        <w:tc>
          <w:tcPr>
            <w:tcW w:w="8510" w:type="dxa"/>
          </w:tcPr>
          <w:p w14:paraId="7C0BCCA0" w14:textId="77777777"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Digital experience gap analysis</w:t>
            </w:r>
          </w:p>
          <w:p w14:paraId="6BB61F04" w14:textId="412C0F4A" w:rsidR="00455583" w:rsidRPr="009610A8" w:rsidRDefault="00455583" w:rsidP="00963F15">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The project analyse</w:t>
            </w:r>
            <w:r w:rsidR="00901ADD" w:rsidRPr="009610A8">
              <w:rPr>
                <w:rFonts w:ascii="Calibri" w:eastAsia="Calibri" w:hAnsi="Calibri" w:cs="Times New Roman"/>
              </w:rPr>
              <w:t>s</w:t>
            </w:r>
            <w:r w:rsidRPr="009610A8">
              <w:rPr>
                <w:rFonts w:ascii="Calibri" w:eastAsia="Calibri" w:hAnsi="Calibri" w:cs="Times New Roman"/>
              </w:rPr>
              <w:t xml:space="preserve"> the range of digital channels </w:t>
            </w:r>
            <w:r w:rsidR="00901ADD" w:rsidRPr="009610A8">
              <w:rPr>
                <w:rFonts w:ascii="Calibri" w:eastAsia="Calibri" w:hAnsi="Calibri" w:cs="Times New Roman"/>
              </w:rPr>
              <w:t>used by</w:t>
            </w:r>
            <w:r w:rsidRPr="009610A8">
              <w:rPr>
                <w:rFonts w:ascii="Calibri" w:eastAsia="Calibri" w:hAnsi="Calibri" w:cs="Times New Roman"/>
              </w:rPr>
              <w:t xml:space="preserve"> international students and education providers, how they relate to each oth</w:t>
            </w:r>
            <w:r w:rsidR="00901ADD" w:rsidRPr="009610A8">
              <w:rPr>
                <w:rFonts w:ascii="Calibri" w:eastAsia="Calibri" w:hAnsi="Calibri" w:cs="Times New Roman"/>
              </w:rPr>
              <w:t>er and how stakeholders engage with them</w:t>
            </w:r>
            <w:r w:rsidRPr="009610A8">
              <w:rPr>
                <w:rFonts w:ascii="Calibri" w:eastAsia="Calibri" w:hAnsi="Calibri" w:cs="Times New Roman"/>
              </w:rPr>
              <w:t>.</w:t>
            </w:r>
          </w:p>
        </w:tc>
      </w:tr>
      <w:tr w:rsidR="00455583" w:rsidRPr="009610A8" w14:paraId="26AFC991" w14:textId="77777777" w:rsidTr="00782F90">
        <w:tc>
          <w:tcPr>
            <w:cnfStyle w:val="001000000000" w:firstRow="0" w:lastRow="0" w:firstColumn="1" w:lastColumn="0" w:oddVBand="0" w:evenVBand="0" w:oddHBand="0" w:evenHBand="0" w:firstRowFirstColumn="0" w:firstRowLastColumn="0" w:lastRowFirstColumn="0" w:lastRowLastColumn="0"/>
            <w:tcW w:w="1838" w:type="dxa"/>
          </w:tcPr>
          <w:p w14:paraId="1ADEF418"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Austrade</w:t>
            </w:r>
          </w:p>
        </w:tc>
        <w:tc>
          <w:tcPr>
            <w:tcW w:w="8510" w:type="dxa"/>
          </w:tcPr>
          <w:p w14:paraId="7646EC85"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 xml:space="preserve">Market action plans </w:t>
            </w:r>
          </w:p>
          <w:p w14:paraId="19ECA62D" w14:textId="77777777" w:rsidR="00455583" w:rsidRPr="009610A8" w:rsidRDefault="00455583" w:rsidP="00963F15">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w:t>
            </w:r>
            <w:r w:rsidR="009C2C73" w:rsidRPr="009610A8">
              <w:rPr>
                <w:rFonts w:ascii="Calibri" w:eastAsia="Calibri" w:hAnsi="Calibri" w:cs="Times New Roman"/>
              </w:rPr>
              <w:t>establishes</w:t>
            </w:r>
            <w:r w:rsidRPr="009610A8">
              <w:rPr>
                <w:rFonts w:ascii="Calibri" w:eastAsia="Calibri" w:hAnsi="Calibri" w:cs="Times New Roman"/>
              </w:rPr>
              <w:t xml:space="preserve"> a common framework to trial improved approaches to coordinating market development activities across Australian, state and territory governments, peak bodies and providers.</w:t>
            </w:r>
          </w:p>
        </w:tc>
      </w:tr>
      <w:tr w:rsidR="00455583" w:rsidRPr="009610A8" w14:paraId="758B2CED" w14:textId="77777777" w:rsidTr="0078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D48283" w14:textId="77777777" w:rsidR="00455583" w:rsidRPr="009610A8" w:rsidRDefault="00455583" w:rsidP="00FF088E">
            <w:pPr>
              <w:spacing w:before="120"/>
              <w:contextualSpacing/>
              <w:rPr>
                <w:rFonts w:ascii="Calibri" w:eastAsia="Calibri" w:hAnsi="Calibri" w:cs="Times New Roman"/>
                <w:b w:val="0"/>
              </w:rPr>
            </w:pPr>
            <w:r w:rsidRPr="009610A8">
              <w:rPr>
                <w:rFonts w:ascii="Calibri" w:eastAsia="Calibri" w:hAnsi="Calibri" w:cs="Times New Roman"/>
                <w:b w:val="0"/>
              </w:rPr>
              <w:t>International Education Association of Australia</w:t>
            </w:r>
          </w:p>
        </w:tc>
        <w:tc>
          <w:tcPr>
            <w:tcW w:w="8510" w:type="dxa"/>
          </w:tcPr>
          <w:p w14:paraId="339FB654" w14:textId="77777777" w:rsidR="00455583" w:rsidRPr="009610A8" w:rsidRDefault="0045558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Building and strengthening support for international education in Australia</w:t>
            </w:r>
          </w:p>
          <w:p w14:paraId="11228D16" w14:textId="77777777" w:rsidR="00455583" w:rsidRPr="009610A8" w:rsidRDefault="0045558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w:t>
            </w:r>
            <w:r w:rsidR="009C2C73" w:rsidRPr="009610A8">
              <w:rPr>
                <w:rFonts w:ascii="Calibri" w:eastAsia="Calibri" w:hAnsi="Calibri" w:cs="Times New Roman"/>
              </w:rPr>
              <w:t>targets</w:t>
            </w:r>
            <w:r w:rsidRPr="009610A8">
              <w:rPr>
                <w:rFonts w:ascii="Calibri" w:eastAsia="Calibri" w:hAnsi="Calibri" w:cs="Times New Roman"/>
              </w:rPr>
              <w:t xml:space="preserve"> engagement with industry and communities</w:t>
            </w:r>
            <w:r w:rsidR="002E0AB5" w:rsidRPr="009610A8">
              <w:rPr>
                <w:rFonts w:ascii="Calibri" w:eastAsia="Calibri" w:hAnsi="Calibri" w:cs="Times New Roman"/>
              </w:rPr>
              <w:t xml:space="preserve"> </w:t>
            </w:r>
            <w:r w:rsidR="009C2C73" w:rsidRPr="009610A8">
              <w:rPr>
                <w:rFonts w:ascii="Calibri" w:eastAsia="Calibri" w:hAnsi="Calibri" w:cs="Times New Roman"/>
              </w:rPr>
              <w:t>to develop</w:t>
            </w:r>
            <w:r w:rsidRPr="009610A8">
              <w:rPr>
                <w:rFonts w:ascii="Calibri" w:eastAsia="Calibri" w:hAnsi="Calibri" w:cs="Times New Roman"/>
              </w:rPr>
              <w:t xml:space="preserve"> a toolkit to assist in raising the profile of international education into the future.</w:t>
            </w:r>
          </w:p>
        </w:tc>
      </w:tr>
    </w:tbl>
    <w:p w14:paraId="7747792E" w14:textId="77777777" w:rsidR="00CF46A5" w:rsidRPr="009610A8" w:rsidRDefault="00CF46A5" w:rsidP="00E616A6">
      <w:pPr>
        <w:spacing w:before="120" w:after="0" w:line="240" w:lineRule="auto"/>
        <w:rPr>
          <w:rFonts w:asciiTheme="majorHAnsi" w:hAnsiTheme="majorHAnsi" w:cstheme="majorHAnsi"/>
          <w:color w:val="1F4E79" w:themeColor="accent1" w:themeShade="80"/>
          <w:sz w:val="28"/>
          <w:szCs w:val="32"/>
        </w:rPr>
      </w:pPr>
      <w:r w:rsidRPr="009610A8">
        <w:rPr>
          <w:rFonts w:asciiTheme="majorHAnsi" w:hAnsiTheme="majorHAnsi" w:cstheme="majorHAnsi"/>
          <w:color w:val="1F4E79" w:themeColor="accent1" w:themeShade="80"/>
          <w:sz w:val="28"/>
          <w:szCs w:val="32"/>
        </w:rPr>
        <w:t>2017-18 Projects</w:t>
      </w:r>
    </w:p>
    <w:tbl>
      <w:tblPr>
        <w:tblStyle w:val="GridTable4-Accent11"/>
        <w:tblW w:w="10348" w:type="dxa"/>
        <w:tblLook w:val="04A0" w:firstRow="1" w:lastRow="0" w:firstColumn="1" w:lastColumn="0" w:noHBand="0" w:noVBand="1"/>
      </w:tblPr>
      <w:tblGrid>
        <w:gridCol w:w="1838"/>
        <w:gridCol w:w="8510"/>
      </w:tblGrid>
      <w:tr w:rsidR="00CE43C7" w:rsidRPr="009610A8" w14:paraId="28F701B7" w14:textId="77777777" w:rsidTr="001F0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00C7EF" w14:textId="77777777" w:rsidR="00CE43C7" w:rsidRPr="009610A8" w:rsidRDefault="00CE43C7" w:rsidP="001F031E">
            <w:pPr>
              <w:spacing w:before="120" w:after="120"/>
              <w:rPr>
                <w:rFonts w:ascii="Calibri" w:eastAsia="Calibri" w:hAnsi="Calibri" w:cs="Times New Roman"/>
              </w:rPr>
            </w:pPr>
            <w:r w:rsidRPr="009610A8">
              <w:rPr>
                <w:rFonts w:ascii="Calibri" w:eastAsia="Calibri" w:hAnsi="Calibri" w:cs="Times New Roman"/>
              </w:rPr>
              <w:t>Organisation</w:t>
            </w:r>
          </w:p>
        </w:tc>
        <w:tc>
          <w:tcPr>
            <w:tcW w:w="8510" w:type="dxa"/>
          </w:tcPr>
          <w:p w14:paraId="1502D6CC" w14:textId="77777777" w:rsidR="00CE43C7" w:rsidRPr="009610A8" w:rsidRDefault="00CE43C7" w:rsidP="001F031E">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Project Title and Description</w:t>
            </w:r>
          </w:p>
        </w:tc>
      </w:tr>
      <w:tr w:rsidR="006B1F53" w:rsidRPr="009610A8" w14:paraId="1C7A8DF0"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7098666" w14:textId="77777777"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t>Council of International Students Australia</w:t>
            </w:r>
          </w:p>
        </w:tc>
        <w:tc>
          <w:tcPr>
            <w:tcW w:w="8510" w:type="dxa"/>
          </w:tcPr>
          <w:p w14:paraId="3375C462" w14:textId="77777777"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International Student Engagement and Leadership program</w:t>
            </w:r>
          </w:p>
          <w:p w14:paraId="47FBA876" w14:textId="77777777"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will improve the engagement of international students on university campuses nationally and help international students in supporting each other in addressing mental health issues, workplace exploitation and campus-based engagement. </w:t>
            </w:r>
          </w:p>
        </w:tc>
      </w:tr>
      <w:tr w:rsidR="006B1F53" w:rsidRPr="009610A8" w14:paraId="247E24D1" w14:textId="77777777" w:rsidTr="001F031E">
        <w:tc>
          <w:tcPr>
            <w:cnfStyle w:val="001000000000" w:firstRow="0" w:lastRow="0" w:firstColumn="1" w:lastColumn="0" w:oddVBand="0" w:evenVBand="0" w:oddHBand="0" w:evenHBand="0" w:firstRowFirstColumn="0" w:firstRowLastColumn="0" w:lastRowFirstColumn="0" w:lastRowLastColumn="0"/>
            <w:tcW w:w="1838" w:type="dxa"/>
            <w:hideMark/>
          </w:tcPr>
          <w:p w14:paraId="24A3E636" w14:textId="77777777"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t>English Australia</w:t>
            </w:r>
          </w:p>
        </w:tc>
        <w:tc>
          <w:tcPr>
            <w:tcW w:w="8510" w:type="dxa"/>
          </w:tcPr>
          <w:p w14:paraId="3EC37E08" w14:textId="77777777" w:rsidR="006B1F53" w:rsidRPr="009610A8" w:rsidRDefault="006B1F5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International Student Mental Health – training to support a better experience</w:t>
            </w:r>
          </w:p>
          <w:p w14:paraId="6CC6DFA1" w14:textId="77777777" w:rsidR="006B1F53" w:rsidRPr="009610A8" w:rsidRDefault="006B1F5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will provide training for teachers and staff to provide better support for international students. </w:t>
            </w:r>
          </w:p>
        </w:tc>
      </w:tr>
      <w:tr w:rsidR="006B1F53" w:rsidRPr="009610A8" w14:paraId="7C50E824"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6572D2F" w14:textId="77777777"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t>Universities Australia</w:t>
            </w:r>
          </w:p>
        </w:tc>
        <w:tc>
          <w:tcPr>
            <w:tcW w:w="8510" w:type="dxa"/>
          </w:tcPr>
          <w:p w14:paraId="296D33F3" w14:textId="2F90545A"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 xml:space="preserve">International University Students and Pre-departure </w:t>
            </w:r>
            <w:r w:rsidR="00441993" w:rsidRPr="009610A8">
              <w:rPr>
                <w:rFonts w:ascii="Calibri" w:eastAsia="Calibri" w:hAnsi="Calibri" w:cs="Times New Roman"/>
                <w:i/>
              </w:rPr>
              <w:t>I</w:t>
            </w:r>
            <w:r w:rsidRPr="009610A8">
              <w:rPr>
                <w:rFonts w:ascii="Calibri" w:eastAsia="Calibri" w:hAnsi="Calibri" w:cs="Times New Roman"/>
                <w:i/>
              </w:rPr>
              <w:t>nformation: What are they getting and what do they need?</w:t>
            </w:r>
          </w:p>
          <w:p w14:paraId="5D6EBCE1" w14:textId="77777777"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This project will document the perspectives of pre-departure information currently provided to in</w:t>
            </w:r>
            <w:r w:rsidR="00F76681" w:rsidRPr="009610A8">
              <w:rPr>
                <w:rFonts w:ascii="Calibri" w:eastAsia="Calibri" w:hAnsi="Calibri" w:cs="Times New Roman"/>
              </w:rPr>
              <w:t xml:space="preserve">ternational university students, and develop </w:t>
            </w:r>
            <w:r w:rsidRPr="009610A8">
              <w:rPr>
                <w:rFonts w:ascii="Calibri" w:eastAsia="Calibri" w:hAnsi="Calibri" w:cs="Times New Roman"/>
              </w:rPr>
              <w:t xml:space="preserve">a report showcasing examples of best practice. </w:t>
            </w:r>
          </w:p>
        </w:tc>
      </w:tr>
      <w:tr w:rsidR="006B1F53" w:rsidRPr="009610A8" w14:paraId="18DCC973" w14:textId="77777777" w:rsidTr="001F031E">
        <w:tc>
          <w:tcPr>
            <w:cnfStyle w:val="001000000000" w:firstRow="0" w:lastRow="0" w:firstColumn="1" w:lastColumn="0" w:oddVBand="0" w:evenVBand="0" w:oddHBand="0" w:evenHBand="0" w:firstRowFirstColumn="0" w:firstRowLastColumn="0" w:lastRowFirstColumn="0" w:lastRowLastColumn="0"/>
            <w:tcW w:w="1838" w:type="dxa"/>
            <w:hideMark/>
          </w:tcPr>
          <w:p w14:paraId="46E69634" w14:textId="2C2B8DE5"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t>ISANA</w:t>
            </w:r>
            <w:r w:rsidR="00441993" w:rsidRPr="009610A8">
              <w:rPr>
                <w:rFonts w:ascii="Calibri" w:eastAsia="Calibri" w:hAnsi="Calibri" w:cs="Times New Roman"/>
                <w:b w:val="0"/>
              </w:rPr>
              <w:t xml:space="preserve"> International Education Association</w:t>
            </w:r>
          </w:p>
        </w:tc>
        <w:tc>
          <w:tcPr>
            <w:tcW w:w="8510" w:type="dxa"/>
          </w:tcPr>
          <w:p w14:paraId="171D1CBD" w14:textId="77777777" w:rsidR="006B1F53" w:rsidRPr="009610A8" w:rsidRDefault="006B1F5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National Code of Practice for Providers of Education and Training to Overseas Students 2018 Online Tutorial</w:t>
            </w:r>
          </w:p>
          <w:p w14:paraId="52E43BF3" w14:textId="7714F8E7" w:rsidR="006B1F53" w:rsidRPr="009610A8" w:rsidRDefault="006B1F53" w:rsidP="00E616A6">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610A8">
              <w:rPr>
                <w:rFonts w:ascii="Calibri" w:eastAsia="Calibri" w:hAnsi="Calibri" w:cs="Times New Roman"/>
              </w:rPr>
              <w:t xml:space="preserve">This project will develop and deliver an instructional tool for international education professionals to understand and meet their obligations under the </w:t>
            </w:r>
            <w:r w:rsidRPr="009610A8">
              <w:rPr>
                <w:rFonts w:ascii="Calibri" w:eastAsia="Calibri" w:hAnsi="Calibri" w:cs="Times New Roman"/>
                <w:i/>
              </w:rPr>
              <w:t>National Code of Practice for Providers of Education and Training to Overseas Students 2018</w:t>
            </w:r>
            <w:r w:rsidRPr="009610A8">
              <w:rPr>
                <w:rFonts w:ascii="Calibri" w:eastAsia="Calibri" w:hAnsi="Calibri" w:cs="Times New Roman"/>
              </w:rPr>
              <w:t xml:space="preserve"> (the National Code). </w:t>
            </w:r>
          </w:p>
        </w:tc>
      </w:tr>
      <w:tr w:rsidR="006B1F53" w:rsidRPr="009610A8" w14:paraId="328E5027"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6928F107" w14:textId="77777777"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t xml:space="preserve">Victorian TAFE Association </w:t>
            </w:r>
          </w:p>
        </w:tc>
        <w:tc>
          <w:tcPr>
            <w:tcW w:w="8510" w:type="dxa"/>
          </w:tcPr>
          <w:p w14:paraId="62B398D8" w14:textId="77777777"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Growing Regional Pathways to Higher Education</w:t>
            </w:r>
          </w:p>
          <w:p w14:paraId="1EFB879D" w14:textId="77777777" w:rsidR="006B1F53" w:rsidRPr="009610A8" w:rsidRDefault="006B1F5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10A8">
              <w:rPr>
                <w:rFonts w:ascii="Calibri" w:eastAsia="Calibri" w:hAnsi="Calibri" w:cs="Times New Roman"/>
              </w:rPr>
              <w:t xml:space="preserve">This project will see metropolitan providers partner with regional providers to jointly deliver ELICOS and VET programs, leading to regional growth in international student university enrolments. </w:t>
            </w:r>
          </w:p>
        </w:tc>
      </w:tr>
      <w:tr w:rsidR="006B1F53" w:rsidRPr="009610A8" w14:paraId="0B8A3A0C" w14:textId="77777777" w:rsidTr="001F031E">
        <w:tc>
          <w:tcPr>
            <w:cnfStyle w:val="001000000000" w:firstRow="0" w:lastRow="0" w:firstColumn="1" w:lastColumn="0" w:oddVBand="0" w:evenVBand="0" w:oddHBand="0" w:evenHBand="0" w:firstRowFirstColumn="0" w:firstRowLastColumn="0" w:lastRowFirstColumn="0" w:lastRowLastColumn="0"/>
            <w:tcW w:w="1838" w:type="dxa"/>
            <w:hideMark/>
          </w:tcPr>
          <w:p w14:paraId="18A5B1E6" w14:textId="77777777" w:rsidR="006B1F53" w:rsidRPr="009610A8" w:rsidRDefault="006B1F53" w:rsidP="001F031E">
            <w:pPr>
              <w:spacing w:before="120"/>
              <w:contextualSpacing/>
              <w:rPr>
                <w:rFonts w:ascii="Calibri" w:eastAsia="Calibri" w:hAnsi="Calibri" w:cs="Times New Roman"/>
                <w:b w:val="0"/>
              </w:rPr>
            </w:pPr>
            <w:r w:rsidRPr="009610A8">
              <w:rPr>
                <w:rFonts w:ascii="Calibri" w:eastAsia="Calibri" w:hAnsi="Calibri" w:cs="Times New Roman"/>
                <w:b w:val="0"/>
              </w:rPr>
              <w:lastRenderedPageBreak/>
              <w:t>Australian Technology Network</w:t>
            </w:r>
          </w:p>
        </w:tc>
        <w:tc>
          <w:tcPr>
            <w:tcW w:w="8510" w:type="dxa"/>
          </w:tcPr>
          <w:p w14:paraId="27A69435" w14:textId="41E2A1CE" w:rsidR="006B1F53" w:rsidRPr="009610A8" w:rsidRDefault="006B1F5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WIL to Work: Enhancing International Student Capacity through Work</w:t>
            </w:r>
            <w:r w:rsidR="00DF3993" w:rsidRPr="009610A8">
              <w:rPr>
                <w:rFonts w:ascii="Calibri" w:eastAsia="Calibri" w:hAnsi="Calibri" w:cs="Times New Roman"/>
                <w:i/>
              </w:rPr>
              <w:t>-</w:t>
            </w:r>
            <w:r w:rsidR="00E616A6" w:rsidRPr="009610A8">
              <w:rPr>
                <w:rFonts w:ascii="Calibri" w:eastAsia="Calibri" w:hAnsi="Calibri" w:cs="Times New Roman"/>
                <w:i/>
              </w:rPr>
              <w:t>Integrated Learning</w:t>
            </w:r>
          </w:p>
          <w:p w14:paraId="3C906BF4" w14:textId="77777777" w:rsidR="006B1F53" w:rsidRPr="009610A8" w:rsidRDefault="006B1F5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9610A8">
              <w:rPr>
                <w:rFonts w:ascii="Calibri" w:eastAsia="Calibri" w:hAnsi="Calibri" w:cs="Calibri"/>
                <w:color w:val="000000"/>
              </w:rPr>
              <w:t xml:space="preserve">Resources and online modules for international students to support effective participation in </w:t>
            </w:r>
            <w:r w:rsidR="00F76681" w:rsidRPr="009610A8">
              <w:rPr>
                <w:rFonts w:ascii="Calibri" w:eastAsia="Calibri" w:hAnsi="Calibri" w:cs="Calibri"/>
                <w:color w:val="000000"/>
              </w:rPr>
              <w:t>work-integrated</w:t>
            </w:r>
            <w:r w:rsidRPr="009610A8">
              <w:rPr>
                <w:rFonts w:ascii="Calibri" w:eastAsia="Calibri" w:hAnsi="Calibri" w:cs="Calibri"/>
                <w:color w:val="000000"/>
              </w:rPr>
              <w:t xml:space="preserve"> learning (WIL) will be p</w:t>
            </w:r>
            <w:r w:rsidR="00F15363" w:rsidRPr="009610A8">
              <w:rPr>
                <w:rFonts w:ascii="Calibri" w:eastAsia="Calibri" w:hAnsi="Calibri" w:cs="Calibri"/>
                <w:color w:val="000000"/>
              </w:rPr>
              <w:t>iloted across five universities</w:t>
            </w:r>
            <w:r w:rsidRPr="009610A8">
              <w:rPr>
                <w:rFonts w:ascii="Calibri" w:eastAsia="Calibri" w:hAnsi="Calibri" w:cs="Calibri"/>
                <w:color w:val="000000"/>
              </w:rPr>
              <w:t>. Recommendations for broader dissemination across the higher education sector through an International Student Engagement Strategy for WIL will also be developed.</w:t>
            </w:r>
          </w:p>
        </w:tc>
      </w:tr>
      <w:tr w:rsidR="00F15363" w:rsidRPr="009610A8" w14:paraId="4F3D7B40"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0E19FFF"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Universities Australia</w:t>
            </w:r>
          </w:p>
        </w:tc>
        <w:tc>
          <w:tcPr>
            <w:tcW w:w="8510" w:type="dxa"/>
          </w:tcPr>
          <w:p w14:paraId="7AC3D7F8"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Australia-Germany Joint Research Cooperation Scheme</w:t>
            </w:r>
          </w:p>
          <w:p w14:paraId="4641393C"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This project will support continued research collaboration between Australia and Germany, as well as facilitate high quality research outcomes and the exchange of skills and knowledge of mutual benefit to Australia and Germany.</w:t>
            </w:r>
          </w:p>
        </w:tc>
      </w:tr>
      <w:tr w:rsidR="00F15363" w:rsidRPr="009610A8" w14:paraId="4146872A" w14:textId="77777777" w:rsidTr="001F031E">
        <w:tc>
          <w:tcPr>
            <w:cnfStyle w:val="001000000000" w:firstRow="0" w:lastRow="0" w:firstColumn="1" w:lastColumn="0" w:oddVBand="0" w:evenVBand="0" w:oddHBand="0" w:evenHBand="0" w:firstRowFirstColumn="0" w:firstRowLastColumn="0" w:lastRowFirstColumn="0" w:lastRowLastColumn="0"/>
            <w:tcW w:w="1838" w:type="dxa"/>
          </w:tcPr>
          <w:p w14:paraId="04AE38E5"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 xml:space="preserve">Deakin University </w:t>
            </w:r>
          </w:p>
        </w:tc>
        <w:tc>
          <w:tcPr>
            <w:tcW w:w="8510" w:type="dxa"/>
          </w:tcPr>
          <w:p w14:paraId="2AC95939"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Establishing an Industry-led Training System for the Logistics Sector in Indonesia</w:t>
            </w:r>
          </w:p>
          <w:p w14:paraId="0970A3BF"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This project actively engage</w:t>
            </w:r>
            <w:r w:rsidR="00CE43C7" w:rsidRPr="009610A8">
              <w:rPr>
                <w:rFonts w:ascii="Calibri" w:eastAsia="Calibri" w:hAnsi="Calibri" w:cs="Times New Roman"/>
              </w:rPr>
              <w:t>s</w:t>
            </w:r>
            <w:r w:rsidRPr="009610A8">
              <w:rPr>
                <w:rFonts w:ascii="Calibri" w:eastAsia="Calibri" w:hAnsi="Calibri" w:cs="Times New Roman"/>
              </w:rPr>
              <w:t xml:space="preserve"> with Indonesian and Australian government agencies, public and private sector education providers and industry stakeholders to establish an industry-led governance, quality assurance and validation system for the Indonesian logistics sector. </w:t>
            </w:r>
          </w:p>
        </w:tc>
      </w:tr>
      <w:tr w:rsidR="00F15363" w:rsidRPr="009610A8" w14:paraId="3FE47DD7"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BC399D"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International Education Association of Australia (IEAA)</w:t>
            </w:r>
          </w:p>
        </w:tc>
        <w:tc>
          <w:tcPr>
            <w:tcW w:w="8510" w:type="dxa"/>
          </w:tcPr>
          <w:p w14:paraId="54FB1054"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Building and Strengthening Support for International Education in Australia - Phase 2</w:t>
            </w:r>
          </w:p>
          <w:p w14:paraId="3EAE4D9E"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 xml:space="preserve">Building on IEAA’s 2016-17 Phase 1 </w:t>
            </w:r>
            <w:r w:rsidR="00732D99" w:rsidRPr="009610A8">
              <w:rPr>
                <w:rFonts w:ascii="Calibri" w:eastAsia="Calibri" w:hAnsi="Calibri" w:cs="Times New Roman"/>
              </w:rPr>
              <w:t>EGI</w:t>
            </w:r>
            <w:r w:rsidRPr="009610A8">
              <w:rPr>
                <w:rFonts w:ascii="Calibri" w:eastAsia="Calibri" w:hAnsi="Calibri" w:cs="Times New Roman"/>
              </w:rPr>
              <w:t xml:space="preserve"> project, Phase 2 will develop and implement a targeted, cohesive dissemination strategy for the existing online toolkit/resources, to effectively convey and reinforce the benefits of international education to broader industry and local communities.</w:t>
            </w:r>
          </w:p>
        </w:tc>
      </w:tr>
      <w:tr w:rsidR="00F15363" w:rsidRPr="009610A8" w14:paraId="437E9FB1" w14:textId="77777777" w:rsidTr="001F031E">
        <w:tc>
          <w:tcPr>
            <w:cnfStyle w:val="001000000000" w:firstRow="0" w:lastRow="0" w:firstColumn="1" w:lastColumn="0" w:oddVBand="0" w:evenVBand="0" w:oddHBand="0" w:evenHBand="0" w:firstRowFirstColumn="0" w:firstRowLastColumn="0" w:lastRowFirstColumn="0" w:lastRowLastColumn="0"/>
            <w:tcW w:w="1838" w:type="dxa"/>
          </w:tcPr>
          <w:p w14:paraId="3BBC79F9"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NSW Education Standards Agency</w:t>
            </w:r>
          </w:p>
        </w:tc>
        <w:tc>
          <w:tcPr>
            <w:tcW w:w="8510" w:type="dxa"/>
          </w:tcPr>
          <w:p w14:paraId="48A00944"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Investigating Markets for School Curriculum, Assessment and Regulation Exports</w:t>
            </w:r>
          </w:p>
          <w:p w14:paraId="3E905E4E" w14:textId="74EAAEF9"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 xml:space="preserve">This project will identify opportunities to deliver and sell Australian school curriculum, assessment and regulatory products </w:t>
            </w:r>
            <w:r w:rsidR="00441993" w:rsidRPr="009610A8">
              <w:rPr>
                <w:rFonts w:ascii="Calibri" w:eastAsia="Calibri" w:hAnsi="Calibri" w:cs="Times New Roman"/>
              </w:rPr>
              <w:t xml:space="preserve">in </w:t>
            </w:r>
            <w:r w:rsidRPr="009610A8">
              <w:rPr>
                <w:rFonts w:ascii="Calibri" w:eastAsia="Calibri" w:hAnsi="Calibri" w:cs="Times New Roman"/>
              </w:rPr>
              <w:t xml:space="preserve">offshore markets, through a scan of competitors, analysis of trends in the sector, and analysis of specific target markets and segments. </w:t>
            </w:r>
          </w:p>
        </w:tc>
      </w:tr>
      <w:tr w:rsidR="00F15363" w:rsidRPr="009610A8" w14:paraId="558E0920"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BC11C78"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 xml:space="preserve">Deloitte Access Economics </w:t>
            </w:r>
          </w:p>
        </w:tc>
        <w:tc>
          <w:tcPr>
            <w:tcW w:w="8510" w:type="dxa"/>
          </w:tcPr>
          <w:p w14:paraId="6A6E1942"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Market Diversification in International Education and Training</w:t>
            </w:r>
          </w:p>
          <w:p w14:paraId="1CCBE7F3" w14:textId="19B37018" w:rsidR="00F15363" w:rsidRPr="009610A8" w:rsidRDefault="00F15363" w:rsidP="003F56FC">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 xml:space="preserve">This research project will develop potential policy and strategic responses to the risks associated with insufficient diversification in international source </w:t>
            </w:r>
            <w:r w:rsidR="003F56FC" w:rsidRPr="009610A8">
              <w:rPr>
                <w:rFonts w:ascii="Calibri" w:eastAsia="Calibri" w:hAnsi="Calibri" w:cs="Times New Roman"/>
              </w:rPr>
              <w:t>countries</w:t>
            </w:r>
            <w:r w:rsidRPr="009610A8">
              <w:rPr>
                <w:rFonts w:ascii="Calibri" w:eastAsia="Calibri" w:hAnsi="Calibri" w:cs="Times New Roman"/>
              </w:rPr>
              <w:t xml:space="preserve">. An assessment of the impact </w:t>
            </w:r>
            <w:r w:rsidR="00441993" w:rsidRPr="009610A8">
              <w:rPr>
                <w:rFonts w:ascii="Calibri" w:eastAsia="Calibri" w:hAnsi="Calibri" w:cs="Times New Roman"/>
              </w:rPr>
              <w:t xml:space="preserve">and appropriateness </w:t>
            </w:r>
            <w:r w:rsidRPr="009610A8">
              <w:rPr>
                <w:rFonts w:ascii="Calibri" w:eastAsia="Calibri" w:hAnsi="Calibri" w:cs="Times New Roman"/>
              </w:rPr>
              <w:t>of these responses will be undertaken, to identify those that would be most useful</w:t>
            </w:r>
            <w:r w:rsidR="00441993" w:rsidRPr="009610A8">
              <w:rPr>
                <w:rFonts w:ascii="Calibri" w:eastAsia="Calibri" w:hAnsi="Calibri" w:cs="Times New Roman"/>
              </w:rPr>
              <w:t>, as well as</w:t>
            </w:r>
            <w:r w:rsidRPr="009610A8">
              <w:rPr>
                <w:rFonts w:ascii="Calibri" w:eastAsia="Calibri" w:hAnsi="Calibri" w:cs="Times New Roman"/>
              </w:rPr>
              <w:t xml:space="preserve"> areas for further research and analysis.</w:t>
            </w:r>
          </w:p>
        </w:tc>
      </w:tr>
      <w:tr w:rsidR="00F15363" w:rsidRPr="009610A8" w14:paraId="5093501C" w14:textId="77777777" w:rsidTr="001F031E">
        <w:tc>
          <w:tcPr>
            <w:cnfStyle w:val="001000000000" w:firstRow="0" w:lastRow="0" w:firstColumn="1" w:lastColumn="0" w:oddVBand="0" w:evenVBand="0" w:oddHBand="0" w:evenHBand="0" w:firstRowFirstColumn="0" w:firstRowLastColumn="0" w:lastRowFirstColumn="0" w:lastRowLastColumn="0"/>
            <w:tcW w:w="1838" w:type="dxa"/>
          </w:tcPr>
          <w:p w14:paraId="45010523"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IEAA</w:t>
            </w:r>
          </w:p>
        </w:tc>
        <w:tc>
          <w:tcPr>
            <w:tcW w:w="8510" w:type="dxa"/>
          </w:tcPr>
          <w:p w14:paraId="532EFADD"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Economic Benefits Interactive Online Tool</w:t>
            </w:r>
          </w:p>
          <w:p w14:paraId="4C5AC062"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This project will facilitate and communicate a better understanding of the benefits of international education through an interactive online and open source economic modelling tool, which provides disaggregated result for the national, states, territories and regions.</w:t>
            </w:r>
          </w:p>
        </w:tc>
      </w:tr>
      <w:tr w:rsidR="00F15363" w:rsidRPr="009610A8" w14:paraId="77AA9ACA" w14:textId="77777777" w:rsidTr="001F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751A37"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Tribal Group Pty Ltd</w:t>
            </w:r>
          </w:p>
        </w:tc>
        <w:tc>
          <w:tcPr>
            <w:tcW w:w="8510" w:type="dxa"/>
          </w:tcPr>
          <w:p w14:paraId="2D7B73DE"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Filling the Data Gap: International Engagement in the School Sector</w:t>
            </w:r>
          </w:p>
          <w:p w14:paraId="7418D4DA" w14:textId="77777777" w:rsidR="00F15363" w:rsidRPr="009610A8" w:rsidRDefault="00F15363" w:rsidP="001F031E">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This project will undertake a national exercise to design and implement a methodology and system to capture international engagement data in the Australian secondary school sector.</w:t>
            </w:r>
          </w:p>
        </w:tc>
      </w:tr>
      <w:tr w:rsidR="00F15363" w14:paraId="7E7E9A62" w14:textId="77777777" w:rsidTr="001F031E">
        <w:tc>
          <w:tcPr>
            <w:cnfStyle w:val="001000000000" w:firstRow="0" w:lastRow="0" w:firstColumn="1" w:lastColumn="0" w:oddVBand="0" w:evenVBand="0" w:oddHBand="0" w:evenHBand="0" w:firstRowFirstColumn="0" w:firstRowLastColumn="0" w:lastRowFirstColumn="0" w:lastRowLastColumn="0"/>
            <w:tcW w:w="1838" w:type="dxa"/>
          </w:tcPr>
          <w:p w14:paraId="6701314A" w14:textId="77777777" w:rsidR="00F15363" w:rsidRPr="009610A8" w:rsidRDefault="00F15363" w:rsidP="001F031E">
            <w:pPr>
              <w:spacing w:before="120"/>
              <w:contextualSpacing/>
              <w:rPr>
                <w:rFonts w:ascii="Calibri" w:eastAsia="Calibri" w:hAnsi="Calibri" w:cs="Times New Roman"/>
                <w:b w:val="0"/>
              </w:rPr>
            </w:pPr>
            <w:r w:rsidRPr="009610A8">
              <w:rPr>
                <w:rFonts w:ascii="Calibri" w:eastAsia="Calibri" w:hAnsi="Calibri" w:cs="Times New Roman"/>
                <w:b w:val="0"/>
              </w:rPr>
              <w:t>Navitas</w:t>
            </w:r>
          </w:p>
        </w:tc>
        <w:tc>
          <w:tcPr>
            <w:tcW w:w="8510" w:type="dxa"/>
          </w:tcPr>
          <w:p w14:paraId="33CCD21A" w14:textId="77777777" w:rsidR="00F15363" w:rsidRPr="009610A8"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i/>
              </w:rPr>
              <w:t>International Higher Education Student Flows Via Global Data Integration</w:t>
            </w:r>
          </w:p>
          <w:p w14:paraId="53A510B4" w14:textId="3B55FEA9" w:rsidR="00F15363" w:rsidRPr="001F031E" w:rsidRDefault="00F15363" w:rsidP="001F031E">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9610A8">
              <w:rPr>
                <w:rFonts w:ascii="Calibri" w:eastAsia="Calibri" w:hAnsi="Calibri" w:cs="Times New Roman"/>
              </w:rPr>
              <w:t>This project will integrate disparate sources of international higher education data to understand the macro trends in student mobility from source countries to major destination countries. It will include the development of a data integration tool; three d</w:t>
            </w:r>
            <w:r w:rsidR="00602164" w:rsidRPr="009610A8">
              <w:rPr>
                <w:rFonts w:ascii="Calibri" w:eastAsia="Calibri" w:hAnsi="Calibri" w:cs="Times New Roman"/>
              </w:rPr>
              <w:t>etailed</w:t>
            </w:r>
            <w:r w:rsidRPr="009610A8">
              <w:rPr>
                <w:rFonts w:ascii="Calibri" w:eastAsia="Calibri" w:hAnsi="Calibri" w:cs="Times New Roman"/>
              </w:rPr>
              <w:t xml:space="preserve"> case studies; and the sharing of insights via a report and workshops.</w:t>
            </w:r>
          </w:p>
        </w:tc>
      </w:tr>
    </w:tbl>
    <w:p w14:paraId="59F5AF5D" w14:textId="77777777" w:rsidR="000059AC" w:rsidRPr="00D478D6" w:rsidRDefault="000059AC" w:rsidP="00D478D6">
      <w:pPr>
        <w:spacing w:after="0" w:line="240" w:lineRule="auto"/>
        <w:rPr>
          <w:rFonts w:cstheme="minorHAnsi"/>
          <w:sz w:val="14"/>
          <w:szCs w:val="24"/>
        </w:rPr>
      </w:pPr>
      <w:bookmarkStart w:id="127" w:name="_Toc497829226"/>
      <w:bookmarkStart w:id="128" w:name="_Toc497830806"/>
      <w:bookmarkStart w:id="129" w:name="_Toc497832472"/>
      <w:bookmarkStart w:id="130" w:name="_Toc497835218"/>
      <w:bookmarkStart w:id="131" w:name="_Toc497921270"/>
      <w:bookmarkStart w:id="132" w:name="_Toc497829227"/>
      <w:bookmarkStart w:id="133" w:name="_Toc497830807"/>
      <w:bookmarkStart w:id="134" w:name="_Toc497832473"/>
      <w:bookmarkStart w:id="135" w:name="_Toc497835219"/>
      <w:bookmarkStart w:id="136" w:name="_Toc497921271"/>
      <w:bookmarkStart w:id="137" w:name="_Toc497829228"/>
      <w:bookmarkStart w:id="138" w:name="_Toc497830808"/>
      <w:bookmarkStart w:id="139" w:name="_Toc497832474"/>
      <w:bookmarkStart w:id="140" w:name="_Toc497835220"/>
      <w:bookmarkStart w:id="141" w:name="_Toc497921272"/>
      <w:bookmarkStart w:id="142" w:name="_Toc497829229"/>
      <w:bookmarkStart w:id="143" w:name="_Toc497830809"/>
      <w:bookmarkStart w:id="144" w:name="_Toc497832475"/>
      <w:bookmarkStart w:id="145" w:name="_Toc497835221"/>
      <w:bookmarkStart w:id="146" w:name="_Toc497921273"/>
      <w:bookmarkStart w:id="147" w:name="_Toc497744962"/>
      <w:bookmarkStart w:id="148" w:name="_Toc497745723"/>
      <w:bookmarkStart w:id="149" w:name="_Toc497829230"/>
      <w:bookmarkStart w:id="150" w:name="_Toc497830810"/>
      <w:bookmarkStart w:id="151" w:name="_Toc497832476"/>
      <w:bookmarkStart w:id="152" w:name="_Toc497835222"/>
      <w:bookmarkStart w:id="153" w:name="_Toc49792127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sectPr w:rsidR="000059AC" w:rsidRPr="00D478D6" w:rsidSect="00406F4A">
      <w:headerReference w:type="even" r:id="rId11"/>
      <w:headerReference w:type="default" r:id="rId12"/>
      <w:headerReference w:type="first" r:id="rId13"/>
      <w:pgSz w:w="12240" w:h="15840"/>
      <w:pgMar w:top="1134" w:right="1134" w:bottom="1134"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5A591" w16cid:durableId="1F9AB13E"/>
  <w16cid:commentId w16cid:paraId="224D8644" w16cid:durableId="1F9AB20B"/>
  <w16cid:commentId w16cid:paraId="0080F86D" w16cid:durableId="1F9AB4D6"/>
  <w16cid:commentId w16cid:paraId="6EC71934" w16cid:durableId="1F9ABAA6"/>
  <w16cid:commentId w16cid:paraId="671ED527" w16cid:durableId="1F9AB920"/>
  <w16cid:commentId w16cid:paraId="2689EEF4" w16cid:durableId="1F9BFF3C"/>
  <w16cid:commentId w16cid:paraId="4C5F2DC7" w16cid:durableId="1F9C08CC"/>
  <w16cid:commentId w16cid:paraId="44C95B84" w16cid:durableId="1F9C1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FF22" w14:textId="77777777" w:rsidR="00EB7EED" w:rsidRDefault="00EB7EED" w:rsidP="00991326">
      <w:pPr>
        <w:spacing w:after="0" w:line="240" w:lineRule="auto"/>
      </w:pPr>
      <w:r>
        <w:separator/>
      </w:r>
    </w:p>
  </w:endnote>
  <w:endnote w:type="continuationSeparator" w:id="0">
    <w:p w14:paraId="4C2A73EA" w14:textId="77777777" w:rsidR="00EB7EED" w:rsidRDefault="00EB7EED" w:rsidP="0099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0163" w14:textId="0C57A7B5" w:rsidR="00EB7EED" w:rsidRPr="00472692" w:rsidRDefault="00382AA2">
    <w:pPr>
      <w:pStyle w:val="Footer"/>
      <w:rPr>
        <w:color w:val="FFFFFF" w:themeColor="background1"/>
        <w:lang w:val="en-AU"/>
      </w:rPr>
    </w:pPr>
    <w:r>
      <w:rPr>
        <w:noProof/>
        <w:lang w:val="en-AU" w:eastAsia="en-AU"/>
      </w:rPr>
      <w:drawing>
        <wp:anchor distT="0" distB="0" distL="114300" distR="114300" simplePos="0" relativeHeight="251658240" behindDoc="1" locked="0" layoutInCell="1" allowOverlap="0" wp14:anchorId="19C982E1" wp14:editId="24B67922">
          <wp:simplePos x="0" y="0"/>
          <wp:positionH relativeFrom="column">
            <wp:posOffset>-794518</wp:posOffset>
          </wp:positionH>
          <wp:positionV relativeFrom="page">
            <wp:posOffset>9569302</wp:posOffset>
          </wp:positionV>
          <wp:extent cx="8129389" cy="451633"/>
          <wp:effectExtent l="0" t="0" r="5080" b="571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k in Progress\!Current Jobs\ED17-0217 - INT - International Education Branding Word Template\links\ED17-0217 - INT - International Education Branding Word Template_Foot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7404" cy="45485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9E01" w14:textId="77777777" w:rsidR="00EB7EED" w:rsidRDefault="00EB7EED" w:rsidP="00991326">
      <w:pPr>
        <w:spacing w:after="0" w:line="240" w:lineRule="auto"/>
      </w:pPr>
      <w:r>
        <w:separator/>
      </w:r>
    </w:p>
  </w:footnote>
  <w:footnote w:type="continuationSeparator" w:id="0">
    <w:p w14:paraId="559A2911" w14:textId="77777777" w:rsidR="00EB7EED" w:rsidRDefault="00EB7EED" w:rsidP="00991326">
      <w:pPr>
        <w:spacing w:after="0" w:line="240" w:lineRule="auto"/>
      </w:pPr>
      <w:r>
        <w:continuationSeparator/>
      </w:r>
    </w:p>
  </w:footnote>
  <w:footnote w:id="1">
    <w:p w14:paraId="5C4EBB13" w14:textId="77777777" w:rsidR="00EB7EED" w:rsidRPr="00DC2073" w:rsidRDefault="00EB7EED" w:rsidP="00A854F7">
      <w:pPr>
        <w:pStyle w:val="FootnoteText"/>
        <w:rPr>
          <w:lang w:val="en-AU"/>
        </w:rPr>
      </w:pPr>
      <w:r>
        <w:rPr>
          <w:rStyle w:val="FootnoteReference"/>
        </w:rPr>
        <w:footnoteRef/>
      </w:r>
      <w:r>
        <w:t xml:space="preserve"> </w:t>
      </w:r>
      <w:r w:rsidRPr="00A43F4C">
        <w:t xml:space="preserve">Australian Bureau of Statistics (2018). </w:t>
      </w:r>
      <w:r w:rsidRPr="00A43F4C">
        <w:rPr>
          <w:i/>
        </w:rPr>
        <w:t>International Trade in Services, by Country, by State and by Detailed Services Category, Calendar Year, 2017</w:t>
      </w:r>
      <w:r>
        <w:rPr>
          <w:sz w:val="16"/>
          <w:szCs w:val="16"/>
        </w:rPr>
        <w:t xml:space="preserve"> </w:t>
      </w:r>
    </w:p>
  </w:footnote>
  <w:footnote w:id="2">
    <w:p w14:paraId="536BAC3B" w14:textId="6059E99F" w:rsidR="00EB7EED" w:rsidRPr="00DC2073" w:rsidRDefault="00EB7EED" w:rsidP="009843C2">
      <w:pPr>
        <w:pStyle w:val="FootnoteText"/>
        <w:rPr>
          <w:lang w:val="en-AU"/>
        </w:rPr>
      </w:pPr>
      <w:r>
        <w:rPr>
          <w:rStyle w:val="FootnoteReference"/>
        </w:rPr>
        <w:footnoteRef/>
      </w:r>
      <w:r>
        <w:t xml:space="preserve"> </w:t>
      </w:r>
      <w:r w:rsidRPr="00FB308C">
        <w:t>https://ministers.education.gov.au/tehan/australian-international-education-conference-2018</w:t>
      </w:r>
    </w:p>
  </w:footnote>
  <w:footnote w:id="3">
    <w:p w14:paraId="64BB3596" w14:textId="4964D1FB" w:rsidR="00EB7EED" w:rsidRPr="006327A8" w:rsidRDefault="00EB7EED" w:rsidP="009843C2">
      <w:pPr>
        <w:pStyle w:val="FootnoteText"/>
        <w:rPr>
          <w:i/>
          <w:lang w:val="en-AU"/>
        </w:rPr>
      </w:pPr>
      <w:r>
        <w:rPr>
          <w:rStyle w:val="FootnoteReference"/>
        </w:rPr>
        <w:footnoteRef/>
      </w:r>
      <w:r>
        <w:t xml:space="preserve"> Department of Education and Training (2018), </w:t>
      </w:r>
      <w:r w:rsidRPr="006327A8">
        <w:rPr>
          <w:i/>
        </w:rPr>
        <w:t xml:space="preserve">International </w:t>
      </w:r>
      <w:r>
        <w:rPr>
          <w:i/>
        </w:rPr>
        <w:t>student data, September pivot tables</w:t>
      </w:r>
    </w:p>
  </w:footnote>
  <w:footnote w:id="4">
    <w:p w14:paraId="368F436F" w14:textId="7E5F902B" w:rsidR="00EB7EED" w:rsidRPr="00E11C1B" w:rsidRDefault="00EB7EED">
      <w:pPr>
        <w:pStyle w:val="FootnoteText"/>
        <w:rPr>
          <w:lang w:val="en-AU"/>
        </w:rPr>
      </w:pPr>
      <w:r>
        <w:rPr>
          <w:rStyle w:val="FootnoteReference"/>
        </w:rPr>
        <w:footnoteRef/>
      </w:r>
      <w:r>
        <w:t xml:space="preserve"> </w:t>
      </w:r>
      <w:r>
        <w:rPr>
          <w:lang w:val="en-AU"/>
        </w:rPr>
        <w:t xml:space="preserve">Department of Home Affairs (2018) </w:t>
      </w:r>
      <w:r>
        <w:rPr>
          <w:i/>
          <w:lang w:val="en-AU"/>
        </w:rPr>
        <w:t>Student visas granted</w:t>
      </w:r>
      <w:r>
        <w:rPr>
          <w:i/>
        </w:rPr>
        <w:t>, September pivot tables</w:t>
      </w:r>
    </w:p>
  </w:footnote>
  <w:footnote w:id="5">
    <w:p w14:paraId="7D03B9BE" w14:textId="7863B54F" w:rsidR="00EB7EED" w:rsidRPr="00D909F6" w:rsidRDefault="00EB7EED">
      <w:pPr>
        <w:pStyle w:val="FootnoteText"/>
        <w:rPr>
          <w:lang w:val="en-AU"/>
        </w:rPr>
      </w:pPr>
      <w:r>
        <w:rPr>
          <w:rStyle w:val="FootnoteReference"/>
        </w:rPr>
        <w:footnoteRef/>
      </w:r>
      <w:r>
        <w:t xml:space="preserve"> </w:t>
      </w:r>
      <w:r>
        <w:rPr>
          <w:lang w:val="en-AU"/>
        </w:rPr>
        <w:t xml:space="preserve">Analysis undertaken by the Department of Education and Training based on international student data and Australian Bureau of Statistics </w:t>
      </w:r>
      <w:r>
        <w:rPr>
          <w:i/>
          <w:lang w:val="en-AU"/>
        </w:rPr>
        <w:t>International Trade in Services</w:t>
      </w:r>
      <w:r>
        <w:rPr>
          <w:lang w:val="en-AU"/>
        </w:rPr>
        <w:t xml:space="preserve"> data. </w:t>
      </w:r>
    </w:p>
  </w:footnote>
  <w:footnote w:id="6">
    <w:p w14:paraId="12F9B0B4" w14:textId="6C2E25C5" w:rsidR="00EB7EED" w:rsidRPr="00DC2073" w:rsidRDefault="00EB7EED">
      <w:pPr>
        <w:pStyle w:val="FootnoteText"/>
        <w:rPr>
          <w:lang w:val="en-AU"/>
        </w:rPr>
      </w:pPr>
      <w:r>
        <w:rPr>
          <w:rStyle w:val="FootnoteReference"/>
        </w:rPr>
        <w:footnoteRef/>
      </w:r>
      <w:r>
        <w:t xml:space="preserve"> Department of Education and Training (2018). </w:t>
      </w:r>
      <w:r w:rsidRPr="006327A8">
        <w:rPr>
          <w:i/>
        </w:rPr>
        <w:t xml:space="preserve">International </w:t>
      </w:r>
      <w:r>
        <w:rPr>
          <w:i/>
        </w:rPr>
        <w:t>student data, September pivot tables</w:t>
      </w:r>
    </w:p>
  </w:footnote>
  <w:footnote w:id="7">
    <w:p w14:paraId="3FB0E851" w14:textId="113AB90A" w:rsidR="00EB7EED" w:rsidRPr="009843C2" w:rsidRDefault="00EB7EED">
      <w:pPr>
        <w:pStyle w:val="FootnoteText"/>
        <w:rPr>
          <w:lang w:val="en-AU"/>
        </w:rPr>
      </w:pPr>
      <w:r>
        <w:rPr>
          <w:rStyle w:val="FootnoteReference"/>
        </w:rPr>
        <w:footnoteRef/>
      </w:r>
      <w:r>
        <w:t xml:space="preserve"> </w:t>
      </w:r>
      <w:r>
        <w:rPr>
          <w:lang w:val="en-AU"/>
        </w:rPr>
        <w:t xml:space="preserve">Department of Home Affairs (2018) </w:t>
      </w:r>
      <w:r>
        <w:rPr>
          <w:i/>
          <w:lang w:val="en-AU"/>
        </w:rPr>
        <w:t>Student visas granted</w:t>
      </w:r>
      <w:r>
        <w:rPr>
          <w:i/>
        </w:rPr>
        <w:t>, September pivot tables</w:t>
      </w:r>
    </w:p>
  </w:footnote>
  <w:footnote w:id="8">
    <w:p w14:paraId="67D8D0CD" w14:textId="77777777" w:rsidR="00EB7EED" w:rsidRPr="00DC2073" w:rsidRDefault="00EB7EED">
      <w:pPr>
        <w:pStyle w:val="FootnoteText"/>
        <w:rPr>
          <w:lang w:val="en-AU"/>
        </w:rPr>
      </w:pPr>
      <w:r>
        <w:rPr>
          <w:rStyle w:val="FootnoteReference"/>
        </w:rPr>
        <w:footnoteRef/>
      </w:r>
      <w:r>
        <w:t xml:space="preserve"> Analysis undertaken by the Department of Education and Training. </w:t>
      </w:r>
    </w:p>
  </w:footnote>
  <w:footnote w:id="9">
    <w:p w14:paraId="03CF496E" w14:textId="50DA1609" w:rsidR="00EB7EED" w:rsidRPr="00531555" w:rsidRDefault="00EB7EED">
      <w:pPr>
        <w:pStyle w:val="FootnoteText"/>
        <w:rPr>
          <w:i/>
          <w:lang w:val="en-AU"/>
        </w:rPr>
      </w:pPr>
      <w:r>
        <w:rPr>
          <w:rStyle w:val="FootnoteReference"/>
        </w:rPr>
        <w:footnoteRef/>
      </w:r>
      <w:r>
        <w:t xml:space="preserve"> Department of Education and Training (2018). </w:t>
      </w:r>
      <w:r w:rsidRPr="006327A8">
        <w:rPr>
          <w:i/>
        </w:rPr>
        <w:t xml:space="preserve">International </w:t>
      </w:r>
      <w:r>
        <w:rPr>
          <w:i/>
        </w:rPr>
        <w:t>student data, September pivot tables</w:t>
      </w:r>
    </w:p>
  </w:footnote>
  <w:footnote w:id="10">
    <w:p w14:paraId="450F789D" w14:textId="46C66BD1" w:rsidR="00EB7EED" w:rsidRPr="009843C2" w:rsidRDefault="00EB7EED">
      <w:pPr>
        <w:pStyle w:val="FootnoteText"/>
        <w:rPr>
          <w:lang w:val="en-AU"/>
        </w:rPr>
      </w:pPr>
      <w:r w:rsidRPr="009843C2">
        <w:rPr>
          <w:rStyle w:val="FootnoteReference"/>
        </w:rPr>
        <w:footnoteRef/>
      </w:r>
      <w:r w:rsidRPr="009843C2">
        <w:t xml:space="preserve">  Department of Education and Training (2018), </w:t>
      </w:r>
      <w:r w:rsidRPr="009843C2">
        <w:rPr>
          <w:i/>
        </w:rPr>
        <w:t>Pathways for international students on a student visa</w:t>
      </w:r>
    </w:p>
  </w:footnote>
  <w:footnote w:id="11">
    <w:p w14:paraId="7D92F101" w14:textId="6EF226D7" w:rsidR="00EB7EED" w:rsidRPr="00DC2073" w:rsidRDefault="00EB7EED">
      <w:pPr>
        <w:pStyle w:val="FootnoteText"/>
        <w:rPr>
          <w:lang w:val="en-AU"/>
        </w:rPr>
      </w:pPr>
      <w:r w:rsidRPr="009843C2">
        <w:rPr>
          <w:rStyle w:val="FootnoteReference"/>
        </w:rPr>
        <w:footnoteRef/>
      </w:r>
      <w:r w:rsidRPr="009843C2">
        <w:t xml:space="preserve"> Department</w:t>
      </w:r>
      <w:r>
        <w:t xml:space="preserve"> of Education and Training (2018). </w:t>
      </w:r>
      <w:r w:rsidRPr="006327A8">
        <w:rPr>
          <w:i/>
        </w:rPr>
        <w:t xml:space="preserve">International </w:t>
      </w:r>
      <w:r>
        <w:rPr>
          <w:i/>
        </w:rPr>
        <w:t>student data, September pivot tables</w:t>
      </w:r>
    </w:p>
  </w:footnote>
  <w:footnote w:id="12">
    <w:p w14:paraId="0A22FEDF" w14:textId="34E3C4C9" w:rsidR="00EB7EED" w:rsidRPr="002D2E1A" w:rsidRDefault="00EB7EED">
      <w:pPr>
        <w:pStyle w:val="FootnoteText"/>
        <w:rPr>
          <w:i/>
          <w:lang w:val="en-AU"/>
        </w:rPr>
      </w:pPr>
      <w:r>
        <w:rPr>
          <w:rStyle w:val="FootnoteReference"/>
        </w:rPr>
        <w:footnoteRef/>
      </w:r>
      <w:r>
        <w:t xml:space="preserve"> </w:t>
      </w:r>
      <w:r>
        <w:rPr>
          <w:lang w:val="en-AU"/>
        </w:rPr>
        <w:t xml:space="preserve">New Zealand Ministry of Education (2018). </w:t>
      </w:r>
      <w:r>
        <w:rPr>
          <w:i/>
          <w:lang w:val="en-AU"/>
        </w:rPr>
        <w:t>International students in New Zealand, 2017 Export Education Levy Full Year Statistics</w:t>
      </w:r>
    </w:p>
  </w:footnote>
  <w:footnote w:id="13">
    <w:p w14:paraId="2847B6AE" w14:textId="7AB483CE" w:rsidR="00EB7EED" w:rsidRPr="00CD2CD7" w:rsidRDefault="00EB7EED">
      <w:pPr>
        <w:pStyle w:val="FootnoteText"/>
        <w:rPr>
          <w:lang w:val="en-AU"/>
        </w:rPr>
      </w:pPr>
      <w:r>
        <w:rPr>
          <w:rStyle w:val="FootnoteReference"/>
        </w:rPr>
        <w:footnoteRef/>
      </w:r>
      <w:r>
        <w:t xml:space="preserve"> </w:t>
      </w:r>
      <w:r w:rsidRPr="00CD2CD7">
        <w:t>https://www.vcaa.vic.edu.au/international/Pages/providers.aspx</w:t>
      </w:r>
      <w:r>
        <w:t xml:space="preserve"> </w:t>
      </w:r>
    </w:p>
  </w:footnote>
  <w:footnote w:id="14">
    <w:p w14:paraId="07AED7D7" w14:textId="5A67C09E" w:rsidR="00EB7EED" w:rsidRPr="00CD2CD7" w:rsidRDefault="00EB7EED">
      <w:pPr>
        <w:pStyle w:val="FootnoteText"/>
        <w:rPr>
          <w:i/>
          <w:lang w:val="en-AU"/>
        </w:rPr>
      </w:pPr>
      <w:r>
        <w:rPr>
          <w:rStyle w:val="FootnoteReference"/>
        </w:rPr>
        <w:footnoteRef/>
      </w:r>
      <w:r>
        <w:t xml:space="preserve"> Department of Education and Training (2018), </w:t>
      </w:r>
      <w:r>
        <w:rPr>
          <w:i/>
        </w:rPr>
        <w:t xml:space="preserve">International Student Data </w:t>
      </w:r>
    </w:p>
  </w:footnote>
  <w:footnote w:id="15">
    <w:p w14:paraId="0934A8A1" w14:textId="3F02DFC7" w:rsidR="00EB7EED" w:rsidRPr="00420FED" w:rsidRDefault="00EB7EED">
      <w:pPr>
        <w:pStyle w:val="FootnoteText"/>
        <w:rPr>
          <w:i/>
          <w:lang w:val="en-AU"/>
        </w:rPr>
      </w:pPr>
      <w:r>
        <w:rPr>
          <w:rStyle w:val="FootnoteReference"/>
        </w:rPr>
        <w:footnoteRef/>
      </w:r>
      <w:r>
        <w:t xml:space="preserve"> Department of Education and Training (2018), </w:t>
      </w:r>
      <w:r>
        <w:rPr>
          <w:i/>
        </w:rPr>
        <w:t xml:space="preserve">2018 International Student Survey </w:t>
      </w:r>
    </w:p>
  </w:footnote>
  <w:footnote w:id="16">
    <w:p w14:paraId="09C1B1B9" w14:textId="77777777" w:rsidR="00EB7EED" w:rsidRPr="005800CE" w:rsidRDefault="00EB7EED">
      <w:pPr>
        <w:pStyle w:val="FootnoteText"/>
        <w:rPr>
          <w:i/>
          <w:lang w:val="en-AU"/>
        </w:rPr>
      </w:pPr>
      <w:r>
        <w:rPr>
          <w:rStyle w:val="FootnoteReference"/>
        </w:rPr>
        <w:footnoteRef/>
      </w:r>
      <w:r>
        <w:t xml:space="preserve"> Mr Peter N Varghese AO (2018). </w:t>
      </w:r>
      <w:r>
        <w:rPr>
          <w:i/>
        </w:rPr>
        <w:t>An India Economic Strategy to 2035</w:t>
      </w:r>
    </w:p>
  </w:footnote>
  <w:footnote w:id="17">
    <w:p w14:paraId="66CBBB67" w14:textId="77777777" w:rsidR="00EB7EED" w:rsidRPr="00DC2073" w:rsidRDefault="00EB7EED">
      <w:pPr>
        <w:pStyle w:val="FootnoteText"/>
        <w:rPr>
          <w:lang w:val="en-AU"/>
        </w:rPr>
      </w:pPr>
      <w:r>
        <w:rPr>
          <w:rStyle w:val="FootnoteReference"/>
        </w:rPr>
        <w:footnoteRef/>
      </w:r>
      <w:r>
        <w:t xml:space="preserve"> Mr Peter N Varghese AO (2018). </w:t>
      </w:r>
      <w:r>
        <w:rPr>
          <w:i/>
        </w:rPr>
        <w:t>An India Economic Strategy to 2035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8273" w14:textId="0DBC973F" w:rsidR="00EB7EED" w:rsidRDefault="00382AA2" w:rsidP="00382AA2">
    <w:pPr>
      <w:pStyle w:val="Header"/>
    </w:pPr>
    <w:r>
      <w:rPr>
        <w:noProof/>
        <w:lang w:val="en-AU" w:eastAsia="en-AU"/>
      </w:rPr>
      <w:drawing>
        <wp:anchor distT="0" distB="0" distL="114300" distR="114300" simplePos="0" relativeHeight="251657216" behindDoc="0" locked="0" layoutInCell="1" allowOverlap="1" wp14:anchorId="5269B4D4" wp14:editId="4EC5A445">
          <wp:simplePos x="0" y="0"/>
          <wp:positionH relativeFrom="page">
            <wp:align>left</wp:align>
          </wp:positionH>
          <wp:positionV relativeFrom="paragraph">
            <wp:posOffset>-460848</wp:posOffset>
          </wp:positionV>
          <wp:extent cx="7788532" cy="1594884"/>
          <wp:effectExtent l="0" t="0" r="0" b="5715"/>
          <wp:wrapNone/>
          <wp:docPr id="2" name="Picture 2" descr="Australian Government."/>
          <wp:cNvGraphicFramePr/>
          <a:graphic xmlns:a="http://schemas.openxmlformats.org/drawingml/2006/main">
            <a:graphicData uri="http://schemas.openxmlformats.org/drawingml/2006/picture">
              <pic:pic xmlns:pic="http://schemas.openxmlformats.org/drawingml/2006/picture">
                <pic:nvPicPr>
                  <pic:cNvPr id="2" name="Picture 2" descr="Australian Governme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3433" cy="16020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2B64D413" wp14:editId="3DD8355E">
          <wp:simplePos x="0" y="0"/>
          <wp:positionH relativeFrom="page">
            <wp:align>right</wp:align>
          </wp:positionH>
          <wp:positionV relativeFrom="paragraph">
            <wp:posOffset>-439582</wp:posOffset>
          </wp:positionV>
          <wp:extent cx="7761767" cy="2357641"/>
          <wp:effectExtent l="0" t="0" r="0" b="5080"/>
          <wp:wrapTight wrapText="bothSides">
            <wp:wrapPolygon edited="0">
              <wp:start x="0" y="0"/>
              <wp:lineTo x="0" y="21472"/>
              <wp:lineTo x="21524" y="21472"/>
              <wp:lineTo x="21524" y="0"/>
              <wp:lineTo x="0" y="0"/>
            </wp:wrapPolygon>
          </wp:wrapTight>
          <wp:docPr id="7" name="Picture 7" descr="Decorative"/>
          <wp:cNvGraphicFramePr/>
          <a:graphic xmlns:a="http://schemas.openxmlformats.org/drawingml/2006/main">
            <a:graphicData uri="http://schemas.openxmlformats.org/drawingml/2006/picture">
              <pic:pic xmlns:pic="http://schemas.openxmlformats.org/drawingml/2006/picture">
                <pic:nvPicPr>
                  <pic:cNvPr id="4" name="Picture 4" descr="Decorativ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1767" cy="2357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9A73" w14:textId="77777777" w:rsidR="00EB7EED" w:rsidRDefault="00EB7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83B7" w14:textId="3B34ECCC" w:rsidR="00EB7EED" w:rsidRDefault="008B6F3B">
    <w:pPr>
      <w:pStyle w:val="Header"/>
      <w:jc w:val="right"/>
    </w:pPr>
    <w:sdt>
      <w:sdtPr>
        <w:id w:val="502242743"/>
        <w:docPartObj>
          <w:docPartGallery w:val="Page Numbers (Top of Page)"/>
          <w:docPartUnique/>
        </w:docPartObj>
      </w:sdtPr>
      <w:sdtEndPr>
        <w:rPr>
          <w:noProof/>
        </w:rPr>
      </w:sdtEndPr>
      <w:sdtContent>
        <w:r w:rsidR="00EB7EED">
          <w:fldChar w:fldCharType="begin"/>
        </w:r>
        <w:r w:rsidR="00EB7EED">
          <w:instrText xml:space="preserve"> PAGE   \* MERGEFORMAT </w:instrText>
        </w:r>
        <w:r w:rsidR="00EB7EED">
          <w:fldChar w:fldCharType="separate"/>
        </w:r>
        <w:r>
          <w:rPr>
            <w:noProof/>
          </w:rPr>
          <w:t>3</w:t>
        </w:r>
        <w:r w:rsidR="00EB7EED">
          <w:rPr>
            <w:noProof/>
          </w:rPr>
          <w:fldChar w:fldCharType="end"/>
        </w:r>
      </w:sdtContent>
    </w:sdt>
  </w:p>
  <w:p w14:paraId="23F8D12F" w14:textId="7FC606E9" w:rsidR="00EB7EED" w:rsidRDefault="00EB7E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CC7" w14:textId="77777777" w:rsidR="00EB7EED" w:rsidRDefault="00EB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BED"/>
    <w:multiLevelType w:val="hybridMultilevel"/>
    <w:tmpl w:val="6E2E71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336103"/>
    <w:multiLevelType w:val="hybridMultilevel"/>
    <w:tmpl w:val="AA9C9614"/>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64B92"/>
    <w:multiLevelType w:val="hybridMultilevel"/>
    <w:tmpl w:val="1D0833C2"/>
    <w:lvl w:ilvl="0" w:tplc="0D4A1C24">
      <w:start w:val="1"/>
      <w:numFmt w:val="decimal"/>
      <w:lvlText w:val="B%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07D77184"/>
    <w:multiLevelType w:val="hybridMultilevel"/>
    <w:tmpl w:val="6D386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0426DF"/>
    <w:multiLevelType w:val="hybridMultilevel"/>
    <w:tmpl w:val="D6F2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E2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A13E97"/>
    <w:multiLevelType w:val="hybridMultilevel"/>
    <w:tmpl w:val="B908FF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8F54B38"/>
    <w:multiLevelType w:val="hybridMultilevel"/>
    <w:tmpl w:val="6F26781A"/>
    <w:lvl w:ilvl="0" w:tplc="DFD44A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97246"/>
    <w:multiLevelType w:val="hybridMultilevel"/>
    <w:tmpl w:val="86B2E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DC2F7E"/>
    <w:multiLevelType w:val="hybridMultilevel"/>
    <w:tmpl w:val="69682BC2"/>
    <w:lvl w:ilvl="0" w:tplc="425ADA44">
      <w:start w:val="1"/>
      <w:numFmt w:val="decimal"/>
      <w:lvlText w:val="Char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1E3278"/>
    <w:multiLevelType w:val="hybridMultilevel"/>
    <w:tmpl w:val="B84E2C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1E3788"/>
    <w:multiLevelType w:val="hybridMultilevel"/>
    <w:tmpl w:val="3426E9E2"/>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522A9"/>
    <w:multiLevelType w:val="hybridMultilevel"/>
    <w:tmpl w:val="E3748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F6ECD"/>
    <w:multiLevelType w:val="hybridMultilevel"/>
    <w:tmpl w:val="959CF7A0"/>
    <w:lvl w:ilvl="0" w:tplc="8522E48A">
      <w:start w:val="1"/>
      <w:numFmt w:val="decimal"/>
      <w:lvlText w:val="A%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4" w15:restartNumberingAfterBreak="0">
    <w:nsid w:val="16917743"/>
    <w:multiLevelType w:val="hybridMultilevel"/>
    <w:tmpl w:val="EB7A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96031F"/>
    <w:multiLevelType w:val="hybridMultilevel"/>
    <w:tmpl w:val="B2A4F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88559D"/>
    <w:multiLevelType w:val="hybridMultilevel"/>
    <w:tmpl w:val="39E2FF00"/>
    <w:lvl w:ilvl="0" w:tplc="4D5AF840">
      <w:start w:val="3"/>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4A49E4"/>
    <w:multiLevelType w:val="hybridMultilevel"/>
    <w:tmpl w:val="E8827DDE"/>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C77F79"/>
    <w:multiLevelType w:val="hybridMultilevel"/>
    <w:tmpl w:val="7696DED2"/>
    <w:lvl w:ilvl="0" w:tplc="A65E0C90">
      <w:start w:val="2017"/>
      <w:numFmt w:val="bullet"/>
      <w:lvlText w:val="-"/>
      <w:lvlJc w:val="left"/>
      <w:pPr>
        <w:ind w:left="720" w:hanging="360"/>
      </w:pPr>
      <w:rPr>
        <w:rFonts w:ascii="Helvetica" w:eastAsia="Calibr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4553DA"/>
    <w:multiLevelType w:val="hybridMultilevel"/>
    <w:tmpl w:val="2B084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5737375"/>
    <w:multiLevelType w:val="hybridMultilevel"/>
    <w:tmpl w:val="6E2E71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65828B3"/>
    <w:multiLevelType w:val="hybridMultilevel"/>
    <w:tmpl w:val="3AB46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EF70C2"/>
    <w:multiLevelType w:val="hybridMultilevel"/>
    <w:tmpl w:val="15022E9C"/>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07509"/>
    <w:multiLevelType w:val="hybridMultilevel"/>
    <w:tmpl w:val="7840C912"/>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655A6F"/>
    <w:multiLevelType w:val="hybridMultilevel"/>
    <w:tmpl w:val="309A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C7623"/>
    <w:multiLevelType w:val="hybridMultilevel"/>
    <w:tmpl w:val="C4187920"/>
    <w:lvl w:ilvl="0" w:tplc="328456F0">
      <w:start w:val="2016"/>
      <w:numFmt w:val="bullet"/>
      <w:lvlText w:val="-"/>
      <w:lvlJc w:val="left"/>
      <w:pPr>
        <w:ind w:left="720" w:hanging="360"/>
      </w:pPr>
      <w:rPr>
        <w:rFonts w:ascii="Helvetica" w:eastAsia="Calibr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20129"/>
    <w:multiLevelType w:val="hybridMultilevel"/>
    <w:tmpl w:val="84E4C65C"/>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E5F20"/>
    <w:multiLevelType w:val="hybridMultilevel"/>
    <w:tmpl w:val="4C221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0B02E0"/>
    <w:multiLevelType w:val="hybridMultilevel"/>
    <w:tmpl w:val="0930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604092"/>
    <w:multiLevelType w:val="hybridMultilevel"/>
    <w:tmpl w:val="E9ECA3D6"/>
    <w:lvl w:ilvl="0" w:tplc="93DCE144">
      <w:start w:val="1"/>
      <w:numFmt w:val="decimal"/>
      <w:lvlText w:val="E%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A7221C"/>
    <w:multiLevelType w:val="hybridMultilevel"/>
    <w:tmpl w:val="0FEE6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2B97F44"/>
    <w:multiLevelType w:val="hybridMultilevel"/>
    <w:tmpl w:val="612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697EAE"/>
    <w:multiLevelType w:val="hybridMultilevel"/>
    <w:tmpl w:val="D6806D08"/>
    <w:lvl w:ilvl="0" w:tplc="5956AF6C">
      <w:start w:val="1"/>
      <w:numFmt w:val="decimal"/>
      <w:lvlText w:val="C%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4B3E3BFE"/>
    <w:multiLevelType w:val="hybridMultilevel"/>
    <w:tmpl w:val="A2F06A3E"/>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20AD3"/>
    <w:multiLevelType w:val="hybridMultilevel"/>
    <w:tmpl w:val="BEF40FBE"/>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2614A8"/>
    <w:multiLevelType w:val="hybridMultilevel"/>
    <w:tmpl w:val="48741B08"/>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3E4664"/>
    <w:multiLevelType w:val="hybridMultilevel"/>
    <w:tmpl w:val="49CA56DE"/>
    <w:lvl w:ilvl="0" w:tplc="0CB862B0">
      <w:start w:val="15"/>
      <w:numFmt w:val="bullet"/>
      <w:lvlText w:val=""/>
      <w:lvlJc w:val="left"/>
      <w:pPr>
        <w:ind w:left="643" w:hanging="360"/>
      </w:pPr>
      <w:rPr>
        <w:rFonts w:ascii="Symbol" w:eastAsia="Calibr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D14437"/>
    <w:multiLevelType w:val="hybridMultilevel"/>
    <w:tmpl w:val="704231A6"/>
    <w:lvl w:ilvl="0" w:tplc="9B442BAC">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7C445B"/>
    <w:multiLevelType w:val="hybridMultilevel"/>
    <w:tmpl w:val="E2240F6A"/>
    <w:lvl w:ilvl="0" w:tplc="39A626E8">
      <w:start w:val="1"/>
      <w:numFmt w:val="decimal"/>
      <w:lvlText w:val="D%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9" w15:restartNumberingAfterBreak="0">
    <w:nsid w:val="58C2455E"/>
    <w:multiLevelType w:val="hybridMultilevel"/>
    <w:tmpl w:val="E0D0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607A9A"/>
    <w:multiLevelType w:val="hybridMultilevel"/>
    <w:tmpl w:val="7354E3A6"/>
    <w:lvl w:ilvl="0" w:tplc="DFD44AC8">
      <w:numFmt w:val="bullet"/>
      <w:lvlText w:val="-"/>
      <w:lvlJc w:val="left"/>
      <w:pPr>
        <w:ind w:left="720" w:hanging="360"/>
      </w:pPr>
      <w:rPr>
        <w:rFonts w:ascii="Calibri" w:eastAsiaTheme="minorHAnsi" w:hAnsi="Calibri" w:cstheme="minorBidi" w:hint="default"/>
      </w:rPr>
    </w:lvl>
    <w:lvl w:ilvl="1" w:tplc="4D5AF840">
      <w:start w:val="3"/>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802C98"/>
    <w:multiLevelType w:val="hybridMultilevel"/>
    <w:tmpl w:val="63F4DE52"/>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A804B7"/>
    <w:multiLevelType w:val="hybridMultilevel"/>
    <w:tmpl w:val="16C8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802D07"/>
    <w:multiLevelType w:val="hybridMultilevel"/>
    <w:tmpl w:val="4158522A"/>
    <w:lvl w:ilvl="0" w:tplc="01C05AF6">
      <w:start w:val="1"/>
      <w:numFmt w:val="decimal"/>
      <w:lvlText w:val="Part %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C155DC"/>
    <w:multiLevelType w:val="hybridMultilevel"/>
    <w:tmpl w:val="4F10A272"/>
    <w:lvl w:ilvl="0" w:tplc="6F42C7C6">
      <w:start w:val="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003854"/>
    <w:multiLevelType w:val="hybridMultilevel"/>
    <w:tmpl w:val="E1FE8094"/>
    <w:lvl w:ilvl="0" w:tplc="1E4A3D8E">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032B08"/>
    <w:multiLevelType w:val="hybridMultilevel"/>
    <w:tmpl w:val="1D4C613E"/>
    <w:lvl w:ilvl="0" w:tplc="4D5AF84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45"/>
  </w:num>
  <w:num w:numId="5">
    <w:abstractNumId w:val="41"/>
  </w:num>
  <w:num w:numId="6">
    <w:abstractNumId w:val="26"/>
  </w:num>
  <w:num w:numId="7">
    <w:abstractNumId w:val="16"/>
  </w:num>
  <w:num w:numId="8">
    <w:abstractNumId w:val="34"/>
  </w:num>
  <w:num w:numId="9">
    <w:abstractNumId w:val="22"/>
  </w:num>
  <w:num w:numId="10">
    <w:abstractNumId w:val="1"/>
  </w:num>
  <w:num w:numId="11">
    <w:abstractNumId w:val="20"/>
  </w:num>
  <w:num w:numId="12">
    <w:abstractNumId w:val="15"/>
  </w:num>
  <w:num w:numId="13">
    <w:abstractNumId w:val="39"/>
  </w:num>
  <w:num w:numId="14">
    <w:abstractNumId w:val="21"/>
  </w:num>
  <w:num w:numId="15">
    <w:abstractNumId w:val="7"/>
  </w:num>
  <w:num w:numId="16">
    <w:abstractNumId w:val="40"/>
  </w:num>
  <w:num w:numId="17">
    <w:abstractNumId w:val="44"/>
  </w:num>
  <w:num w:numId="18">
    <w:abstractNumId w:val="27"/>
  </w:num>
  <w:num w:numId="19">
    <w:abstractNumId w:val="28"/>
  </w:num>
  <w:num w:numId="20">
    <w:abstractNumId w:val="6"/>
  </w:num>
  <w:num w:numId="21">
    <w:abstractNumId w:val="42"/>
  </w:num>
  <w:num w:numId="22">
    <w:abstractNumId w:val="37"/>
  </w:num>
  <w:num w:numId="23">
    <w:abstractNumId w:val="19"/>
  </w:num>
  <w:num w:numId="24">
    <w:abstractNumId w:val="24"/>
  </w:num>
  <w:num w:numId="25">
    <w:abstractNumId w:val="5"/>
  </w:num>
  <w:num w:numId="26">
    <w:abstractNumId w:val="19"/>
  </w:num>
  <w:num w:numId="27">
    <w:abstractNumId w:val="31"/>
  </w:num>
  <w:num w:numId="28">
    <w:abstractNumId w:val="23"/>
  </w:num>
  <w:num w:numId="29">
    <w:abstractNumId w:val="35"/>
  </w:num>
  <w:num w:numId="30">
    <w:abstractNumId w:val="11"/>
  </w:num>
  <w:num w:numId="31">
    <w:abstractNumId w:val="33"/>
  </w:num>
  <w:num w:numId="32">
    <w:abstractNumId w:val="17"/>
  </w:num>
  <w:num w:numId="33">
    <w:abstractNumId w:val="3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3"/>
  </w:num>
  <w:num w:numId="37">
    <w:abstractNumId w:val="13"/>
  </w:num>
  <w:num w:numId="38">
    <w:abstractNumId w:val="2"/>
  </w:num>
  <w:num w:numId="39">
    <w:abstractNumId w:val="32"/>
  </w:num>
  <w:num w:numId="40">
    <w:abstractNumId w:val="38"/>
  </w:num>
  <w:num w:numId="41">
    <w:abstractNumId w:val="29"/>
  </w:num>
  <w:num w:numId="42">
    <w:abstractNumId w:val="25"/>
  </w:num>
  <w:num w:numId="43">
    <w:abstractNumId w:val="18"/>
  </w:num>
  <w:num w:numId="44">
    <w:abstractNumId w:val="10"/>
  </w:num>
  <w:num w:numId="45">
    <w:abstractNumId w:val="46"/>
  </w:num>
  <w:num w:numId="46">
    <w:abstractNumId w:val="12"/>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BE"/>
    <w:rsid w:val="00000DDB"/>
    <w:rsid w:val="00001645"/>
    <w:rsid w:val="00004932"/>
    <w:rsid w:val="0000501D"/>
    <w:rsid w:val="000059AC"/>
    <w:rsid w:val="00005AE1"/>
    <w:rsid w:val="0001037C"/>
    <w:rsid w:val="00013304"/>
    <w:rsid w:val="00021794"/>
    <w:rsid w:val="00021DD5"/>
    <w:rsid w:val="00025847"/>
    <w:rsid w:val="0002749C"/>
    <w:rsid w:val="000346FB"/>
    <w:rsid w:val="00037034"/>
    <w:rsid w:val="00041BEC"/>
    <w:rsid w:val="00050F93"/>
    <w:rsid w:val="0005760F"/>
    <w:rsid w:val="00067CB7"/>
    <w:rsid w:val="00075404"/>
    <w:rsid w:val="00077182"/>
    <w:rsid w:val="00080AE1"/>
    <w:rsid w:val="00080C14"/>
    <w:rsid w:val="00081C87"/>
    <w:rsid w:val="000968C7"/>
    <w:rsid w:val="0009701F"/>
    <w:rsid w:val="000A4411"/>
    <w:rsid w:val="000A455D"/>
    <w:rsid w:val="000A4B67"/>
    <w:rsid w:val="000A5B00"/>
    <w:rsid w:val="000A6126"/>
    <w:rsid w:val="000B1EEB"/>
    <w:rsid w:val="000B227B"/>
    <w:rsid w:val="000B601E"/>
    <w:rsid w:val="000B6A66"/>
    <w:rsid w:val="000C4ECF"/>
    <w:rsid w:val="000C53B1"/>
    <w:rsid w:val="000C6C4F"/>
    <w:rsid w:val="000D0B1E"/>
    <w:rsid w:val="000E1A29"/>
    <w:rsid w:val="000E2EA6"/>
    <w:rsid w:val="000E52F1"/>
    <w:rsid w:val="000E7D44"/>
    <w:rsid w:val="000F1423"/>
    <w:rsid w:val="000F1FB5"/>
    <w:rsid w:val="000F3842"/>
    <w:rsid w:val="000F4DA4"/>
    <w:rsid w:val="000F6776"/>
    <w:rsid w:val="000F6A05"/>
    <w:rsid w:val="00111419"/>
    <w:rsid w:val="00117AF0"/>
    <w:rsid w:val="00130D97"/>
    <w:rsid w:val="0014620B"/>
    <w:rsid w:val="00147373"/>
    <w:rsid w:val="00147A3D"/>
    <w:rsid w:val="00153863"/>
    <w:rsid w:val="00156058"/>
    <w:rsid w:val="00161A59"/>
    <w:rsid w:val="00170E8E"/>
    <w:rsid w:val="001756DF"/>
    <w:rsid w:val="00180C8A"/>
    <w:rsid w:val="001813F2"/>
    <w:rsid w:val="00184A30"/>
    <w:rsid w:val="00186579"/>
    <w:rsid w:val="00187CA4"/>
    <w:rsid w:val="001903A0"/>
    <w:rsid w:val="00195A9D"/>
    <w:rsid w:val="001963EA"/>
    <w:rsid w:val="00196D49"/>
    <w:rsid w:val="001A5C58"/>
    <w:rsid w:val="001A7205"/>
    <w:rsid w:val="001C01F0"/>
    <w:rsid w:val="001C076C"/>
    <w:rsid w:val="001C2C2F"/>
    <w:rsid w:val="001C3C60"/>
    <w:rsid w:val="001D4902"/>
    <w:rsid w:val="001D4FA5"/>
    <w:rsid w:val="001D50FA"/>
    <w:rsid w:val="001D64B5"/>
    <w:rsid w:val="001D692F"/>
    <w:rsid w:val="001E0B28"/>
    <w:rsid w:val="001E6821"/>
    <w:rsid w:val="001F031E"/>
    <w:rsid w:val="001F0CD1"/>
    <w:rsid w:val="001F37D4"/>
    <w:rsid w:val="001F6056"/>
    <w:rsid w:val="001F6F17"/>
    <w:rsid w:val="001F75E4"/>
    <w:rsid w:val="00201556"/>
    <w:rsid w:val="002023DA"/>
    <w:rsid w:val="00202A7F"/>
    <w:rsid w:val="00206F49"/>
    <w:rsid w:val="00207B65"/>
    <w:rsid w:val="00214A26"/>
    <w:rsid w:val="00216FA3"/>
    <w:rsid w:val="00230F9C"/>
    <w:rsid w:val="002372C8"/>
    <w:rsid w:val="00246DC4"/>
    <w:rsid w:val="00251B19"/>
    <w:rsid w:val="002528BF"/>
    <w:rsid w:val="00254DE7"/>
    <w:rsid w:val="00257E90"/>
    <w:rsid w:val="0026051F"/>
    <w:rsid w:val="00261500"/>
    <w:rsid w:val="00265886"/>
    <w:rsid w:val="00267B41"/>
    <w:rsid w:val="00281330"/>
    <w:rsid w:val="00281EA7"/>
    <w:rsid w:val="00286330"/>
    <w:rsid w:val="00291A19"/>
    <w:rsid w:val="002924FC"/>
    <w:rsid w:val="00292B8A"/>
    <w:rsid w:val="00292C72"/>
    <w:rsid w:val="00293F87"/>
    <w:rsid w:val="00295A43"/>
    <w:rsid w:val="0029606D"/>
    <w:rsid w:val="002966DC"/>
    <w:rsid w:val="0029700F"/>
    <w:rsid w:val="00297330"/>
    <w:rsid w:val="002A10FB"/>
    <w:rsid w:val="002A5E54"/>
    <w:rsid w:val="002B0EE1"/>
    <w:rsid w:val="002B21B1"/>
    <w:rsid w:val="002B36A1"/>
    <w:rsid w:val="002D2A5E"/>
    <w:rsid w:val="002D2E1A"/>
    <w:rsid w:val="002D3D29"/>
    <w:rsid w:val="002D3D2A"/>
    <w:rsid w:val="002D656F"/>
    <w:rsid w:val="002D76AF"/>
    <w:rsid w:val="002E01D5"/>
    <w:rsid w:val="002E0AB5"/>
    <w:rsid w:val="002E3E67"/>
    <w:rsid w:val="002E6278"/>
    <w:rsid w:val="002F76BD"/>
    <w:rsid w:val="003212CF"/>
    <w:rsid w:val="003219DB"/>
    <w:rsid w:val="003269C1"/>
    <w:rsid w:val="00334D92"/>
    <w:rsid w:val="00343368"/>
    <w:rsid w:val="00344D2D"/>
    <w:rsid w:val="00345373"/>
    <w:rsid w:val="003461B7"/>
    <w:rsid w:val="00353719"/>
    <w:rsid w:val="003541F3"/>
    <w:rsid w:val="00357D3A"/>
    <w:rsid w:val="00364321"/>
    <w:rsid w:val="00367834"/>
    <w:rsid w:val="0037753F"/>
    <w:rsid w:val="0038292E"/>
    <w:rsid w:val="00382AA2"/>
    <w:rsid w:val="003868E4"/>
    <w:rsid w:val="00387DAB"/>
    <w:rsid w:val="003902C9"/>
    <w:rsid w:val="00391275"/>
    <w:rsid w:val="00391EBE"/>
    <w:rsid w:val="0039275D"/>
    <w:rsid w:val="003955DC"/>
    <w:rsid w:val="003A31C5"/>
    <w:rsid w:val="003A4153"/>
    <w:rsid w:val="003B0E45"/>
    <w:rsid w:val="003B2BDF"/>
    <w:rsid w:val="003B49F9"/>
    <w:rsid w:val="003B4EF5"/>
    <w:rsid w:val="003C2369"/>
    <w:rsid w:val="003C28D4"/>
    <w:rsid w:val="003C3470"/>
    <w:rsid w:val="003C4925"/>
    <w:rsid w:val="003C69EF"/>
    <w:rsid w:val="003C79E6"/>
    <w:rsid w:val="003D1B0D"/>
    <w:rsid w:val="003D559F"/>
    <w:rsid w:val="003E04CC"/>
    <w:rsid w:val="003E0EC1"/>
    <w:rsid w:val="003E1832"/>
    <w:rsid w:val="003E25BC"/>
    <w:rsid w:val="003F0475"/>
    <w:rsid w:val="003F0D52"/>
    <w:rsid w:val="003F2C68"/>
    <w:rsid w:val="003F4FB8"/>
    <w:rsid w:val="003F56FC"/>
    <w:rsid w:val="003F7AFD"/>
    <w:rsid w:val="004028FD"/>
    <w:rsid w:val="00404962"/>
    <w:rsid w:val="00406F4A"/>
    <w:rsid w:val="00420FED"/>
    <w:rsid w:val="00421BAF"/>
    <w:rsid w:val="00423698"/>
    <w:rsid w:val="0043268B"/>
    <w:rsid w:val="00432856"/>
    <w:rsid w:val="00436674"/>
    <w:rsid w:val="00436980"/>
    <w:rsid w:val="00441993"/>
    <w:rsid w:val="00443D7B"/>
    <w:rsid w:val="00444C51"/>
    <w:rsid w:val="00446390"/>
    <w:rsid w:val="004469EC"/>
    <w:rsid w:val="0044781A"/>
    <w:rsid w:val="00455583"/>
    <w:rsid w:val="00460B47"/>
    <w:rsid w:val="004612EA"/>
    <w:rsid w:val="004640EB"/>
    <w:rsid w:val="004672FB"/>
    <w:rsid w:val="00472692"/>
    <w:rsid w:val="004863BA"/>
    <w:rsid w:val="00486A21"/>
    <w:rsid w:val="00492C70"/>
    <w:rsid w:val="004A3D3E"/>
    <w:rsid w:val="004A629F"/>
    <w:rsid w:val="004C27FF"/>
    <w:rsid w:val="004C4343"/>
    <w:rsid w:val="004D4784"/>
    <w:rsid w:val="004D4889"/>
    <w:rsid w:val="004D4E66"/>
    <w:rsid w:val="004E2E21"/>
    <w:rsid w:val="004E7D2E"/>
    <w:rsid w:val="004F0D7A"/>
    <w:rsid w:val="00501AC4"/>
    <w:rsid w:val="00502395"/>
    <w:rsid w:val="00504F83"/>
    <w:rsid w:val="0050714F"/>
    <w:rsid w:val="00510485"/>
    <w:rsid w:val="0051254A"/>
    <w:rsid w:val="00513992"/>
    <w:rsid w:val="00517809"/>
    <w:rsid w:val="005221FE"/>
    <w:rsid w:val="005249E3"/>
    <w:rsid w:val="0052609D"/>
    <w:rsid w:val="00531555"/>
    <w:rsid w:val="00540116"/>
    <w:rsid w:val="00541D38"/>
    <w:rsid w:val="005433B6"/>
    <w:rsid w:val="005510C9"/>
    <w:rsid w:val="00566B0D"/>
    <w:rsid w:val="00567A38"/>
    <w:rsid w:val="00573E2D"/>
    <w:rsid w:val="00574A36"/>
    <w:rsid w:val="00574D8F"/>
    <w:rsid w:val="005800CE"/>
    <w:rsid w:val="005820C9"/>
    <w:rsid w:val="0058785F"/>
    <w:rsid w:val="0058793E"/>
    <w:rsid w:val="00592F25"/>
    <w:rsid w:val="00595420"/>
    <w:rsid w:val="005A5D13"/>
    <w:rsid w:val="005B495D"/>
    <w:rsid w:val="005C6FF5"/>
    <w:rsid w:val="005D3154"/>
    <w:rsid w:val="005E07DF"/>
    <w:rsid w:val="005E0E3E"/>
    <w:rsid w:val="005E1B59"/>
    <w:rsid w:val="005E6CCB"/>
    <w:rsid w:val="005E7177"/>
    <w:rsid w:val="005F0CC7"/>
    <w:rsid w:val="005F2FE1"/>
    <w:rsid w:val="005F47F0"/>
    <w:rsid w:val="00602164"/>
    <w:rsid w:val="00607C1C"/>
    <w:rsid w:val="00612380"/>
    <w:rsid w:val="00612E1D"/>
    <w:rsid w:val="00624472"/>
    <w:rsid w:val="00624ACA"/>
    <w:rsid w:val="006327A8"/>
    <w:rsid w:val="00632D26"/>
    <w:rsid w:val="00633C5E"/>
    <w:rsid w:val="00633F65"/>
    <w:rsid w:val="00636022"/>
    <w:rsid w:val="00657B02"/>
    <w:rsid w:val="006642A1"/>
    <w:rsid w:val="00665894"/>
    <w:rsid w:val="00670712"/>
    <w:rsid w:val="006741D3"/>
    <w:rsid w:val="006819B0"/>
    <w:rsid w:val="006825EC"/>
    <w:rsid w:val="00682D51"/>
    <w:rsid w:val="006853F6"/>
    <w:rsid w:val="00685EF4"/>
    <w:rsid w:val="00686124"/>
    <w:rsid w:val="006863E6"/>
    <w:rsid w:val="006A4ED7"/>
    <w:rsid w:val="006A6E79"/>
    <w:rsid w:val="006B04CD"/>
    <w:rsid w:val="006B1F53"/>
    <w:rsid w:val="006B2773"/>
    <w:rsid w:val="006B29E1"/>
    <w:rsid w:val="006B79DA"/>
    <w:rsid w:val="006C055B"/>
    <w:rsid w:val="006C17B9"/>
    <w:rsid w:val="006C73AF"/>
    <w:rsid w:val="006D0ACC"/>
    <w:rsid w:val="006E09CA"/>
    <w:rsid w:val="006E1721"/>
    <w:rsid w:val="006F1489"/>
    <w:rsid w:val="006F1EA8"/>
    <w:rsid w:val="007022D6"/>
    <w:rsid w:val="007059D6"/>
    <w:rsid w:val="00713D5A"/>
    <w:rsid w:val="00725FE1"/>
    <w:rsid w:val="00727CC5"/>
    <w:rsid w:val="00732D99"/>
    <w:rsid w:val="0073421B"/>
    <w:rsid w:val="007437CA"/>
    <w:rsid w:val="00751B4A"/>
    <w:rsid w:val="00751FDA"/>
    <w:rsid w:val="00756DA9"/>
    <w:rsid w:val="00760846"/>
    <w:rsid w:val="00763F38"/>
    <w:rsid w:val="00775B05"/>
    <w:rsid w:val="00777AE6"/>
    <w:rsid w:val="00777F94"/>
    <w:rsid w:val="00782F90"/>
    <w:rsid w:val="007843D6"/>
    <w:rsid w:val="00785D59"/>
    <w:rsid w:val="007972B6"/>
    <w:rsid w:val="007A050C"/>
    <w:rsid w:val="007A3166"/>
    <w:rsid w:val="007A3DBF"/>
    <w:rsid w:val="007A46B2"/>
    <w:rsid w:val="007B01DC"/>
    <w:rsid w:val="007B3220"/>
    <w:rsid w:val="007B51EE"/>
    <w:rsid w:val="007B567D"/>
    <w:rsid w:val="007C1173"/>
    <w:rsid w:val="007C7C50"/>
    <w:rsid w:val="007D0833"/>
    <w:rsid w:val="007D32D9"/>
    <w:rsid w:val="007D3D6B"/>
    <w:rsid w:val="007D5505"/>
    <w:rsid w:val="007D7E24"/>
    <w:rsid w:val="007E41A4"/>
    <w:rsid w:val="007E4B8D"/>
    <w:rsid w:val="007E59D9"/>
    <w:rsid w:val="007E6BAC"/>
    <w:rsid w:val="007E7215"/>
    <w:rsid w:val="007F681F"/>
    <w:rsid w:val="0080111C"/>
    <w:rsid w:val="00811F14"/>
    <w:rsid w:val="008130AF"/>
    <w:rsid w:val="00820A1A"/>
    <w:rsid w:val="00825EAC"/>
    <w:rsid w:val="00826B95"/>
    <w:rsid w:val="008356C9"/>
    <w:rsid w:val="00836DA3"/>
    <w:rsid w:val="00836E4A"/>
    <w:rsid w:val="00846BF9"/>
    <w:rsid w:val="00856D8E"/>
    <w:rsid w:val="008619BC"/>
    <w:rsid w:val="00862B63"/>
    <w:rsid w:val="008679D8"/>
    <w:rsid w:val="00877B58"/>
    <w:rsid w:val="00883758"/>
    <w:rsid w:val="00884696"/>
    <w:rsid w:val="008868C5"/>
    <w:rsid w:val="00890E08"/>
    <w:rsid w:val="008A0244"/>
    <w:rsid w:val="008A559B"/>
    <w:rsid w:val="008B573C"/>
    <w:rsid w:val="008B6F3B"/>
    <w:rsid w:val="008B7551"/>
    <w:rsid w:val="008C2281"/>
    <w:rsid w:val="008D2B77"/>
    <w:rsid w:val="008D44E5"/>
    <w:rsid w:val="008D597B"/>
    <w:rsid w:val="008D72C0"/>
    <w:rsid w:val="008E1994"/>
    <w:rsid w:val="008E3F14"/>
    <w:rsid w:val="008E70CE"/>
    <w:rsid w:val="008F0C39"/>
    <w:rsid w:val="008F0FF1"/>
    <w:rsid w:val="008F5BDB"/>
    <w:rsid w:val="008F72F1"/>
    <w:rsid w:val="00901ADD"/>
    <w:rsid w:val="00903D37"/>
    <w:rsid w:val="009070DD"/>
    <w:rsid w:val="009074E5"/>
    <w:rsid w:val="00912BFF"/>
    <w:rsid w:val="00920AEB"/>
    <w:rsid w:val="00924916"/>
    <w:rsid w:val="00924B5A"/>
    <w:rsid w:val="009336F0"/>
    <w:rsid w:val="00933BE2"/>
    <w:rsid w:val="00951476"/>
    <w:rsid w:val="00951A62"/>
    <w:rsid w:val="00957C0E"/>
    <w:rsid w:val="009601A0"/>
    <w:rsid w:val="009610A8"/>
    <w:rsid w:val="00962BF2"/>
    <w:rsid w:val="00963F15"/>
    <w:rsid w:val="009663DE"/>
    <w:rsid w:val="0097004A"/>
    <w:rsid w:val="009703DE"/>
    <w:rsid w:val="00980EA0"/>
    <w:rsid w:val="009843C2"/>
    <w:rsid w:val="009903C1"/>
    <w:rsid w:val="00991326"/>
    <w:rsid w:val="00991AA9"/>
    <w:rsid w:val="009924C1"/>
    <w:rsid w:val="00993C55"/>
    <w:rsid w:val="00995618"/>
    <w:rsid w:val="00997D73"/>
    <w:rsid w:val="009A42FA"/>
    <w:rsid w:val="009B5D9A"/>
    <w:rsid w:val="009C0E3B"/>
    <w:rsid w:val="009C1504"/>
    <w:rsid w:val="009C2C73"/>
    <w:rsid w:val="009C36E7"/>
    <w:rsid w:val="009D3B84"/>
    <w:rsid w:val="009E0000"/>
    <w:rsid w:val="009E4321"/>
    <w:rsid w:val="009F2D2E"/>
    <w:rsid w:val="009F419C"/>
    <w:rsid w:val="009F463E"/>
    <w:rsid w:val="009F553B"/>
    <w:rsid w:val="009F5F29"/>
    <w:rsid w:val="00A02685"/>
    <w:rsid w:val="00A030D0"/>
    <w:rsid w:val="00A03223"/>
    <w:rsid w:val="00A07CA4"/>
    <w:rsid w:val="00A239B3"/>
    <w:rsid w:val="00A25B25"/>
    <w:rsid w:val="00A3429A"/>
    <w:rsid w:val="00A365A4"/>
    <w:rsid w:val="00A36BE2"/>
    <w:rsid w:val="00A43F4C"/>
    <w:rsid w:val="00A44838"/>
    <w:rsid w:val="00A45F7D"/>
    <w:rsid w:val="00A471CE"/>
    <w:rsid w:val="00A52C00"/>
    <w:rsid w:val="00A53D98"/>
    <w:rsid w:val="00A55B83"/>
    <w:rsid w:val="00A57527"/>
    <w:rsid w:val="00A61DAE"/>
    <w:rsid w:val="00A652AA"/>
    <w:rsid w:val="00A66DFE"/>
    <w:rsid w:val="00A708E3"/>
    <w:rsid w:val="00A70E47"/>
    <w:rsid w:val="00A72F5E"/>
    <w:rsid w:val="00A77BE1"/>
    <w:rsid w:val="00A8241B"/>
    <w:rsid w:val="00A83621"/>
    <w:rsid w:val="00A854F7"/>
    <w:rsid w:val="00A92609"/>
    <w:rsid w:val="00AA376D"/>
    <w:rsid w:val="00AA46EF"/>
    <w:rsid w:val="00AA596E"/>
    <w:rsid w:val="00AA644F"/>
    <w:rsid w:val="00AB34EF"/>
    <w:rsid w:val="00AB5072"/>
    <w:rsid w:val="00AB5AE6"/>
    <w:rsid w:val="00AC0848"/>
    <w:rsid w:val="00AC41EB"/>
    <w:rsid w:val="00AC69F7"/>
    <w:rsid w:val="00AD4B38"/>
    <w:rsid w:val="00AD6935"/>
    <w:rsid w:val="00AD6DF4"/>
    <w:rsid w:val="00AD7011"/>
    <w:rsid w:val="00AE114F"/>
    <w:rsid w:val="00AE40F5"/>
    <w:rsid w:val="00AF7FBB"/>
    <w:rsid w:val="00B00CFB"/>
    <w:rsid w:val="00B126FC"/>
    <w:rsid w:val="00B15ABB"/>
    <w:rsid w:val="00B16BBC"/>
    <w:rsid w:val="00B201BA"/>
    <w:rsid w:val="00B23D43"/>
    <w:rsid w:val="00B24F07"/>
    <w:rsid w:val="00B366CA"/>
    <w:rsid w:val="00B36962"/>
    <w:rsid w:val="00B4537A"/>
    <w:rsid w:val="00B47AC8"/>
    <w:rsid w:val="00B55687"/>
    <w:rsid w:val="00B55E69"/>
    <w:rsid w:val="00B603BE"/>
    <w:rsid w:val="00B6115E"/>
    <w:rsid w:val="00B624C2"/>
    <w:rsid w:val="00B63C8A"/>
    <w:rsid w:val="00B658A8"/>
    <w:rsid w:val="00B67126"/>
    <w:rsid w:val="00B7216E"/>
    <w:rsid w:val="00B7337D"/>
    <w:rsid w:val="00B869D3"/>
    <w:rsid w:val="00B94FB4"/>
    <w:rsid w:val="00B962ED"/>
    <w:rsid w:val="00B97ED2"/>
    <w:rsid w:val="00BA3355"/>
    <w:rsid w:val="00BA3396"/>
    <w:rsid w:val="00BA3828"/>
    <w:rsid w:val="00BB38BA"/>
    <w:rsid w:val="00BB49A8"/>
    <w:rsid w:val="00BB7CA3"/>
    <w:rsid w:val="00BC0406"/>
    <w:rsid w:val="00BC3AB2"/>
    <w:rsid w:val="00BD1DF3"/>
    <w:rsid w:val="00BD3569"/>
    <w:rsid w:val="00BD5B19"/>
    <w:rsid w:val="00BD630B"/>
    <w:rsid w:val="00BE223A"/>
    <w:rsid w:val="00BE2720"/>
    <w:rsid w:val="00BE3DF4"/>
    <w:rsid w:val="00BE511F"/>
    <w:rsid w:val="00BE72AF"/>
    <w:rsid w:val="00BF2327"/>
    <w:rsid w:val="00BF388A"/>
    <w:rsid w:val="00C02729"/>
    <w:rsid w:val="00C04640"/>
    <w:rsid w:val="00C06223"/>
    <w:rsid w:val="00C1028D"/>
    <w:rsid w:val="00C167DC"/>
    <w:rsid w:val="00C17047"/>
    <w:rsid w:val="00C246F2"/>
    <w:rsid w:val="00C26C16"/>
    <w:rsid w:val="00C3057C"/>
    <w:rsid w:val="00C31EF4"/>
    <w:rsid w:val="00C33036"/>
    <w:rsid w:val="00C34B43"/>
    <w:rsid w:val="00C358C2"/>
    <w:rsid w:val="00C364BB"/>
    <w:rsid w:val="00C42342"/>
    <w:rsid w:val="00C5123E"/>
    <w:rsid w:val="00C5164B"/>
    <w:rsid w:val="00C52D33"/>
    <w:rsid w:val="00C57AD3"/>
    <w:rsid w:val="00C70B37"/>
    <w:rsid w:val="00C7717A"/>
    <w:rsid w:val="00C81F6D"/>
    <w:rsid w:val="00C84216"/>
    <w:rsid w:val="00C85B39"/>
    <w:rsid w:val="00C90971"/>
    <w:rsid w:val="00C922FF"/>
    <w:rsid w:val="00C933EC"/>
    <w:rsid w:val="00C93E26"/>
    <w:rsid w:val="00C96735"/>
    <w:rsid w:val="00CA233F"/>
    <w:rsid w:val="00CB0344"/>
    <w:rsid w:val="00CB16B9"/>
    <w:rsid w:val="00CB187C"/>
    <w:rsid w:val="00CB446F"/>
    <w:rsid w:val="00CB7123"/>
    <w:rsid w:val="00CB7891"/>
    <w:rsid w:val="00CC2F3E"/>
    <w:rsid w:val="00CD169F"/>
    <w:rsid w:val="00CD2CD7"/>
    <w:rsid w:val="00CD34C4"/>
    <w:rsid w:val="00CD5691"/>
    <w:rsid w:val="00CE43C7"/>
    <w:rsid w:val="00CE47E1"/>
    <w:rsid w:val="00CF0D8E"/>
    <w:rsid w:val="00CF1283"/>
    <w:rsid w:val="00CF46A5"/>
    <w:rsid w:val="00D12D58"/>
    <w:rsid w:val="00D16EEF"/>
    <w:rsid w:val="00D245F4"/>
    <w:rsid w:val="00D33A53"/>
    <w:rsid w:val="00D34284"/>
    <w:rsid w:val="00D37B89"/>
    <w:rsid w:val="00D46A18"/>
    <w:rsid w:val="00D478D6"/>
    <w:rsid w:val="00D53621"/>
    <w:rsid w:val="00D55D82"/>
    <w:rsid w:val="00D563D9"/>
    <w:rsid w:val="00D574E9"/>
    <w:rsid w:val="00D61A2F"/>
    <w:rsid w:val="00D63FCF"/>
    <w:rsid w:val="00D724E0"/>
    <w:rsid w:val="00D72DF5"/>
    <w:rsid w:val="00D72E49"/>
    <w:rsid w:val="00D77261"/>
    <w:rsid w:val="00D81DBB"/>
    <w:rsid w:val="00D821D5"/>
    <w:rsid w:val="00D82767"/>
    <w:rsid w:val="00D909F6"/>
    <w:rsid w:val="00D91001"/>
    <w:rsid w:val="00D91B3B"/>
    <w:rsid w:val="00D91F90"/>
    <w:rsid w:val="00D9604B"/>
    <w:rsid w:val="00DA17A3"/>
    <w:rsid w:val="00DA4BD2"/>
    <w:rsid w:val="00DA5ADB"/>
    <w:rsid w:val="00DB333E"/>
    <w:rsid w:val="00DB4652"/>
    <w:rsid w:val="00DC2073"/>
    <w:rsid w:val="00DC44F6"/>
    <w:rsid w:val="00DD0618"/>
    <w:rsid w:val="00DD41EE"/>
    <w:rsid w:val="00DD4293"/>
    <w:rsid w:val="00DD737B"/>
    <w:rsid w:val="00DE1A6B"/>
    <w:rsid w:val="00DE2CBA"/>
    <w:rsid w:val="00DE567A"/>
    <w:rsid w:val="00DF1E9B"/>
    <w:rsid w:val="00DF3993"/>
    <w:rsid w:val="00E06302"/>
    <w:rsid w:val="00E11C1B"/>
    <w:rsid w:val="00E12E8A"/>
    <w:rsid w:val="00E158EB"/>
    <w:rsid w:val="00E15B97"/>
    <w:rsid w:val="00E16E81"/>
    <w:rsid w:val="00E17C7F"/>
    <w:rsid w:val="00E2406B"/>
    <w:rsid w:val="00E4057E"/>
    <w:rsid w:val="00E45F8B"/>
    <w:rsid w:val="00E554F4"/>
    <w:rsid w:val="00E60BA8"/>
    <w:rsid w:val="00E616A6"/>
    <w:rsid w:val="00E6398B"/>
    <w:rsid w:val="00E64D4F"/>
    <w:rsid w:val="00E64FA6"/>
    <w:rsid w:val="00E66EF9"/>
    <w:rsid w:val="00E76235"/>
    <w:rsid w:val="00E82DB6"/>
    <w:rsid w:val="00E85757"/>
    <w:rsid w:val="00E9506B"/>
    <w:rsid w:val="00E96CBD"/>
    <w:rsid w:val="00EA32A8"/>
    <w:rsid w:val="00EA37B6"/>
    <w:rsid w:val="00EB2A98"/>
    <w:rsid w:val="00EB3223"/>
    <w:rsid w:val="00EB549E"/>
    <w:rsid w:val="00EB6482"/>
    <w:rsid w:val="00EB735D"/>
    <w:rsid w:val="00EB7EED"/>
    <w:rsid w:val="00EC0B29"/>
    <w:rsid w:val="00EC5D72"/>
    <w:rsid w:val="00ED2E9A"/>
    <w:rsid w:val="00ED44CA"/>
    <w:rsid w:val="00EE0558"/>
    <w:rsid w:val="00EE57C2"/>
    <w:rsid w:val="00EE62FD"/>
    <w:rsid w:val="00EE644E"/>
    <w:rsid w:val="00EE6A50"/>
    <w:rsid w:val="00EF476D"/>
    <w:rsid w:val="00EF47B2"/>
    <w:rsid w:val="00F00DEC"/>
    <w:rsid w:val="00F04DB1"/>
    <w:rsid w:val="00F060E1"/>
    <w:rsid w:val="00F15363"/>
    <w:rsid w:val="00F22A4E"/>
    <w:rsid w:val="00F41FAD"/>
    <w:rsid w:val="00F43D5A"/>
    <w:rsid w:val="00F51ABC"/>
    <w:rsid w:val="00F56F2F"/>
    <w:rsid w:val="00F5711B"/>
    <w:rsid w:val="00F66832"/>
    <w:rsid w:val="00F67701"/>
    <w:rsid w:val="00F73B71"/>
    <w:rsid w:val="00F73DFA"/>
    <w:rsid w:val="00F76681"/>
    <w:rsid w:val="00F76805"/>
    <w:rsid w:val="00F76E09"/>
    <w:rsid w:val="00F81311"/>
    <w:rsid w:val="00F85FAE"/>
    <w:rsid w:val="00F9046C"/>
    <w:rsid w:val="00F952C8"/>
    <w:rsid w:val="00FA10C4"/>
    <w:rsid w:val="00FA16E2"/>
    <w:rsid w:val="00FA26EB"/>
    <w:rsid w:val="00FA5754"/>
    <w:rsid w:val="00FA66F8"/>
    <w:rsid w:val="00FA6D55"/>
    <w:rsid w:val="00FC5D6B"/>
    <w:rsid w:val="00FC6699"/>
    <w:rsid w:val="00FE0B7D"/>
    <w:rsid w:val="00FE2D63"/>
    <w:rsid w:val="00FF088E"/>
    <w:rsid w:val="00FF0BC2"/>
    <w:rsid w:val="00FF1CA0"/>
    <w:rsid w:val="00FF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F88FC1"/>
  <w15:docId w15:val="{BF8CA081-2A31-4907-90FF-39104AF7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8E"/>
  </w:style>
  <w:style w:type="paragraph" w:styleId="Heading1">
    <w:name w:val="heading 1"/>
    <w:basedOn w:val="Normal"/>
    <w:next w:val="Normal"/>
    <w:link w:val="Heading1Char"/>
    <w:uiPriority w:val="9"/>
    <w:qFormat/>
    <w:rsid w:val="00856D8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56D8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56D8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856D8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56D8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56D8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56D8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56D8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56D8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列出段落,列出段落1"/>
    <w:basedOn w:val="Normal"/>
    <w:link w:val="ListParagraphChar"/>
    <w:uiPriority w:val="34"/>
    <w:qFormat/>
    <w:rsid w:val="00856D8E"/>
    <w:pPr>
      <w:ind w:left="720"/>
      <w:contextualSpacing/>
    </w:pPr>
  </w:style>
  <w:style w:type="character" w:styleId="CommentReference">
    <w:name w:val="annotation reference"/>
    <w:basedOn w:val="DefaultParagraphFont"/>
    <w:uiPriority w:val="99"/>
    <w:semiHidden/>
    <w:unhideWhenUsed/>
    <w:rsid w:val="004C4343"/>
    <w:rPr>
      <w:sz w:val="16"/>
      <w:szCs w:val="16"/>
    </w:rPr>
  </w:style>
  <w:style w:type="paragraph" w:styleId="CommentText">
    <w:name w:val="annotation text"/>
    <w:basedOn w:val="Normal"/>
    <w:link w:val="CommentTextChar"/>
    <w:uiPriority w:val="99"/>
    <w:unhideWhenUsed/>
    <w:rsid w:val="004C4343"/>
    <w:pPr>
      <w:spacing w:after="200" w:line="240" w:lineRule="auto"/>
    </w:pPr>
    <w:rPr>
      <w:sz w:val="20"/>
      <w:szCs w:val="20"/>
      <w:lang w:val="en-AU"/>
    </w:rPr>
  </w:style>
  <w:style w:type="character" w:customStyle="1" w:styleId="CommentTextChar">
    <w:name w:val="Comment Text Char"/>
    <w:basedOn w:val="DefaultParagraphFont"/>
    <w:link w:val="CommentText"/>
    <w:uiPriority w:val="99"/>
    <w:rsid w:val="004C4343"/>
    <w:rPr>
      <w:rFonts w:eastAsiaTheme="minorEastAsia"/>
      <w:sz w:val="20"/>
      <w:szCs w:val="20"/>
      <w:lang w:val="en-AU"/>
    </w:rPr>
  </w:style>
  <w:style w:type="paragraph" w:styleId="BalloonText">
    <w:name w:val="Balloon Text"/>
    <w:basedOn w:val="Normal"/>
    <w:link w:val="BalloonTextChar"/>
    <w:uiPriority w:val="99"/>
    <w:semiHidden/>
    <w:unhideWhenUsed/>
    <w:rsid w:val="004C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42FA"/>
    <w:pPr>
      <w:spacing w:after="160"/>
    </w:pPr>
    <w:rPr>
      <w:rFonts w:eastAsiaTheme="minorHAnsi"/>
      <w:b/>
      <w:bCs/>
      <w:lang w:val="en-US"/>
    </w:rPr>
  </w:style>
  <w:style w:type="character" w:customStyle="1" w:styleId="CommentSubjectChar">
    <w:name w:val="Comment Subject Char"/>
    <w:basedOn w:val="CommentTextChar"/>
    <w:link w:val="CommentSubject"/>
    <w:uiPriority w:val="99"/>
    <w:semiHidden/>
    <w:rsid w:val="009A42FA"/>
    <w:rPr>
      <w:rFonts w:eastAsiaTheme="minorEastAsia"/>
      <w:b/>
      <w:bCs/>
      <w:sz w:val="20"/>
      <w:szCs w:val="20"/>
      <w:lang w:val="en-AU"/>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qFormat/>
    <w:locked/>
    <w:rsid w:val="00856D8E"/>
  </w:style>
  <w:style w:type="paragraph" w:styleId="Header">
    <w:name w:val="header"/>
    <w:basedOn w:val="Normal"/>
    <w:link w:val="HeaderChar"/>
    <w:uiPriority w:val="99"/>
    <w:unhideWhenUsed/>
    <w:rsid w:val="0099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26"/>
  </w:style>
  <w:style w:type="paragraph" w:styleId="Footer">
    <w:name w:val="footer"/>
    <w:basedOn w:val="Normal"/>
    <w:link w:val="FooterChar"/>
    <w:uiPriority w:val="99"/>
    <w:unhideWhenUsed/>
    <w:rsid w:val="0099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26"/>
  </w:style>
  <w:style w:type="character" w:styleId="IntenseEmphasis">
    <w:name w:val="Intense Emphasis"/>
    <w:basedOn w:val="DefaultParagraphFont"/>
    <w:uiPriority w:val="21"/>
    <w:qFormat/>
    <w:rsid w:val="00856D8E"/>
    <w:rPr>
      <w:b/>
      <w:bCs/>
      <w:i/>
      <w:iCs/>
    </w:rPr>
  </w:style>
  <w:style w:type="character" w:customStyle="1" w:styleId="Heading1Char">
    <w:name w:val="Heading 1 Char"/>
    <w:basedOn w:val="DefaultParagraphFont"/>
    <w:link w:val="Heading1"/>
    <w:uiPriority w:val="9"/>
    <w:rsid w:val="00856D8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56D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56D8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856D8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56D8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56D8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56D8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56D8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56D8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56D8E"/>
    <w:pPr>
      <w:spacing w:line="240" w:lineRule="auto"/>
    </w:pPr>
    <w:rPr>
      <w:b/>
      <w:bCs/>
      <w:smallCaps/>
      <w:color w:val="44546A" w:themeColor="text2"/>
    </w:rPr>
  </w:style>
  <w:style w:type="paragraph" w:styleId="Title">
    <w:name w:val="Title"/>
    <w:basedOn w:val="Normal"/>
    <w:next w:val="Normal"/>
    <w:link w:val="TitleChar"/>
    <w:uiPriority w:val="10"/>
    <w:qFormat/>
    <w:rsid w:val="00856D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56D8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56D8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56D8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56D8E"/>
    <w:rPr>
      <w:b/>
      <w:bCs/>
    </w:rPr>
  </w:style>
  <w:style w:type="character" w:styleId="Emphasis">
    <w:name w:val="Emphasis"/>
    <w:basedOn w:val="DefaultParagraphFont"/>
    <w:uiPriority w:val="20"/>
    <w:qFormat/>
    <w:rsid w:val="00856D8E"/>
    <w:rPr>
      <w:i/>
      <w:iCs/>
    </w:rPr>
  </w:style>
  <w:style w:type="paragraph" w:styleId="NoSpacing">
    <w:name w:val="No Spacing"/>
    <w:uiPriority w:val="1"/>
    <w:qFormat/>
    <w:rsid w:val="00856D8E"/>
    <w:pPr>
      <w:spacing w:after="0" w:line="240" w:lineRule="auto"/>
    </w:pPr>
  </w:style>
  <w:style w:type="paragraph" w:styleId="Quote">
    <w:name w:val="Quote"/>
    <w:basedOn w:val="Normal"/>
    <w:next w:val="Normal"/>
    <w:link w:val="QuoteChar"/>
    <w:uiPriority w:val="29"/>
    <w:qFormat/>
    <w:rsid w:val="00856D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56D8E"/>
    <w:rPr>
      <w:color w:val="44546A" w:themeColor="text2"/>
      <w:sz w:val="24"/>
      <w:szCs w:val="24"/>
    </w:rPr>
  </w:style>
  <w:style w:type="paragraph" w:styleId="IntenseQuote">
    <w:name w:val="Intense Quote"/>
    <w:basedOn w:val="Normal"/>
    <w:next w:val="Normal"/>
    <w:link w:val="IntenseQuoteChar"/>
    <w:uiPriority w:val="30"/>
    <w:qFormat/>
    <w:rsid w:val="00856D8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6D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56D8E"/>
    <w:rPr>
      <w:i/>
      <w:iCs/>
      <w:color w:val="595959" w:themeColor="text1" w:themeTint="A6"/>
    </w:rPr>
  </w:style>
  <w:style w:type="character" w:styleId="SubtleReference">
    <w:name w:val="Subtle Reference"/>
    <w:basedOn w:val="DefaultParagraphFont"/>
    <w:uiPriority w:val="31"/>
    <w:qFormat/>
    <w:rsid w:val="00856D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56D8E"/>
    <w:rPr>
      <w:b/>
      <w:bCs/>
      <w:smallCaps/>
      <w:color w:val="44546A" w:themeColor="text2"/>
      <w:u w:val="single"/>
    </w:rPr>
  </w:style>
  <w:style w:type="character" w:styleId="BookTitle">
    <w:name w:val="Book Title"/>
    <w:basedOn w:val="DefaultParagraphFont"/>
    <w:uiPriority w:val="33"/>
    <w:qFormat/>
    <w:rsid w:val="00856D8E"/>
    <w:rPr>
      <w:b/>
      <w:bCs/>
      <w:smallCaps/>
      <w:spacing w:val="10"/>
    </w:rPr>
  </w:style>
  <w:style w:type="paragraph" w:styleId="TOCHeading">
    <w:name w:val="TOC Heading"/>
    <w:basedOn w:val="Heading1"/>
    <w:next w:val="Normal"/>
    <w:uiPriority w:val="39"/>
    <w:unhideWhenUsed/>
    <w:qFormat/>
    <w:rsid w:val="00856D8E"/>
    <w:pPr>
      <w:outlineLvl w:val="9"/>
    </w:pPr>
  </w:style>
  <w:style w:type="paragraph" w:customStyle="1" w:styleId="IENormal">
    <w:name w:val="IE_Normal"/>
    <w:basedOn w:val="Normal"/>
    <w:rsid w:val="00856D8E"/>
    <w:rPr>
      <w:noProof/>
    </w:rPr>
  </w:style>
  <w:style w:type="paragraph" w:customStyle="1" w:styleId="IETitle">
    <w:name w:val="IE_Title"/>
    <w:basedOn w:val="Normal"/>
    <w:rsid w:val="00856D8E"/>
    <w:pPr>
      <w:spacing w:before="400" w:after="120" w:line="720" w:lineRule="exact"/>
      <w:contextualSpacing/>
    </w:pPr>
    <w:rPr>
      <w:rFonts w:ascii="Calibri" w:eastAsiaTheme="majorEastAsia" w:hAnsi="Calibri" w:cstheme="majorBidi"/>
      <w:color w:val="1E3D6B"/>
      <w:spacing w:val="5"/>
      <w:sz w:val="60"/>
      <w:szCs w:val="52"/>
    </w:rPr>
  </w:style>
  <w:style w:type="paragraph" w:customStyle="1" w:styleId="IEHeading1">
    <w:name w:val="IE_Heading 1"/>
    <w:basedOn w:val="Heading1"/>
    <w:rsid w:val="00856D8E"/>
    <w:pPr>
      <w:keepNext w:val="0"/>
      <w:keepLines w:val="0"/>
      <w:spacing w:after="240"/>
      <w:contextualSpacing/>
    </w:pPr>
    <w:rPr>
      <w:rFonts w:ascii="Calibri" w:hAnsi="Calibri"/>
      <w:b/>
      <w:bCs/>
      <w:color w:val="003155"/>
      <w:szCs w:val="28"/>
    </w:rPr>
  </w:style>
  <w:style w:type="paragraph" w:customStyle="1" w:styleId="IEHeading2">
    <w:name w:val="IE_Heading 2"/>
    <w:basedOn w:val="Heading2"/>
    <w:rsid w:val="00856D8E"/>
    <w:pPr>
      <w:keepNext w:val="0"/>
      <w:keepLines w:val="0"/>
      <w:spacing w:before="200"/>
    </w:pPr>
    <w:rPr>
      <w:rFonts w:ascii="Calibri" w:hAnsi="Calibri"/>
      <w:b/>
      <w:bCs/>
      <w:color w:val="003155"/>
      <w:sz w:val="28"/>
    </w:rPr>
  </w:style>
  <w:style w:type="paragraph" w:customStyle="1" w:styleId="IEMeetingTypeAudience">
    <w:name w:val="IE_Meeting Type/Audience"/>
    <w:basedOn w:val="IETitle"/>
    <w:rsid w:val="00856D8E"/>
    <w:pPr>
      <w:jc w:val="right"/>
    </w:pPr>
    <w:rPr>
      <w:color w:val="E7E6E6" w:themeColor="background2"/>
      <w:sz w:val="32"/>
    </w:rPr>
  </w:style>
  <w:style w:type="paragraph" w:customStyle="1" w:styleId="DETIE">
    <w:name w:val="DET IE"/>
    <w:basedOn w:val="Normal"/>
    <w:qFormat/>
    <w:rsid w:val="00856D8E"/>
    <w:rPr>
      <w:b/>
      <w:sz w:val="24"/>
      <w:szCs w:val="24"/>
    </w:rPr>
  </w:style>
  <w:style w:type="paragraph" w:styleId="TOC1">
    <w:name w:val="toc 1"/>
    <w:basedOn w:val="Normal"/>
    <w:next w:val="Normal"/>
    <w:autoRedefine/>
    <w:uiPriority w:val="39"/>
    <w:unhideWhenUsed/>
    <w:rsid w:val="000E2EA6"/>
    <w:pPr>
      <w:spacing w:after="100"/>
    </w:pPr>
  </w:style>
  <w:style w:type="paragraph" w:styleId="TOC2">
    <w:name w:val="toc 2"/>
    <w:basedOn w:val="Normal"/>
    <w:next w:val="Normal"/>
    <w:autoRedefine/>
    <w:uiPriority w:val="39"/>
    <w:unhideWhenUsed/>
    <w:rsid w:val="000E2EA6"/>
    <w:pPr>
      <w:spacing w:after="100"/>
      <w:ind w:left="220"/>
    </w:pPr>
  </w:style>
  <w:style w:type="paragraph" w:styleId="TOC3">
    <w:name w:val="toc 3"/>
    <w:basedOn w:val="Normal"/>
    <w:next w:val="Normal"/>
    <w:autoRedefine/>
    <w:uiPriority w:val="39"/>
    <w:unhideWhenUsed/>
    <w:rsid w:val="000E2EA6"/>
    <w:pPr>
      <w:spacing w:after="100"/>
      <w:ind w:left="440"/>
    </w:pPr>
  </w:style>
  <w:style w:type="character" w:styleId="Hyperlink">
    <w:name w:val="Hyperlink"/>
    <w:basedOn w:val="DefaultParagraphFont"/>
    <w:uiPriority w:val="99"/>
    <w:unhideWhenUsed/>
    <w:rsid w:val="000E2EA6"/>
    <w:rPr>
      <w:color w:val="0563C1" w:themeColor="hyperlink"/>
      <w:u w:val="single"/>
    </w:rPr>
  </w:style>
  <w:style w:type="paragraph" w:styleId="FootnoteText">
    <w:name w:val="footnote text"/>
    <w:basedOn w:val="Normal"/>
    <w:link w:val="FootnoteTextChar"/>
    <w:uiPriority w:val="99"/>
    <w:semiHidden/>
    <w:unhideWhenUsed/>
    <w:rsid w:val="009C3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6E7"/>
    <w:rPr>
      <w:sz w:val="20"/>
      <w:szCs w:val="20"/>
    </w:rPr>
  </w:style>
  <w:style w:type="character" w:styleId="FootnoteReference">
    <w:name w:val="footnote reference"/>
    <w:basedOn w:val="DefaultParagraphFont"/>
    <w:uiPriority w:val="99"/>
    <w:semiHidden/>
    <w:unhideWhenUsed/>
    <w:rsid w:val="009C36E7"/>
    <w:rPr>
      <w:vertAlign w:val="superscript"/>
    </w:rPr>
  </w:style>
  <w:style w:type="paragraph" w:styleId="Revision">
    <w:name w:val="Revision"/>
    <w:hidden/>
    <w:uiPriority w:val="99"/>
    <w:semiHidden/>
    <w:rsid w:val="004C27FF"/>
    <w:pPr>
      <w:spacing w:after="0" w:line="240" w:lineRule="auto"/>
    </w:pPr>
  </w:style>
  <w:style w:type="paragraph" w:styleId="NormalWeb">
    <w:name w:val="Normal (Web)"/>
    <w:basedOn w:val="Normal"/>
    <w:uiPriority w:val="99"/>
    <w:semiHidden/>
    <w:unhideWhenUsed/>
    <w:rsid w:val="00BD5B1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836E4A"/>
    <w:rPr>
      <w:color w:val="808080"/>
    </w:rPr>
  </w:style>
  <w:style w:type="paragraph" w:customStyle="1" w:styleId="Default">
    <w:name w:val="Default"/>
    <w:rsid w:val="00A854F7"/>
    <w:pPr>
      <w:autoSpaceDE w:val="0"/>
      <w:autoSpaceDN w:val="0"/>
      <w:adjustRightInd w:val="0"/>
      <w:spacing w:after="0" w:line="240" w:lineRule="auto"/>
    </w:pPr>
    <w:rPr>
      <w:rFonts w:ascii="Calibri" w:hAnsi="Calibri" w:cs="Calibri"/>
      <w:color w:val="000000"/>
      <w:sz w:val="24"/>
      <w:szCs w:val="24"/>
      <w:lang w:val="en-AU"/>
    </w:rPr>
  </w:style>
  <w:style w:type="table" w:customStyle="1" w:styleId="GridTable4-Accent11">
    <w:name w:val="Grid Table 4 - Accent 11"/>
    <w:basedOn w:val="TableNormal"/>
    <w:uiPriority w:val="49"/>
    <w:rsid w:val="00FC66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FC66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dtitle">
    <w:name w:val="dtitle"/>
    <w:basedOn w:val="DefaultParagraphFont"/>
    <w:rsid w:val="006327A8"/>
  </w:style>
  <w:style w:type="character" w:styleId="FollowedHyperlink">
    <w:name w:val="FollowedHyperlink"/>
    <w:basedOn w:val="DefaultParagraphFont"/>
    <w:uiPriority w:val="99"/>
    <w:semiHidden/>
    <w:unhideWhenUsed/>
    <w:rsid w:val="00A61DAE"/>
    <w:rPr>
      <w:color w:val="954F72" w:themeColor="followedHyperlink"/>
      <w:u w:val="single"/>
    </w:rPr>
  </w:style>
  <w:style w:type="table" w:styleId="TableGrid">
    <w:name w:val="Table Grid"/>
    <w:aliases w:val="INT_Glossary"/>
    <w:basedOn w:val="TableNormal"/>
    <w:uiPriority w:val="59"/>
    <w:rsid w:val="00FA16E2"/>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46A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uiPriority w:val="59"/>
    <w:rsid w:val="00CF46A5"/>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B1F53"/>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B1F53"/>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6B1F53"/>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6B1F53"/>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1">
    <w:name w:val="Document head 1"/>
    <w:basedOn w:val="Normal"/>
    <w:link w:val="Documenthead1Char"/>
    <w:rsid w:val="00BD1DF3"/>
    <w:pPr>
      <w:spacing w:after="0" w:line="240" w:lineRule="auto"/>
    </w:pPr>
    <w:rPr>
      <w:rFonts w:ascii="Kozuka Gothic Pro M" w:eastAsia="Kozuka Gothic Pro M" w:hAnsi="Kozuka Gothic Pro M" w:cs="Mangal"/>
      <w:color w:val="C00000"/>
      <w:sz w:val="32"/>
      <w:lang w:val="en-AU"/>
    </w:rPr>
  </w:style>
  <w:style w:type="character" w:customStyle="1" w:styleId="Documenthead1Char">
    <w:name w:val="Document head 1 Char"/>
    <w:basedOn w:val="DefaultParagraphFont"/>
    <w:link w:val="Documenthead1"/>
    <w:rsid w:val="00BD1DF3"/>
    <w:rPr>
      <w:rFonts w:ascii="Kozuka Gothic Pro M" w:eastAsia="Kozuka Gothic Pro M" w:hAnsi="Kozuka Gothic Pro M" w:cs="Mangal"/>
      <w:color w:val="C00000"/>
      <w:sz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980">
      <w:bodyDiv w:val="1"/>
      <w:marLeft w:val="0"/>
      <w:marRight w:val="0"/>
      <w:marTop w:val="0"/>
      <w:marBottom w:val="0"/>
      <w:divBdr>
        <w:top w:val="none" w:sz="0" w:space="0" w:color="auto"/>
        <w:left w:val="none" w:sz="0" w:space="0" w:color="auto"/>
        <w:bottom w:val="none" w:sz="0" w:space="0" w:color="auto"/>
        <w:right w:val="none" w:sz="0" w:space="0" w:color="auto"/>
      </w:divBdr>
    </w:div>
    <w:div w:id="189756627">
      <w:bodyDiv w:val="1"/>
      <w:marLeft w:val="0"/>
      <w:marRight w:val="0"/>
      <w:marTop w:val="0"/>
      <w:marBottom w:val="0"/>
      <w:divBdr>
        <w:top w:val="none" w:sz="0" w:space="0" w:color="auto"/>
        <w:left w:val="none" w:sz="0" w:space="0" w:color="auto"/>
        <w:bottom w:val="none" w:sz="0" w:space="0" w:color="auto"/>
        <w:right w:val="none" w:sz="0" w:space="0" w:color="auto"/>
      </w:divBdr>
    </w:div>
    <w:div w:id="283736406">
      <w:bodyDiv w:val="1"/>
      <w:marLeft w:val="0"/>
      <w:marRight w:val="0"/>
      <w:marTop w:val="0"/>
      <w:marBottom w:val="0"/>
      <w:divBdr>
        <w:top w:val="none" w:sz="0" w:space="0" w:color="auto"/>
        <w:left w:val="none" w:sz="0" w:space="0" w:color="auto"/>
        <w:bottom w:val="none" w:sz="0" w:space="0" w:color="auto"/>
        <w:right w:val="none" w:sz="0" w:space="0" w:color="auto"/>
      </w:divBdr>
    </w:div>
    <w:div w:id="291978874">
      <w:bodyDiv w:val="1"/>
      <w:marLeft w:val="0"/>
      <w:marRight w:val="0"/>
      <w:marTop w:val="0"/>
      <w:marBottom w:val="0"/>
      <w:divBdr>
        <w:top w:val="none" w:sz="0" w:space="0" w:color="auto"/>
        <w:left w:val="none" w:sz="0" w:space="0" w:color="auto"/>
        <w:bottom w:val="none" w:sz="0" w:space="0" w:color="auto"/>
        <w:right w:val="none" w:sz="0" w:space="0" w:color="auto"/>
      </w:divBdr>
    </w:div>
    <w:div w:id="353462554">
      <w:bodyDiv w:val="1"/>
      <w:marLeft w:val="0"/>
      <w:marRight w:val="0"/>
      <w:marTop w:val="0"/>
      <w:marBottom w:val="0"/>
      <w:divBdr>
        <w:top w:val="none" w:sz="0" w:space="0" w:color="auto"/>
        <w:left w:val="none" w:sz="0" w:space="0" w:color="auto"/>
        <w:bottom w:val="none" w:sz="0" w:space="0" w:color="auto"/>
        <w:right w:val="none" w:sz="0" w:space="0" w:color="auto"/>
      </w:divBdr>
    </w:div>
    <w:div w:id="385035484">
      <w:bodyDiv w:val="1"/>
      <w:marLeft w:val="0"/>
      <w:marRight w:val="0"/>
      <w:marTop w:val="0"/>
      <w:marBottom w:val="0"/>
      <w:divBdr>
        <w:top w:val="none" w:sz="0" w:space="0" w:color="auto"/>
        <w:left w:val="none" w:sz="0" w:space="0" w:color="auto"/>
        <w:bottom w:val="none" w:sz="0" w:space="0" w:color="auto"/>
        <w:right w:val="none" w:sz="0" w:space="0" w:color="auto"/>
      </w:divBdr>
    </w:div>
    <w:div w:id="393815353">
      <w:bodyDiv w:val="1"/>
      <w:marLeft w:val="0"/>
      <w:marRight w:val="0"/>
      <w:marTop w:val="0"/>
      <w:marBottom w:val="0"/>
      <w:divBdr>
        <w:top w:val="none" w:sz="0" w:space="0" w:color="auto"/>
        <w:left w:val="none" w:sz="0" w:space="0" w:color="auto"/>
        <w:bottom w:val="none" w:sz="0" w:space="0" w:color="auto"/>
        <w:right w:val="none" w:sz="0" w:space="0" w:color="auto"/>
      </w:divBdr>
    </w:div>
    <w:div w:id="413672236">
      <w:bodyDiv w:val="1"/>
      <w:marLeft w:val="0"/>
      <w:marRight w:val="0"/>
      <w:marTop w:val="0"/>
      <w:marBottom w:val="0"/>
      <w:divBdr>
        <w:top w:val="none" w:sz="0" w:space="0" w:color="auto"/>
        <w:left w:val="none" w:sz="0" w:space="0" w:color="auto"/>
        <w:bottom w:val="none" w:sz="0" w:space="0" w:color="auto"/>
        <w:right w:val="none" w:sz="0" w:space="0" w:color="auto"/>
      </w:divBdr>
    </w:div>
    <w:div w:id="456804068">
      <w:bodyDiv w:val="1"/>
      <w:marLeft w:val="0"/>
      <w:marRight w:val="0"/>
      <w:marTop w:val="0"/>
      <w:marBottom w:val="0"/>
      <w:divBdr>
        <w:top w:val="none" w:sz="0" w:space="0" w:color="auto"/>
        <w:left w:val="none" w:sz="0" w:space="0" w:color="auto"/>
        <w:bottom w:val="none" w:sz="0" w:space="0" w:color="auto"/>
        <w:right w:val="none" w:sz="0" w:space="0" w:color="auto"/>
      </w:divBdr>
    </w:div>
    <w:div w:id="478377409">
      <w:bodyDiv w:val="1"/>
      <w:marLeft w:val="0"/>
      <w:marRight w:val="0"/>
      <w:marTop w:val="0"/>
      <w:marBottom w:val="0"/>
      <w:divBdr>
        <w:top w:val="none" w:sz="0" w:space="0" w:color="auto"/>
        <w:left w:val="none" w:sz="0" w:space="0" w:color="auto"/>
        <w:bottom w:val="none" w:sz="0" w:space="0" w:color="auto"/>
        <w:right w:val="none" w:sz="0" w:space="0" w:color="auto"/>
      </w:divBdr>
    </w:div>
    <w:div w:id="480661817">
      <w:bodyDiv w:val="1"/>
      <w:marLeft w:val="0"/>
      <w:marRight w:val="0"/>
      <w:marTop w:val="0"/>
      <w:marBottom w:val="0"/>
      <w:divBdr>
        <w:top w:val="none" w:sz="0" w:space="0" w:color="auto"/>
        <w:left w:val="none" w:sz="0" w:space="0" w:color="auto"/>
        <w:bottom w:val="none" w:sz="0" w:space="0" w:color="auto"/>
        <w:right w:val="none" w:sz="0" w:space="0" w:color="auto"/>
      </w:divBdr>
    </w:div>
    <w:div w:id="486365428">
      <w:bodyDiv w:val="1"/>
      <w:marLeft w:val="0"/>
      <w:marRight w:val="0"/>
      <w:marTop w:val="0"/>
      <w:marBottom w:val="0"/>
      <w:divBdr>
        <w:top w:val="none" w:sz="0" w:space="0" w:color="auto"/>
        <w:left w:val="none" w:sz="0" w:space="0" w:color="auto"/>
        <w:bottom w:val="none" w:sz="0" w:space="0" w:color="auto"/>
        <w:right w:val="none" w:sz="0" w:space="0" w:color="auto"/>
      </w:divBdr>
    </w:div>
    <w:div w:id="520552725">
      <w:bodyDiv w:val="1"/>
      <w:marLeft w:val="0"/>
      <w:marRight w:val="0"/>
      <w:marTop w:val="0"/>
      <w:marBottom w:val="0"/>
      <w:divBdr>
        <w:top w:val="none" w:sz="0" w:space="0" w:color="auto"/>
        <w:left w:val="none" w:sz="0" w:space="0" w:color="auto"/>
        <w:bottom w:val="none" w:sz="0" w:space="0" w:color="auto"/>
        <w:right w:val="none" w:sz="0" w:space="0" w:color="auto"/>
      </w:divBdr>
    </w:div>
    <w:div w:id="560553656">
      <w:bodyDiv w:val="1"/>
      <w:marLeft w:val="0"/>
      <w:marRight w:val="0"/>
      <w:marTop w:val="0"/>
      <w:marBottom w:val="0"/>
      <w:divBdr>
        <w:top w:val="none" w:sz="0" w:space="0" w:color="auto"/>
        <w:left w:val="none" w:sz="0" w:space="0" w:color="auto"/>
        <w:bottom w:val="none" w:sz="0" w:space="0" w:color="auto"/>
        <w:right w:val="none" w:sz="0" w:space="0" w:color="auto"/>
      </w:divBdr>
    </w:div>
    <w:div w:id="613710603">
      <w:bodyDiv w:val="1"/>
      <w:marLeft w:val="0"/>
      <w:marRight w:val="0"/>
      <w:marTop w:val="0"/>
      <w:marBottom w:val="0"/>
      <w:divBdr>
        <w:top w:val="none" w:sz="0" w:space="0" w:color="auto"/>
        <w:left w:val="none" w:sz="0" w:space="0" w:color="auto"/>
        <w:bottom w:val="none" w:sz="0" w:space="0" w:color="auto"/>
        <w:right w:val="none" w:sz="0" w:space="0" w:color="auto"/>
      </w:divBdr>
    </w:div>
    <w:div w:id="620037369">
      <w:bodyDiv w:val="1"/>
      <w:marLeft w:val="0"/>
      <w:marRight w:val="0"/>
      <w:marTop w:val="0"/>
      <w:marBottom w:val="0"/>
      <w:divBdr>
        <w:top w:val="none" w:sz="0" w:space="0" w:color="auto"/>
        <w:left w:val="none" w:sz="0" w:space="0" w:color="auto"/>
        <w:bottom w:val="none" w:sz="0" w:space="0" w:color="auto"/>
        <w:right w:val="none" w:sz="0" w:space="0" w:color="auto"/>
      </w:divBdr>
    </w:div>
    <w:div w:id="648169456">
      <w:bodyDiv w:val="1"/>
      <w:marLeft w:val="0"/>
      <w:marRight w:val="0"/>
      <w:marTop w:val="0"/>
      <w:marBottom w:val="0"/>
      <w:divBdr>
        <w:top w:val="none" w:sz="0" w:space="0" w:color="auto"/>
        <w:left w:val="none" w:sz="0" w:space="0" w:color="auto"/>
        <w:bottom w:val="none" w:sz="0" w:space="0" w:color="auto"/>
        <w:right w:val="none" w:sz="0" w:space="0" w:color="auto"/>
      </w:divBdr>
    </w:div>
    <w:div w:id="730464944">
      <w:bodyDiv w:val="1"/>
      <w:marLeft w:val="0"/>
      <w:marRight w:val="0"/>
      <w:marTop w:val="0"/>
      <w:marBottom w:val="0"/>
      <w:divBdr>
        <w:top w:val="none" w:sz="0" w:space="0" w:color="auto"/>
        <w:left w:val="none" w:sz="0" w:space="0" w:color="auto"/>
        <w:bottom w:val="none" w:sz="0" w:space="0" w:color="auto"/>
        <w:right w:val="none" w:sz="0" w:space="0" w:color="auto"/>
      </w:divBdr>
    </w:div>
    <w:div w:id="731513053">
      <w:bodyDiv w:val="1"/>
      <w:marLeft w:val="0"/>
      <w:marRight w:val="0"/>
      <w:marTop w:val="0"/>
      <w:marBottom w:val="0"/>
      <w:divBdr>
        <w:top w:val="none" w:sz="0" w:space="0" w:color="auto"/>
        <w:left w:val="none" w:sz="0" w:space="0" w:color="auto"/>
        <w:bottom w:val="none" w:sz="0" w:space="0" w:color="auto"/>
        <w:right w:val="none" w:sz="0" w:space="0" w:color="auto"/>
      </w:divBdr>
    </w:div>
    <w:div w:id="760760112">
      <w:bodyDiv w:val="1"/>
      <w:marLeft w:val="0"/>
      <w:marRight w:val="0"/>
      <w:marTop w:val="0"/>
      <w:marBottom w:val="0"/>
      <w:divBdr>
        <w:top w:val="none" w:sz="0" w:space="0" w:color="auto"/>
        <w:left w:val="none" w:sz="0" w:space="0" w:color="auto"/>
        <w:bottom w:val="none" w:sz="0" w:space="0" w:color="auto"/>
        <w:right w:val="none" w:sz="0" w:space="0" w:color="auto"/>
      </w:divBdr>
    </w:div>
    <w:div w:id="865021004">
      <w:bodyDiv w:val="1"/>
      <w:marLeft w:val="0"/>
      <w:marRight w:val="0"/>
      <w:marTop w:val="0"/>
      <w:marBottom w:val="0"/>
      <w:divBdr>
        <w:top w:val="none" w:sz="0" w:space="0" w:color="auto"/>
        <w:left w:val="none" w:sz="0" w:space="0" w:color="auto"/>
        <w:bottom w:val="none" w:sz="0" w:space="0" w:color="auto"/>
        <w:right w:val="none" w:sz="0" w:space="0" w:color="auto"/>
      </w:divBdr>
    </w:div>
    <w:div w:id="1039089596">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097170165">
      <w:bodyDiv w:val="1"/>
      <w:marLeft w:val="0"/>
      <w:marRight w:val="0"/>
      <w:marTop w:val="0"/>
      <w:marBottom w:val="0"/>
      <w:divBdr>
        <w:top w:val="none" w:sz="0" w:space="0" w:color="auto"/>
        <w:left w:val="none" w:sz="0" w:space="0" w:color="auto"/>
        <w:bottom w:val="none" w:sz="0" w:space="0" w:color="auto"/>
        <w:right w:val="none" w:sz="0" w:space="0" w:color="auto"/>
      </w:divBdr>
    </w:div>
    <w:div w:id="1108504237">
      <w:bodyDiv w:val="1"/>
      <w:marLeft w:val="0"/>
      <w:marRight w:val="0"/>
      <w:marTop w:val="0"/>
      <w:marBottom w:val="0"/>
      <w:divBdr>
        <w:top w:val="none" w:sz="0" w:space="0" w:color="auto"/>
        <w:left w:val="none" w:sz="0" w:space="0" w:color="auto"/>
        <w:bottom w:val="none" w:sz="0" w:space="0" w:color="auto"/>
        <w:right w:val="none" w:sz="0" w:space="0" w:color="auto"/>
      </w:divBdr>
    </w:div>
    <w:div w:id="1149860782">
      <w:bodyDiv w:val="1"/>
      <w:marLeft w:val="0"/>
      <w:marRight w:val="0"/>
      <w:marTop w:val="0"/>
      <w:marBottom w:val="0"/>
      <w:divBdr>
        <w:top w:val="none" w:sz="0" w:space="0" w:color="auto"/>
        <w:left w:val="none" w:sz="0" w:space="0" w:color="auto"/>
        <w:bottom w:val="none" w:sz="0" w:space="0" w:color="auto"/>
        <w:right w:val="none" w:sz="0" w:space="0" w:color="auto"/>
      </w:divBdr>
    </w:div>
    <w:div w:id="1151629877">
      <w:bodyDiv w:val="1"/>
      <w:marLeft w:val="0"/>
      <w:marRight w:val="0"/>
      <w:marTop w:val="0"/>
      <w:marBottom w:val="0"/>
      <w:divBdr>
        <w:top w:val="none" w:sz="0" w:space="0" w:color="auto"/>
        <w:left w:val="none" w:sz="0" w:space="0" w:color="auto"/>
        <w:bottom w:val="none" w:sz="0" w:space="0" w:color="auto"/>
        <w:right w:val="none" w:sz="0" w:space="0" w:color="auto"/>
      </w:divBdr>
    </w:div>
    <w:div w:id="1229920263">
      <w:bodyDiv w:val="1"/>
      <w:marLeft w:val="0"/>
      <w:marRight w:val="0"/>
      <w:marTop w:val="0"/>
      <w:marBottom w:val="0"/>
      <w:divBdr>
        <w:top w:val="none" w:sz="0" w:space="0" w:color="auto"/>
        <w:left w:val="none" w:sz="0" w:space="0" w:color="auto"/>
        <w:bottom w:val="none" w:sz="0" w:space="0" w:color="auto"/>
        <w:right w:val="none" w:sz="0" w:space="0" w:color="auto"/>
      </w:divBdr>
    </w:div>
    <w:div w:id="1254389317">
      <w:bodyDiv w:val="1"/>
      <w:marLeft w:val="0"/>
      <w:marRight w:val="0"/>
      <w:marTop w:val="0"/>
      <w:marBottom w:val="0"/>
      <w:divBdr>
        <w:top w:val="none" w:sz="0" w:space="0" w:color="auto"/>
        <w:left w:val="none" w:sz="0" w:space="0" w:color="auto"/>
        <w:bottom w:val="none" w:sz="0" w:space="0" w:color="auto"/>
        <w:right w:val="none" w:sz="0" w:space="0" w:color="auto"/>
      </w:divBdr>
    </w:div>
    <w:div w:id="1281377221">
      <w:bodyDiv w:val="1"/>
      <w:marLeft w:val="0"/>
      <w:marRight w:val="0"/>
      <w:marTop w:val="0"/>
      <w:marBottom w:val="0"/>
      <w:divBdr>
        <w:top w:val="none" w:sz="0" w:space="0" w:color="auto"/>
        <w:left w:val="none" w:sz="0" w:space="0" w:color="auto"/>
        <w:bottom w:val="none" w:sz="0" w:space="0" w:color="auto"/>
        <w:right w:val="none" w:sz="0" w:space="0" w:color="auto"/>
      </w:divBdr>
    </w:div>
    <w:div w:id="1309480754">
      <w:bodyDiv w:val="1"/>
      <w:marLeft w:val="0"/>
      <w:marRight w:val="0"/>
      <w:marTop w:val="0"/>
      <w:marBottom w:val="0"/>
      <w:divBdr>
        <w:top w:val="none" w:sz="0" w:space="0" w:color="auto"/>
        <w:left w:val="none" w:sz="0" w:space="0" w:color="auto"/>
        <w:bottom w:val="none" w:sz="0" w:space="0" w:color="auto"/>
        <w:right w:val="none" w:sz="0" w:space="0" w:color="auto"/>
      </w:divBdr>
      <w:divsChild>
        <w:div w:id="733161720">
          <w:marLeft w:val="0"/>
          <w:marRight w:val="0"/>
          <w:marTop w:val="0"/>
          <w:marBottom w:val="0"/>
          <w:divBdr>
            <w:top w:val="none" w:sz="0" w:space="0" w:color="auto"/>
            <w:left w:val="none" w:sz="0" w:space="0" w:color="auto"/>
            <w:bottom w:val="none" w:sz="0" w:space="0" w:color="auto"/>
            <w:right w:val="none" w:sz="0" w:space="0" w:color="auto"/>
          </w:divBdr>
          <w:divsChild>
            <w:div w:id="682901089">
              <w:marLeft w:val="0"/>
              <w:marRight w:val="0"/>
              <w:marTop w:val="0"/>
              <w:marBottom w:val="0"/>
              <w:divBdr>
                <w:top w:val="none" w:sz="0" w:space="0" w:color="auto"/>
                <w:left w:val="none" w:sz="0" w:space="0" w:color="auto"/>
                <w:bottom w:val="none" w:sz="0" w:space="0" w:color="auto"/>
                <w:right w:val="none" w:sz="0" w:space="0" w:color="auto"/>
              </w:divBdr>
              <w:divsChild>
                <w:div w:id="664210554">
                  <w:marLeft w:val="0"/>
                  <w:marRight w:val="0"/>
                  <w:marTop w:val="0"/>
                  <w:marBottom w:val="0"/>
                  <w:divBdr>
                    <w:top w:val="none" w:sz="0" w:space="0" w:color="auto"/>
                    <w:left w:val="none" w:sz="0" w:space="0" w:color="auto"/>
                    <w:bottom w:val="none" w:sz="0" w:space="0" w:color="auto"/>
                    <w:right w:val="none" w:sz="0" w:space="0" w:color="auto"/>
                  </w:divBdr>
                  <w:divsChild>
                    <w:div w:id="614024551">
                      <w:marLeft w:val="0"/>
                      <w:marRight w:val="0"/>
                      <w:marTop w:val="0"/>
                      <w:marBottom w:val="0"/>
                      <w:divBdr>
                        <w:top w:val="none" w:sz="0" w:space="0" w:color="auto"/>
                        <w:left w:val="none" w:sz="0" w:space="0" w:color="auto"/>
                        <w:bottom w:val="none" w:sz="0" w:space="0" w:color="auto"/>
                        <w:right w:val="none" w:sz="0" w:space="0" w:color="auto"/>
                      </w:divBdr>
                      <w:divsChild>
                        <w:div w:id="1809009563">
                          <w:marLeft w:val="0"/>
                          <w:marRight w:val="0"/>
                          <w:marTop w:val="0"/>
                          <w:marBottom w:val="0"/>
                          <w:divBdr>
                            <w:top w:val="none" w:sz="0" w:space="0" w:color="auto"/>
                            <w:left w:val="none" w:sz="0" w:space="0" w:color="auto"/>
                            <w:bottom w:val="none" w:sz="0" w:space="0" w:color="auto"/>
                            <w:right w:val="none" w:sz="0" w:space="0" w:color="auto"/>
                          </w:divBdr>
                          <w:divsChild>
                            <w:div w:id="450443537">
                              <w:marLeft w:val="0"/>
                              <w:marRight w:val="0"/>
                              <w:marTop w:val="0"/>
                              <w:marBottom w:val="0"/>
                              <w:divBdr>
                                <w:top w:val="none" w:sz="0" w:space="0" w:color="auto"/>
                                <w:left w:val="none" w:sz="0" w:space="0" w:color="auto"/>
                                <w:bottom w:val="none" w:sz="0" w:space="0" w:color="auto"/>
                                <w:right w:val="none" w:sz="0" w:space="0" w:color="auto"/>
                              </w:divBdr>
                              <w:divsChild>
                                <w:div w:id="2022507748">
                                  <w:marLeft w:val="0"/>
                                  <w:marRight w:val="0"/>
                                  <w:marTop w:val="0"/>
                                  <w:marBottom w:val="0"/>
                                  <w:divBdr>
                                    <w:top w:val="none" w:sz="0" w:space="0" w:color="auto"/>
                                    <w:left w:val="none" w:sz="0" w:space="0" w:color="auto"/>
                                    <w:bottom w:val="none" w:sz="0" w:space="0" w:color="auto"/>
                                    <w:right w:val="none" w:sz="0" w:space="0" w:color="auto"/>
                                  </w:divBdr>
                                  <w:divsChild>
                                    <w:div w:id="877088336">
                                      <w:marLeft w:val="0"/>
                                      <w:marRight w:val="0"/>
                                      <w:marTop w:val="0"/>
                                      <w:marBottom w:val="0"/>
                                      <w:divBdr>
                                        <w:top w:val="none" w:sz="0" w:space="0" w:color="auto"/>
                                        <w:left w:val="none" w:sz="0" w:space="0" w:color="auto"/>
                                        <w:bottom w:val="none" w:sz="0" w:space="0" w:color="auto"/>
                                        <w:right w:val="none" w:sz="0" w:space="0" w:color="auto"/>
                                      </w:divBdr>
                                      <w:divsChild>
                                        <w:div w:id="298417672">
                                          <w:marLeft w:val="0"/>
                                          <w:marRight w:val="0"/>
                                          <w:marTop w:val="0"/>
                                          <w:marBottom w:val="0"/>
                                          <w:divBdr>
                                            <w:top w:val="none" w:sz="0" w:space="0" w:color="auto"/>
                                            <w:left w:val="none" w:sz="0" w:space="0" w:color="auto"/>
                                            <w:bottom w:val="none" w:sz="0" w:space="0" w:color="auto"/>
                                            <w:right w:val="none" w:sz="0" w:space="0" w:color="auto"/>
                                          </w:divBdr>
                                          <w:divsChild>
                                            <w:div w:id="162740999">
                                              <w:marLeft w:val="0"/>
                                              <w:marRight w:val="0"/>
                                              <w:marTop w:val="0"/>
                                              <w:marBottom w:val="0"/>
                                              <w:divBdr>
                                                <w:top w:val="none" w:sz="0" w:space="0" w:color="auto"/>
                                                <w:left w:val="none" w:sz="0" w:space="0" w:color="auto"/>
                                                <w:bottom w:val="none" w:sz="0" w:space="0" w:color="auto"/>
                                                <w:right w:val="none" w:sz="0" w:space="0" w:color="auto"/>
                                              </w:divBdr>
                                              <w:divsChild>
                                                <w:div w:id="1931542655">
                                                  <w:marLeft w:val="0"/>
                                                  <w:marRight w:val="0"/>
                                                  <w:marTop w:val="0"/>
                                                  <w:marBottom w:val="0"/>
                                                  <w:divBdr>
                                                    <w:top w:val="none" w:sz="0" w:space="0" w:color="auto"/>
                                                    <w:left w:val="none" w:sz="0" w:space="0" w:color="auto"/>
                                                    <w:bottom w:val="none" w:sz="0" w:space="0" w:color="auto"/>
                                                    <w:right w:val="none" w:sz="0" w:space="0" w:color="auto"/>
                                                  </w:divBdr>
                                                  <w:divsChild>
                                                    <w:div w:id="206917240">
                                                      <w:marLeft w:val="0"/>
                                                      <w:marRight w:val="0"/>
                                                      <w:marTop w:val="0"/>
                                                      <w:marBottom w:val="0"/>
                                                      <w:divBdr>
                                                        <w:top w:val="none" w:sz="0" w:space="0" w:color="auto"/>
                                                        <w:left w:val="none" w:sz="0" w:space="0" w:color="auto"/>
                                                        <w:bottom w:val="none" w:sz="0" w:space="0" w:color="auto"/>
                                                        <w:right w:val="none" w:sz="0" w:space="0" w:color="auto"/>
                                                      </w:divBdr>
                                                      <w:divsChild>
                                                        <w:div w:id="12347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13495">
      <w:bodyDiv w:val="1"/>
      <w:marLeft w:val="0"/>
      <w:marRight w:val="0"/>
      <w:marTop w:val="0"/>
      <w:marBottom w:val="0"/>
      <w:divBdr>
        <w:top w:val="none" w:sz="0" w:space="0" w:color="auto"/>
        <w:left w:val="none" w:sz="0" w:space="0" w:color="auto"/>
        <w:bottom w:val="none" w:sz="0" w:space="0" w:color="auto"/>
        <w:right w:val="none" w:sz="0" w:space="0" w:color="auto"/>
      </w:divBdr>
    </w:div>
    <w:div w:id="1452741665">
      <w:bodyDiv w:val="1"/>
      <w:marLeft w:val="0"/>
      <w:marRight w:val="0"/>
      <w:marTop w:val="0"/>
      <w:marBottom w:val="0"/>
      <w:divBdr>
        <w:top w:val="none" w:sz="0" w:space="0" w:color="auto"/>
        <w:left w:val="none" w:sz="0" w:space="0" w:color="auto"/>
        <w:bottom w:val="none" w:sz="0" w:space="0" w:color="auto"/>
        <w:right w:val="none" w:sz="0" w:space="0" w:color="auto"/>
      </w:divBdr>
    </w:div>
    <w:div w:id="1473673694">
      <w:bodyDiv w:val="1"/>
      <w:marLeft w:val="0"/>
      <w:marRight w:val="0"/>
      <w:marTop w:val="0"/>
      <w:marBottom w:val="0"/>
      <w:divBdr>
        <w:top w:val="none" w:sz="0" w:space="0" w:color="auto"/>
        <w:left w:val="none" w:sz="0" w:space="0" w:color="auto"/>
        <w:bottom w:val="none" w:sz="0" w:space="0" w:color="auto"/>
        <w:right w:val="none" w:sz="0" w:space="0" w:color="auto"/>
      </w:divBdr>
    </w:div>
    <w:div w:id="1628857466">
      <w:bodyDiv w:val="1"/>
      <w:marLeft w:val="0"/>
      <w:marRight w:val="0"/>
      <w:marTop w:val="0"/>
      <w:marBottom w:val="0"/>
      <w:divBdr>
        <w:top w:val="none" w:sz="0" w:space="0" w:color="auto"/>
        <w:left w:val="none" w:sz="0" w:space="0" w:color="auto"/>
        <w:bottom w:val="none" w:sz="0" w:space="0" w:color="auto"/>
        <w:right w:val="none" w:sz="0" w:space="0" w:color="auto"/>
      </w:divBdr>
    </w:div>
    <w:div w:id="1659964448">
      <w:bodyDiv w:val="1"/>
      <w:marLeft w:val="0"/>
      <w:marRight w:val="0"/>
      <w:marTop w:val="0"/>
      <w:marBottom w:val="0"/>
      <w:divBdr>
        <w:top w:val="none" w:sz="0" w:space="0" w:color="auto"/>
        <w:left w:val="none" w:sz="0" w:space="0" w:color="auto"/>
        <w:bottom w:val="none" w:sz="0" w:space="0" w:color="auto"/>
        <w:right w:val="none" w:sz="0" w:space="0" w:color="auto"/>
      </w:divBdr>
    </w:div>
    <w:div w:id="1690982376">
      <w:bodyDiv w:val="1"/>
      <w:marLeft w:val="0"/>
      <w:marRight w:val="0"/>
      <w:marTop w:val="0"/>
      <w:marBottom w:val="0"/>
      <w:divBdr>
        <w:top w:val="none" w:sz="0" w:space="0" w:color="auto"/>
        <w:left w:val="none" w:sz="0" w:space="0" w:color="auto"/>
        <w:bottom w:val="none" w:sz="0" w:space="0" w:color="auto"/>
        <w:right w:val="none" w:sz="0" w:space="0" w:color="auto"/>
      </w:divBdr>
    </w:div>
    <w:div w:id="1691567265">
      <w:bodyDiv w:val="1"/>
      <w:marLeft w:val="0"/>
      <w:marRight w:val="0"/>
      <w:marTop w:val="0"/>
      <w:marBottom w:val="0"/>
      <w:divBdr>
        <w:top w:val="none" w:sz="0" w:space="0" w:color="auto"/>
        <w:left w:val="none" w:sz="0" w:space="0" w:color="auto"/>
        <w:bottom w:val="none" w:sz="0" w:space="0" w:color="auto"/>
        <w:right w:val="none" w:sz="0" w:space="0" w:color="auto"/>
      </w:divBdr>
    </w:div>
    <w:div w:id="1763796368">
      <w:bodyDiv w:val="1"/>
      <w:marLeft w:val="0"/>
      <w:marRight w:val="0"/>
      <w:marTop w:val="0"/>
      <w:marBottom w:val="0"/>
      <w:divBdr>
        <w:top w:val="none" w:sz="0" w:space="0" w:color="auto"/>
        <w:left w:val="none" w:sz="0" w:space="0" w:color="auto"/>
        <w:bottom w:val="none" w:sz="0" w:space="0" w:color="auto"/>
        <w:right w:val="none" w:sz="0" w:space="0" w:color="auto"/>
      </w:divBdr>
    </w:div>
    <w:div w:id="1875842245">
      <w:bodyDiv w:val="1"/>
      <w:marLeft w:val="0"/>
      <w:marRight w:val="0"/>
      <w:marTop w:val="0"/>
      <w:marBottom w:val="0"/>
      <w:divBdr>
        <w:top w:val="none" w:sz="0" w:space="0" w:color="auto"/>
        <w:left w:val="none" w:sz="0" w:space="0" w:color="auto"/>
        <w:bottom w:val="none" w:sz="0" w:space="0" w:color="auto"/>
        <w:right w:val="none" w:sz="0" w:space="0" w:color="auto"/>
      </w:divBdr>
    </w:div>
    <w:div w:id="1896546398">
      <w:bodyDiv w:val="1"/>
      <w:marLeft w:val="0"/>
      <w:marRight w:val="0"/>
      <w:marTop w:val="0"/>
      <w:marBottom w:val="0"/>
      <w:divBdr>
        <w:top w:val="none" w:sz="0" w:space="0" w:color="auto"/>
        <w:left w:val="none" w:sz="0" w:space="0" w:color="auto"/>
        <w:bottom w:val="none" w:sz="0" w:space="0" w:color="auto"/>
        <w:right w:val="none" w:sz="0" w:space="0" w:color="auto"/>
      </w:divBdr>
    </w:div>
    <w:div w:id="1923292357">
      <w:bodyDiv w:val="1"/>
      <w:marLeft w:val="0"/>
      <w:marRight w:val="0"/>
      <w:marTop w:val="0"/>
      <w:marBottom w:val="0"/>
      <w:divBdr>
        <w:top w:val="none" w:sz="0" w:space="0" w:color="auto"/>
        <w:left w:val="none" w:sz="0" w:space="0" w:color="auto"/>
        <w:bottom w:val="none" w:sz="0" w:space="0" w:color="auto"/>
        <w:right w:val="none" w:sz="0" w:space="0" w:color="auto"/>
      </w:divBdr>
    </w:div>
    <w:div w:id="1976065106">
      <w:bodyDiv w:val="1"/>
      <w:marLeft w:val="0"/>
      <w:marRight w:val="0"/>
      <w:marTop w:val="0"/>
      <w:marBottom w:val="0"/>
      <w:divBdr>
        <w:top w:val="none" w:sz="0" w:space="0" w:color="auto"/>
        <w:left w:val="none" w:sz="0" w:space="0" w:color="auto"/>
        <w:bottom w:val="none" w:sz="0" w:space="0" w:color="auto"/>
        <w:right w:val="none" w:sz="0" w:space="0" w:color="auto"/>
      </w:divBdr>
    </w:div>
    <w:div w:id="1986860395">
      <w:bodyDiv w:val="1"/>
      <w:marLeft w:val="0"/>
      <w:marRight w:val="0"/>
      <w:marTop w:val="0"/>
      <w:marBottom w:val="0"/>
      <w:divBdr>
        <w:top w:val="none" w:sz="0" w:space="0" w:color="auto"/>
        <w:left w:val="none" w:sz="0" w:space="0" w:color="auto"/>
        <w:bottom w:val="none" w:sz="0" w:space="0" w:color="auto"/>
        <w:right w:val="none" w:sz="0" w:space="0" w:color="auto"/>
      </w:divBdr>
    </w:div>
    <w:div w:id="1993676714">
      <w:bodyDiv w:val="1"/>
      <w:marLeft w:val="0"/>
      <w:marRight w:val="0"/>
      <w:marTop w:val="0"/>
      <w:marBottom w:val="0"/>
      <w:divBdr>
        <w:top w:val="none" w:sz="0" w:space="0" w:color="auto"/>
        <w:left w:val="none" w:sz="0" w:space="0" w:color="auto"/>
        <w:bottom w:val="none" w:sz="0" w:space="0" w:color="auto"/>
        <w:right w:val="none" w:sz="0" w:space="0" w:color="auto"/>
      </w:divBdr>
    </w:div>
    <w:div w:id="2076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A64304-1DA7-46F0-B4A6-F33F0C69283C}"/>
</file>

<file path=customXml/itemProps2.xml><?xml version="1.0" encoding="utf-8"?>
<ds:datastoreItem xmlns:ds="http://schemas.openxmlformats.org/officeDocument/2006/customXml" ds:itemID="{95EF4A73-8DDE-495C-89D0-960F1CEEC4C0}"/>
</file>

<file path=customXml/itemProps3.xml><?xml version="1.0" encoding="utf-8"?>
<ds:datastoreItem xmlns:ds="http://schemas.openxmlformats.org/officeDocument/2006/customXml" ds:itemID="{3260F393-D9B5-413E-B815-66E5638DAE98}"/>
</file>

<file path=customXml/itemProps4.xml><?xml version="1.0" encoding="utf-8"?>
<ds:datastoreItem xmlns:ds="http://schemas.openxmlformats.org/officeDocument/2006/customXml" ds:itemID="{86FA9D4D-2317-4006-9A48-D369FECEE9E6}"/>
</file>

<file path=docProps/app.xml><?xml version="1.0" encoding="utf-8"?>
<Properties xmlns="http://schemas.openxmlformats.org/officeDocument/2006/extended-properties" xmlns:vt="http://schemas.openxmlformats.org/officeDocument/2006/docPropsVTypes">
  <Template>A03D9B7E.dotm</Template>
  <TotalTime>413</TotalTime>
  <Pages>26</Pages>
  <Words>10765</Words>
  <Characters>61363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Malins</dc:creator>
  <cp:keywords/>
  <dc:description/>
  <cp:lastModifiedBy>POMROY,Rachel</cp:lastModifiedBy>
  <cp:revision>61</cp:revision>
  <cp:lastPrinted>2018-11-19T22:24:00Z</cp:lastPrinted>
  <dcterms:created xsi:type="dcterms:W3CDTF">2018-11-18T23:19:00Z</dcterms:created>
  <dcterms:modified xsi:type="dcterms:W3CDTF">2018-12-03T00:53:00Z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0x01010030E5B104AA254C408140A94A68F34674</vt:lpwstr>
  </property>
  <property fmtid="{D5CDD505-2E9C-101B-9397-08002B2CF9AE}" pid="3" name="Order">
    <vt:r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