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charts/style2.xml" ContentType="application/vnd.ms-office.chartstyle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olors2.xml" ContentType="application/vnd.ms-office.chartcolorstyle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A9" w:rsidRPr="00D467B8" w:rsidRDefault="00C84F56" w:rsidP="00680F2D">
      <w:pPr>
        <w:pStyle w:val="heading10"/>
        <w:spacing w:after="120"/>
        <w:jc w:val="right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252095</wp:posOffset>
            </wp:positionV>
            <wp:extent cx="684339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526" y="21096"/>
                <wp:lineTo x="21526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9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B38">
        <w:rPr>
          <w:rFonts w:asciiTheme="minorHAnsi" w:hAnsiTheme="minorHAnsi" w:cs="Calibri"/>
          <w:color w:val="000000" w:themeColor="text1"/>
          <w:sz w:val="24"/>
          <w:szCs w:val="24"/>
        </w:rPr>
        <w:t>June</w:t>
      </w:r>
      <w:r w:rsidR="0072347F">
        <w:rPr>
          <w:rFonts w:asciiTheme="minorHAnsi" w:hAnsiTheme="minorHAnsi" w:cs="Calibri"/>
          <w:color w:val="000000" w:themeColor="text1"/>
          <w:sz w:val="24"/>
          <w:szCs w:val="24"/>
        </w:rPr>
        <w:t xml:space="preserve"> 2018</w:t>
      </w:r>
    </w:p>
    <w:p w:rsidR="00AB22FA" w:rsidRPr="00691C99" w:rsidRDefault="00130243" w:rsidP="00B622F9">
      <w:pPr>
        <w:pStyle w:val="heading10"/>
        <w:spacing w:after="200"/>
        <w:rPr>
          <w:rFonts w:asciiTheme="minorHAnsi" w:hAnsiTheme="minorHAnsi" w:cs="Calibri"/>
          <w:color w:val="1F497D" w:themeColor="text2"/>
        </w:rPr>
      </w:pPr>
      <w:r>
        <w:rPr>
          <w:rFonts w:asciiTheme="minorHAnsi" w:hAnsiTheme="minorHAnsi" w:cs="Calibri"/>
          <w:color w:val="1F497D" w:themeColor="text2"/>
        </w:rPr>
        <w:t>Comparison between the UK</w:t>
      </w:r>
      <w:r w:rsidR="00691C99" w:rsidRPr="00691C99">
        <w:rPr>
          <w:rFonts w:asciiTheme="minorHAnsi" w:hAnsiTheme="minorHAnsi" w:cs="Calibri"/>
          <w:color w:val="1F497D" w:themeColor="text2"/>
        </w:rPr>
        <w:t>’s and Australia’s international education sectors</w:t>
      </w:r>
    </w:p>
    <w:p w:rsidR="00E6594F" w:rsidRPr="00024AA2" w:rsidRDefault="00671F68" w:rsidP="000A66C4">
      <w:pPr>
        <w:spacing w:after="120"/>
        <w:jc w:val="both"/>
        <w:rPr>
          <w:rFonts w:asciiTheme="minorHAnsi" w:hAnsiTheme="minorHAnsi" w:cs="Calibri"/>
          <w:color w:val="000000" w:themeColor="text1"/>
          <w:szCs w:val="22"/>
        </w:rPr>
      </w:pP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This snapshot </w:t>
      </w:r>
      <w:r w:rsidR="00CA6C7D" w:rsidRPr="0004008B">
        <w:rPr>
          <w:rFonts w:asciiTheme="minorHAnsi" w:hAnsiTheme="minorHAnsi" w:cs="Calibri"/>
          <w:color w:val="000000" w:themeColor="text1"/>
          <w:szCs w:val="22"/>
        </w:rPr>
        <w:t xml:space="preserve">looks at </w:t>
      </w:r>
      <w:r w:rsidR="0052100A" w:rsidRPr="0004008B">
        <w:rPr>
          <w:rFonts w:asciiTheme="minorHAnsi" w:hAnsiTheme="minorHAnsi" w:cs="Calibri"/>
          <w:color w:val="000000" w:themeColor="text1"/>
          <w:szCs w:val="22"/>
        </w:rPr>
        <w:t xml:space="preserve">the available </w:t>
      </w:r>
      <w:r w:rsidR="008E70AE" w:rsidRPr="0004008B">
        <w:rPr>
          <w:rFonts w:asciiTheme="minorHAnsi" w:hAnsiTheme="minorHAnsi" w:cs="Calibri"/>
          <w:color w:val="000000" w:themeColor="text1"/>
          <w:szCs w:val="22"/>
        </w:rPr>
        <w:t>data</w:t>
      </w:r>
      <w:r w:rsidR="0052100A" w:rsidRPr="0004008B">
        <w:rPr>
          <w:rFonts w:asciiTheme="minorHAnsi" w:hAnsiTheme="minorHAnsi" w:cs="Calibri"/>
          <w:color w:val="000000" w:themeColor="text1"/>
          <w:szCs w:val="22"/>
        </w:rPr>
        <w:t xml:space="preserve"> on international </w:t>
      </w:r>
      <w:r w:rsidR="00130243">
        <w:rPr>
          <w:rFonts w:asciiTheme="minorHAnsi" w:hAnsiTheme="minorHAnsi" w:cs="Calibri"/>
          <w:color w:val="000000" w:themeColor="text1"/>
          <w:szCs w:val="22"/>
        </w:rPr>
        <w:t xml:space="preserve">higher education </w:t>
      </w:r>
      <w:r w:rsidR="00794E64">
        <w:rPr>
          <w:rFonts w:asciiTheme="minorHAnsi" w:hAnsiTheme="minorHAnsi" w:cs="Calibri"/>
          <w:color w:val="000000" w:themeColor="text1"/>
          <w:szCs w:val="22"/>
        </w:rPr>
        <w:t>student</w:t>
      </w:r>
      <w:r w:rsidR="003951D4" w:rsidRPr="0004008B">
        <w:rPr>
          <w:rFonts w:asciiTheme="minorHAnsi" w:hAnsiTheme="minorHAnsi" w:cs="Calibri"/>
          <w:color w:val="000000" w:themeColor="text1"/>
          <w:szCs w:val="22"/>
        </w:rPr>
        <w:t>s</w:t>
      </w:r>
      <w:r w:rsidR="00F02753" w:rsidRPr="0004008B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B622F9">
        <w:rPr>
          <w:rFonts w:asciiTheme="minorHAnsi" w:hAnsiTheme="minorHAnsi" w:cs="Calibri"/>
          <w:color w:val="000000" w:themeColor="text1"/>
          <w:szCs w:val="22"/>
        </w:rPr>
        <w:t>from</w:t>
      </w:r>
      <w:r w:rsidR="00130243">
        <w:rPr>
          <w:rFonts w:asciiTheme="minorHAnsi" w:hAnsiTheme="minorHAnsi" w:cs="Calibri"/>
          <w:color w:val="000000" w:themeColor="text1"/>
          <w:szCs w:val="22"/>
        </w:rPr>
        <w:t xml:space="preserve"> Australia and the UK</w:t>
      </w:r>
      <w:r w:rsidR="00CA6C7D" w:rsidRPr="0004008B">
        <w:rPr>
          <w:rFonts w:asciiTheme="minorHAnsi" w:hAnsiTheme="minorHAnsi" w:cs="Calibri"/>
          <w:color w:val="000000" w:themeColor="text1"/>
          <w:szCs w:val="22"/>
        </w:rPr>
        <w:t>. The data used in the snapshot</w:t>
      </w:r>
      <w:r w:rsidR="008E70AE" w:rsidRPr="0004008B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C23F34" w:rsidRPr="0004008B">
        <w:rPr>
          <w:rFonts w:asciiTheme="minorHAnsi" w:hAnsiTheme="minorHAnsi" w:cs="Calibri"/>
          <w:color w:val="000000" w:themeColor="text1"/>
          <w:szCs w:val="22"/>
        </w:rPr>
        <w:t xml:space="preserve">represent each countries’ </w:t>
      </w:r>
      <w:r w:rsidR="008E70AE" w:rsidRPr="0004008B">
        <w:rPr>
          <w:rFonts w:asciiTheme="minorHAnsi" w:hAnsiTheme="minorHAnsi" w:cs="Calibri"/>
          <w:color w:val="000000" w:themeColor="text1"/>
          <w:szCs w:val="22"/>
        </w:rPr>
        <w:t>latest academic year</w:t>
      </w:r>
      <w:r w:rsidR="00CA6C7D" w:rsidRPr="0004008B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8E70AE" w:rsidRPr="0004008B">
        <w:rPr>
          <w:rFonts w:asciiTheme="minorHAnsi" w:hAnsiTheme="minorHAnsi" w:cs="Calibri"/>
          <w:color w:val="000000" w:themeColor="text1"/>
          <w:szCs w:val="22"/>
        </w:rPr>
        <w:t>(2017 for Australia</w:t>
      </w:r>
      <w:r w:rsidR="00B622F9">
        <w:rPr>
          <w:rFonts w:asciiTheme="minorHAnsi" w:hAnsiTheme="minorHAnsi" w:cs="Calibri"/>
          <w:color w:val="000000" w:themeColor="text1"/>
          <w:szCs w:val="22"/>
          <w:vertAlign w:val="superscript"/>
        </w:rPr>
        <w:t>1</w:t>
      </w:r>
      <w:r w:rsidR="00130243">
        <w:rPr>
          <w:rFonts w:asciiTheme="minorHAnsi" w:hAnsiTheme="minorHAnsi" w:cs="Calibri"/>
          <w:color w:val="000000" w:themeColor="text1"/>
          <w:szCs w:val="22"/>
        </w:rPr>
        <w:t xml:space="preserve"> and 2016-17 for the UK</w:t>
      </w:r>
      <w:r w:rsidR="00B622F9">
        <w:rPr>
          <w:rFonts w:asciiTheme="minorHAnsi" w:hAnsiTheme="minorHAnsi" w:cs="Calibri"/>
          <w:color w:val="000000" w:themeColor="text1"/>
          <w:szCs w:val="22"/>
          <w:vertAlign w:val="superscript"/>
        </w:rPr>
        <w:t>2</w:t>
      </w:r>
      <w:r w:rsidR="0044083C">
        <w:rPr>
          <w:rFonts w:asciiTheme="minorHAnsi" w:hAnsiTheme="minorHAnsi" w:cs="Calibri"/>
          <w:color w:val="000000" w:themeColor="text1"/>
          <w:szCs w:val="22"/>
        </w:rPr>
        <w:t>)</w:t>
      </w:r>
      <w:r w:rsidR="00CA6C7D" w:rsidRPr="0004008B">
        <w:rPr>
          <w:rFonts w:asciiTheme="minorHAnsi" w:hAnsiTheme="minorHAnsi" w:cs="Calibri"/>
          <w:color w:val="000000" w:themeColor="text1"/>
          <w:szCs w:val="22"/>
        </w:rPr>
        <w:t>.</w:t>
      </w:r>
      <w:r w:rsidR="00F1353B" w:rsidRPr="0004008B">
        <w:rPr>
          <w:rFonts w:asciiTheme="minorHAnsi" w:hAnsiTheme="minorHAnsi" w:cs="Calibri"/>
          <w:color w:val="000000" w:themeColor="text1"/>
          <w:szCs w:val="22"/>
        </w:rPr>
        <w:t xml:space="preserve"> According to </w:t>
      </w:r>
      <w:r w:rsidR="002E552A">
        <w:rPr>
          <w:rFonts w:asciiTheme="minorHAnsi" w:hAnsiTheme="minorHAnsi" w:cs="Calibri"/>
          <w:color w:val="000000" w:themeColor="text1"/>
          <w:szCs w:val="22"/>
        </w:rPr>
        <w:t>UNESCO</w:t>
      </w:r>
      <w:r w:rsidR="00130243">
        <w:rPr>
          <w:rFonts w:asciiTheme="minorHAnsi" w:hAnsiTheme="minorHAnsi" w:cs="Calibri"/>
          <w:color w:val="000000" w:themeColor="text1"/>
          <w:szCs w:val="22"/>
        </w:rPr>
        <w:t xml:space="preserve">, </w:t>
      </w:r>
      <w:r w:rsidR="00130243" w:rsidRPr="00024AA2">
        <w:rPr>
          <w:rFonts w:asciiTheme="minorHAnsi" w:hAnsiTheme="minorHAnsi" w:cs="Calibri"/>
          <w:color w:val="000000" w:themeColor="text1"/>
          <w:szCs w:val="22"/>
        </w:rPr>
        <w:t>the UK</w:t>
      </w:r>
      <w:r w:rsidR="00F1353B" w:rsidRPr="00024AA2">
        <w:rPr>
          <w:rFonts w:asciiTheme="minorHAnsi" w:hAnsiTheme="minorHAnsi" w:cs="Calibri"/>
          <w:color w:val="000000" w:themeColor="text1"/>
          <w:szCs w:val="22"/>
        </w:rPr>
        <w:t xml:space="preserve"> is the </w:t>
      </w:r>
      <w:r w:rsidR="00024AA2" w:rsidRPr="00024AA2">
        <w:rPr>
          <w:rFonts w:asciiTheme="minorHAnsi" w:hAnsiTheme="minorHAnsi" w:cs="Calibri"/>
          <w:color w:val="000000" w:themeColor="text1"/>
          <w:szCs w:val="22"/>
        </w:rPr>
        <w:t xml:space="preserve">second </w:t>
      </w:r>
      <w:r w:rsidR="00F1353B" w:rsidRPr="00024AA2">
        <w:rPr>
          <w:rFonts w:asciiTheme="minorHAnsi" w:hAnsiTheme="minorHAnsi" w:cs="Calibri"/>
          <w:color w:val="000000" w:themeColor="text1"/>
          <w:szCs w:val="22"/>
        </w:rPr>
        <w:t xml:space="preserve">most popular study destination for international </w:t>
      </w:r>
      <w:r w:rsidR="005C600F" w:rsidRPr="00024AA2">
        <w:rPr>
          <w:rFonts w:asciiTheme="minorHAnsi" w:hAnsiTheme="minorHAnsi" w:cs="Calibri"/>
          <w:color w:val="000000" w:themeColor="text1"/>
          <w:szCs w:val="22"/>
        </w:rPr>
        <w:t>students</w:t>
      </w:r>
      <w:r w:rsidR="002E552A">
        <w:rPr>
          <w:rFonts w:asciiTheme="minorHAnsi" w:hAnsiTheme="minorHAnsi" w:cs="Calibri"/>
          <w:color w:val="000000" w:themeColor="text1"/>
          <w:szCs w:val="22"/>
        </w:rPr>
        <w:t xml:space="preserve"> after the USA</w:t>
      </w:r>
      <w:r w:rsidR="008F3621">
        <w:rPr>
          <w:rFonts w:asciiTheme="minorHAnsi" w:hAnsiTheme="minorHAnsi" w:cs="Calibri"/>
          <w:color w:val="000000" w:themeColor="text1"/>
          <w:szCs w:val="22"/>
        </w:rPr>
        <w:t xml:space="preserve">, </w:t>
      </w:r>
      <w:r w:rsidR="00F1353B" w:rsidRPr="00024AA2">
        <w:rPr>
          <w:rFonts w:asciiTheme="minorHAnsi" w:hAnsiTheme="minorHAnsi" w:cs="Calibri"/>
          <w:color w:val="000000" w:themeColor="text1"/>
          <w:szCs w:val="22"/>
        </w:rPr>
        <w:t xml:space="preserve">while Australia is the third most </w:t>
      </w:r>
      <w:r w:rsidR="005C600F" w:rsidRPr="00024AA2">
        <w:rPr>
          <w:rFonts w:asciiTheme="minorHAnsi" w:hAnsiTheme="minorHAnsi" w:cs="Calibri"/>
          <w:color w:val="000000" w:themeColor="text1"/>
          <w:szCs w:val="22"/>
        </w:rPr>
        <w:t>popular</w:t>
      </w:r>
      <w:r w:rsidR="00F1353B" w:rsidRPr="00024AA2">
        <w:rPr>
          <w:rFonts w:asciiTheme="minorHAnsi" w:hAnsiTheme="minorHAnsi" w:cs="Calibri"/>
          <w:color w:val="000000" w:themeColor="text1"/>
          <w:szCs w:val="22"/>
        </w:rPr>
        <w:t>. Thus, a compariso</w:t>
      </w:r>
      <w:r w:rsidR="00B32272" w:rsidRPr="00024AA2">
        <w:rPr>
          <w:rFonts w:asciiTheme="minorHAnsi" w:hAnsiTheme="minorHAnsi" w:cs="Calibri"/>
          <w:color w:val="000000" w:themeColor="text1"/>
          <w:szCs w:val="22"/>
        </w:rPr>
        <w:t xml:space="preserve">n between </w:t>
      </w:r>
      <w:r w:rsidR="008F3621">
        <w:rPr>
          <w:rFonts w:asciiTheme="minorHAnsi" w:hAnsiTheme="minorHAnsi" w:cs="Calibri"/>
          <w:color w:val="000000" w:themeColor="text1"/>
          <w:szCs w:val="22"/>
        </w:rPr>
        <w:t xml:space="preserve">the </w:t>
      </w:r>
      <w:r w:rsidR="00B32272" w:rsidRPr="00024AA2">
        <w:rPr>
          <w:rFonts w:asciiTheme="minorHAnsi" w:hAnsiTheme="minorHAnsi" w:cs="Calibri"/>
          <w:color w:val="000000" w:themeColor="text1"/>
          <w:szCs w:val="22"/>
        </w:rPr>
        <w:t>international student</w:t>
      </w:r>
      <w:r w:rsidR="00F1353B" w:rsidRPr="00024AA2">
        <w:rPr>
          <w:rFonts w:asciiTheme="minorHAnsi" w:hAnsiTheme="minorHAnsi" w:cs="Calibri"/>
          <w:color w:val="000000" w:themeColor="text1"/>
          <w:szCs w:val="22"/>
        </w:rPr>
        <w:t xml:space="preserve"> populations </w:t>
      </w:r>
      <w:r w:rsidR="008F3621">
        <w:rPr>
          <w:rFonts w:asciiTheme="minorHAnsi" w:hAnsiTheme="minorHAnsi" w:cs="Calibri"/>
          <w:color w:val="000000" w:themeColor="text1"/>
          <w:szCs w:val="22"/>
        </w:rPr>
        <w:t>of</w:t>
      </w:r>
      <w:r w:rsidR="00F1353B" w:rsidRPr="00024AA2">
        <w:rPr>
          <w:rFonts w:asciiTheme="minorHAnsi" w:hAnsiTheme="minorHAnsi" w:cs="Calibri"/>
          <w:color w:val="000000" w:themeColor="text1"/>
          <w:szCs w:val="22"/>
        </w:rPr>
        <w:t xml:space="preserve"> the two countries provide</w:t>
      </w:r>
      <w:r w:rsidR="008F3621">
        <w:rPr>
          <w:rFonts w:asciiTheme="minorHAnsi" w:hAnsiTheme="minorHAnsi" w:cs="Calibri"/>
          <w:color w:val="000000" w:themeColor="text1"/>
          <w:szCs w:val="22"/>
        </w:rPr>
        <w:t>s</w:t>
      </w:r>
      <w:r w:rsidR="00F1353B" w:rsidRPr="00024AA2">
        <w:rPr>
          <w:rFonts w:asciiTheme="minorHAnsi" w:hAnsiTheme="minorHAnsi" w:cs="Calibri"/>
          <w:color w:val="000000" w:themeColor="text1"/>
          <w:szCs w:val="22"/>
        </w:rPr>
        <w:t xml:space="preserve"> some insight into Australia’s </w:t>
      </w:r>
      <w:r w:rsidR="00B622F9" w:rsidRPr="00024AA2">
        <w:rPr>
          <w:rFonts w:asciiTheme="minorHAnsi" w:hAnsiTheme="minorHAnsi" w:cs="Calibri"/>
          <w:color w:val="000000" w:themeColor="text1"/>
          <w:szCs w:val="22"/>
        </w:rPr>
        <w:t xml:space="preserve">relative </w:t>
      </w:r>
      <w:r w:rsidR="00F1353B" w:rsidRPr="00024AA2">
        <w:rPr>
          <w:rFonts w:asciiTheme="minorHAnsi" w:hAnsiTheme="minorHAnsi" w:cs="Calibri"/>
          <w:color w:val="000000" w:themeColor="text1"/>
          <w:szCs w:val="22"/>
        </w:rPr>
        <w:t>success in the global education market.</w:t>
      </w:r>
      <w:r w:rsidR="00786BD2">
        <w:rPr>
          <w:rFonts w:asciiTheme="minorHAnsi" w:hAnsiTheme="minorHAnsi" w:cs="Calibri"/>
          <w:color w:val="000000" w:themeColor="text1"/>
          <w:szCs w:val="22"/>
        </w:rPr>
        <w:t xml:space="preserve"> This analysis compares Australian higher educa</w:t>
      </w:r>
      <w:r w:rsidR="0071372E">
        <w:rPr>
          <w:rFonts w:asciiTheme="minorHAnsi" w:hAnsiTheme="minorHAnsi" w:cs="Calibri"/>
          <w:color w:val="000000" w:themeColor="text1"/>
          <w:szCs w:val="22"/>
        </w:rPr>
        <w:t xml:space="preserve">tion enrolments (only) with </w:t>
      </w:r>
      <w:r w:rsidR="00786BD2">
        <w:rPr>
          <w:rFonts w:asciiTheme="minorHAnsi" w:hAnsiTheme="minorHAnsi" w:cs="Calibri"/>
          <w:color w:val="000000" w:themeColor="text1"/>
          <w:szCs w:val="22"/>
        </w:rPr>
        <w:t>UK higher education student data</w:t>
      </w:r>
      <w:r w:rsidR="00786BD2" w:rsidRPr="00786BD2">
        <w:rPr>
          <w:rFonts w:asciiTheme="minorHAnsi" w:hAnsiTheme="minorHAnsi" w:cs="Calibri"/>
          <w:color w:val="000000" w:themeColor="text1"/>
          <w:szCs w:val="22"/>
          <w:vertAlign w:val="superscript"/>
        </w:rPr>
        <w:t>1</w:t>
      </w:r>
      <w:r w:rsidR="00786BD2">
        <w:rPr>
          <w:rFonts w:asciiTheme="minorHAnsi" w:hAnsiTheme="minorHAnsi" w:cs="Calibri"/>
          <w:color w:val="000000" w:themeColor="text1"/>
          <w:szCs w:val="22"/>
        </w:rPr>
        <w:t>.</w:t>
      </w:r>
      <w:r w:rsidR="000A66C4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0A66C4" w:rsidRPr="0004008B">
        <w:rPr>
          <w:rFonts w:asciiTheme="minorHAnsi" w:hAnsiTheme="minorHAnsi" w:cs="Calibri"/>
          <w:color w:val="000000" w:themeColor="text1"/>
          <w:szCs w:val="22"/>
        </w:rPr>
        <w:t xml:space="preserve">The top 10 source countries for the </w:t>
      </w:r>
      <w:r w:rsidR="000A66C4">
        <w:rPr>
          <w:rFonts w:asciiTheme="minorHAnsi" w:hAnsiTheme="minorHAnsi" w:cs="Calibri"/>
          <w:color w:val="000000" w:themeColor="text1"/>
          <w:szCs w:val="22"/>
        </w:rPr>
        <w:t>UK</w:t>
      </w:r>
      <w:r w:rsidR="000A66C4" w:rsidRPr="0004008B">
        <w:rPr>
          <w:rFonts w:asciiTheme="minorHAnsi" w:hAnsiTheme="minorHAnsi" w:cs="Calibri"/>
          <w:color w:val="000000" w:themeColor="text1"/>
          <w:szCs w:val="22"/>
        </w:rPr>
        <w:t xml:space="preserve"> (Figure 1) </w:t>
      </w:r>
      <w:r w:rsidR="000A66C4">
        <w:rPr>
          <w:rFonts w:asciiTheme="minorHAnsi" w:hAnsiTheme="minorHAnsi" w:cs="Calibri"/>
          <w:color w:val="000000" w:themeColor="text1"/>
          <w:szCs w:val="22"/>
        </w:rPr>
        <w:t>made up 50 per cent of all international higher education students in 2016-17, while the top 10 source countries for Australia’s higher education sector (Figure 2) were 81 per cent of all enrolments in 2017.</w:t>
      </w:r>
    </w:p>
    <w:p w:rsidR="00F84D1D" w:rsidRDefault="002E552A" w:rsidP="008E70AE">
      <w:pPr>
        <w:spacing w:after="120"/>
        <w:jc w:val="both"/>
        <w:rPr>
          <w:rFonts w:asciiTheme="minorHAnsi" w:hAnsiTheme="minorHAnsi" w:cs="Calibri"/>
          <w:color w:val="000000" w:themeColor="text1"/>
          <w:szCs w:val="22"/>
        </w:rPr>
      </w:pPr>
      <w:r>
        <w:rPr>
          <w:rFonts w:asciiTheme="minorHAnsi" w:hAnsiTheme="minorHAnsi" w:cs="Calibri"/>
          <w:color w:val="000000" w:themeColor="text1"/>
          <w:szCs w:val="22"/>
        </w:rPr>
        <w:t>Approximately 30</w:t>
      </w:r>
      <w:r w:rsidR="00CD03E8">
        <w:rPr>
          <w:rFonts w:asciiTheme="minorHAnsi" w:hAnsiTheme="minorHAnsi" w:cs="Calibri"/>
          <w:color w:val="000000" w:themeColor="text1"/>
          <w:szCs w:val="22"/>
        </w:rPr>
        <w:t xml:space="preserve"> per cent</w:t>
      </w:r>
      <w:r>
        <w:rPr>
          <w:rFonts w:asciiTheme="minorHAnsi" w:hAnsiTheme="minorHAnsi" w:cs="Calibri"/>
          <w:color w:val="000000" w:themeColor="text1"/>
          <w:szCs w:val="22"/>
        </w:rPr>
        <w:t xml:space="preserve"> of the UK’s international student population comes from other European Union (EU) countries. </w:t>
      </w:r>
      <w:r w:rsidR="00794E64">
        <w:rPr>
          <w:rFonts w:asciiTheme="minorHAnsi" w:hAnsiTheme="minorHAnsi" w:cs="Calibri"/>
          <w:color w:val="000000" w:themeColor="text1"/>
          <w:szCs w:val="22"/>
        </w:rPr>
        <w:t xml:space="preserve">Nonetheless, </w:t>
      </w:r>
      <w:r>
        <w:rPr>
          <w:rFonts w:asciiTheme="minorHAnsi" w:hAnsiTheme="minorHAnsi" w:cs="Calibri"/>
          <w:color w:val="000000" w:themeColor="text1"/>
          <w:szCs w:val="22"/>
        </w:rPr>
        <w:t>China is the UK’s largest student source country, representing 31</w:t>
      </w:r>
      <w:r w:rsidR="00CD03E8">
        <w:rPr>
          <w:rFonts w:asciiTheme="minorHAnsi" w:hAnsiTheme="minorHAnsi" w:cs="Calibri"/>
          <w:color w:val="000000" w:themeColor="text1"/>
          <w:szCs w:val="22"/>
        </w:rPr>
        <w:t xml:space="preserve"> per cent</w:t>
      </w:r>
      <w:r>
        <w:rPr>
          <w:rFonts w:asciiTheme="minorHAnsi" w:hAnsiTheme="minorHAnsi" w:cs="Calibri"/>
          <w:color w:val="000000" w:themeColor="text1"/>
          <w:szCs w:val="22"/>
        </w:rPr>
        <w:t xml:space="preserve"> of international students coming from outside the EU</w:t>
      </w:r>
      <w:r w:rsidR="00464B0E">
        <w:rPr>
          <w:rFonts w:asciiTheme="minorHAnsi" w:hAnsiTheme="minorHAnsi" w:cs="Calibri"/>
          <w:color w:val="000000" w:themeColor="text1"/>
          <w:szCs w:val="22"/>
        </w:rPr>
        <w:t xml:space="preserve"> and 21</w:t>
      </w:r>
      <w:r w:rsidR="00CD03E8">
        <w:rPr>
          <w:rFonts w:asciiTheme="minorHAnsi" w:hAnsiTheme="minorHAnsi" w:cs="Calibri"/>
          <w:color w:val="000000" w:themeColor="text1"/>
          <w:szCs w:val="22"/>
        </w:rPr>
        <w:t xml:space="preserve"> per cent</w:t>
      </w:r>
      <w:r w:rsidR="00464B0E">
        <w:rPr>
          <w:rFonts w:asciiTheme="minorHAnsi" w:hAnsiTheme="minorHAnsi" w:cs="Calibri"/>
          <w:color w:val="000000" w:themeColor="text1"/>
          <w:szCs w:val="22"/>
        </w:rPr>
        <w:t xml:space="preserve"> of total international students</w:t>
      </w:r>
      <w:r>
        <w:rPr>
          <w:rFonts w:asciiTheme="minorHAnsi" w:hAnsiTheme="minorHAnsi" w:cs="Calibri"/>
          <w:color w:val="000000" w:themeColor="text1"/>
          <w:szCs w:val="22"/>
        </w:rPr>
        <w:t xml:space="preserve">. </w:t>
      </w:r>
      <w:r w:rsidR="008F3621">
        <w:rPr>
          <w:rFonts w:asciiTheme="minorHAnsi" w:hAnsiTheme="minorHAnsi" w:cs="Calibri"/>
          <w:color w:val="000000" w:themeColor="text1"/>
          <w:szCs w:val="22"/>
        </w:rPr>
        <w:t xml:space="preserve">Between, 2015-16 and 2016-17, </w:t>
      </w:r>
      <w:r w:rsidR="00794E64">
        <w:rPr>
          <w:rFonts w:asciiTheme="minorHAnsi" w:hAnsiTheme="minorHAnsi" w:cs="Calibri"/>
          <w:color w:val="000000" w:themeColor="text1"/>
          <w:szCs w:val="22"/>
        </w:rPr>
        <w:t xml:space="preserve">the UK’s total </w:t>
      </w:r>
      <w:r>
        <w:rPr>
          <w:rFonts w:asciiTheme="minorHAnsi" w:hAnsiTheme="minorHAnsi" w:cs="Calibri"/>
          <w:color w:val="000000" w:themeColor="text1"/>
          <w:szCs w:val="22"/>
        </w:rPr>
        <w:t>international student</w:t>
      </w:r>
      <w:r w:rsidR="008F3621">
        <w:rPr>
          <w:rFonts w:asciiTheme="minorHAnsi" w:hAnsiTheme="minorHAnsi" w:cs="Calibri"/>
          <w:color w:val="000000" w:themeColor="text1"/>
          <w:szCs w:val="22"/>
        </w:rPr>
        <w:t xml:space="preserve"> number</w:t>
      </w:r>
      <w:r>
        <w:rPr>
          <w:rFonts w:asciiTheme="minorHAnsi" w:hAnsiTheme="minorHAnsi" w:cs="Calibri"/>
          <w:color w:val="000000" w:themeColor="text1"/>
          <w:szCs w:val="22"/>
        </w:rPr>
        <w:t>s grew by 1</w:t>
      </w:r>
      <w:r w:rsidR="00CD03E8">
        <w:rPr>
          <w:rFonts w:asciiTheme="minorHAnsi" w:hAnsiTheme="minorHAnsi" w:cs="Calibri"/>
          <w:color w:val="000000" w:themeColor="text1"/>
          <w:szCs w:val="22"/>
        </w:rPr>
        <w:t xml:space="preserve"> per cent</w:t>
      </w:r>
      <w:r>
        <w:rPr>
          <w:rFonts w:asciiTheme="minorHAnsi" w:hAnsiTheme="minorHAnsi" w:cs="Calibri"/>
          <w:color w:val="000000" w:themeColor="text1"/>
          <w:szCs w:val="22"/>
        </w:rPr>
        <w:t>, though mostly due to 6</w:t>
      </w:r>
      <w:r w:rsidR="00CD03E8">
        <w:rPr>
          <w:rFonts w:asciiTheme="minorHAnsi" w:hAnsiTheme="minorHAnsi" w:cs="Calibri"/>
          <w:color w:val="000000" w:themeColor="text1"/>
          <w:szCs w:val="22"/>
        </w:rPr>
        <w:t xml:space="preserve"> per cent</w:t>
      </w:r>
      <w:r>
        <w:rPr>
          <w:rFonts w:asciiTheme="minorHAnsi" w:hAnsiTheme="minorHAnsi" w:cs="Calibri"/>
          <w:color w:val="000000" w:themeColor="text1"/>
          <w:szCs w:val="22"/>
        </w:rPr>
        <w:t xml:space="preserve"> growth in</w:t>
      </w:r>
      <w:r w:rsidR="00794E64">
        <w:rPr>
          <w:rFonts w:asciiTheme="minorHAnsi" w:hAnsiTheme="minorHAnsi" w:cs="Calibri"/>
          <w:color w:val="000000" w:themeColor="text1"/>
          <w:szCs w:val="22"/>
        </w:rPr>
        <w:t xml:space="preserve"> EU</w:t>
      </w:r>
      <w:r>
        <w:rPr>
          <w:rFonts w:asciiTheme="minorHAnsi" w:hAnsiTheme="minorHAnsi" w:cs="Calibri"/>
          <w:color w:val="000000" w:themeColor="text1"/>
          <w:szCs w:val="22"/>
        </w:rPr>
        <w:t xml:space="preserve"> students</w:t>
      </w:r>
      <w:r w:rsidR="0094541C">
        <w:rPr>
          <w:rFonts w:asciiTheme="minorHAnsi" w:hAnsiTheme="minorHAnsi" w:cs="Calibri"/>
          <w:color w:val="000000" w:themeColor="text1"/>
          <w:szCs w:val="22"/>
        </w:rPr>
        <w:t>. Non</w:t>
      </w:r>
      <w:r w:rsidR="00F84D1D">
        <w:rPr>
          <w:rFonts w:asciiTheme="minorHAnsi" w:hAnsiTheme="minorHAnsi" w:cs="Calibri"/>
          <w:color w:val="000000" w:themeColor="text1"/>
          <w:szCs w:val="22"/>
        </w:rPr>
        <w:t>-EU s</w:t>
      </w:r>
      <w:r w:rsidR="0094541C">
        <w:rPr>
          <w:rFonts w:asciiTheme="minorHAnsi" w:hAnsiTheme="minorHAnsi" w:cs="Calibri"/>
          <w:color w:val="000000" w:themeColor="text1"/>
          <w:szCs w:val="22"/>
        </w:rPr>
        <w:t>tudent</w:t>
      </w:r>
      <w:r w:rsidR="008F3621">
        <w:rPr>
          <w:rFonts w:asciiTheme="minorHAnsi" w:hAnsiTheme="minorHAnsi" w:cs="Calibri"/>
          <w:color w:val="000000" w:themeColor="text1"/>
          <w:szCs w:val="22"/>
        </w:rPr>
        <w:t>s</w:t>
      </w:r>
      <w:r w:rsidR="00F84D1D">
        <w:rPr>
          <w:rFonts w:asciiTheme="minorHAnsi" w:hAnsiTheme="minorHAnsi" w:cs="Calibri"/>
          <w:color w:val="000000" w:themeColor="text1"/>
          <w:szCs w:val="22"/>
        </w:rPr>
        <w:t xml:space="preserve"> declined by 1</w:t>
      </w:r>
      <w:r w:rsidR="00CD03E8">
        <w:rPr>
          <w:rFonts w:asciiTheme="minorHAnsi" w:hAnsiTheme="minorHAnsi" w:cs="Calibri"/>
          <w:color w:val="000000" w:themeColor="text1"/>
          <w:szCs w:val="22"/>
        </w:rPr>
        <w:t xml:space="preserve"> per cent</w:t>
      </w:r>
      <w:r w:rsidR="00F84D1D">
        <w:rPr>
          <w:rFonts w:asciiTheme="minorHAnsi" w:hAnsiTheme="minorHAnsi" w:cs="Calibri"/>
          <w:color w:val="000000" w:themeColor="text1"/>
          <w:szCs w:val="22"/>
        </w:rPr>
        <w:t xml:space="preserve">, with China one </w:t>
      </w:r>
      <w:r w:rsidR="0094541C">
        <w:rPr>
          <w:rFonts w:asciiTheme="minorHAnsi" w:hAnsiTheme="minorHAnsi" w:cs="Calibri"/>
          <w:color w:val="000000" w:themeColor="text1"/>
          <w:szCs w:val="22"/>
        </w:rPr>
        <w:t>of</w:t>
      </w:r>
      <w:r w:rsidR="00F84D1D">
        <w:rPr>
          <w:rFonts w:asciiTheme="minorHAnsi" w:hAnsiTheme="minorHAnsi" w:cs="Calibri"/>
          <w:color w:val="000000" w:themeColor="text1"/>
          <w:szCs w:val="22"/>
        </w:rPr>
        <w:t xml:space="preserve"> few major non-EU countries to show growth (4%) in this period. </w:t>
      </w:r>
      <w:bookmarkStart w:id="0" w:name="_GoBack"/>
      <w:bookmarkEnd w:id="0"/>
    </w:p>
    <w:p w:rsidR="008E70AE" w:rsidRDefault="00B7375B" w:rsidP="008E70AE">
      <w:pPr>
        <w:spacing w:after="120"/>
        <w:jc w:val="both"/>
        <w:rPr>
          <w:rFonts w:asciiTheme="minorHAnsi" w:hAnsiTheme="minorHAnsi" w:cs="Calibri"/>
          <w:color w:val="000000" w:themeColor="text1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1416050</wp:posOffset>
            </wp:positionV>
            <wp:extent cx="3371850" cy="2667000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ED9"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3397885</wp:posOffset>
            </wp:positionH>
            <wp:positionV relativeFrom="paragraph">
              <wp:posOffset>1406525</wp:posOffset>
            </wp:positionV>
            <wp:extent cx="3452495" cy="2695575"/>
            <wp:effectExtent l="0" t="0" r="14605" b="952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D1D">
        <w:rPr>
          <w:rFonts w:asciiTheme="minorHAnsi" w:hAnsiTheme="minorHAnsi" w:cs="Calibri"/>
          <w:color w:val="000000" w:themeColor="text1"/>
          <w:szCs w:val="22"/>
        </w:rPr>
        <w:t xml:space="preserve">Conversely, Australia </w:t>
      </w:r>
      <w:r w:rsidR="00B85642">
        <w:rPr>
          <w:rFonts w:asciiTheme="minorHAnsi" w:hAnsiTheme="minorHAnsi" w:cs="Calibri"/>
          <w:color w:val="000000" w:themeColor="text1"/>
          <w:szCs w:val="22"/>
        </w:rPr>
        <w:t xml:space="preserve">saw strong </w:t>
      </w:r>
      <w:r w:rsidR="00794E64">
        <w:rPr>
          <w:rFonts w:asciiTheme="minorHAnsi" w:hAnsiTheme="minorHAnsi" w:cs="Calibri"/>
          <w:color w:val="000000" w:themeColor="text1"/>
          <w:szCs w:val="22"/>
        </w:rPr>
        <w:t xml:space="preserve">overall </w:t>
      </w:r>
      <w:r w:rsidR="00B85642">
        <w:rPr>
          <w:rFonts w:asciiTheme="minorHAnsi" w:hAnsiTheme="minorHAnsi" w:cs="Calibri"/>
          <w:color w:val="000000" w:themeColor="text1"/>
          <w:szCs w:val="22"/>
        </w:rPr>
        <w:t xml:space="preserve">growth </w:t>
      </w:r>
      <w:r w:rsidR="00794E64">
        <w:rPr>
          <w:rFonts w:asciiTheme="minorHAnsi" w:hAnsiTheme="minorHAnsi" w:cs="Calibri"/>
          <w:color w:val="000000" w:themeColor="text1"/>
          <w:szCs w:val="22"/>
        </w:rPr>
        <w:t>in international higher education between 2016 and 2017 (15</w:t>
      </w:r>
      <w:r w:rsidR="00B85642">
        <w:rPr>
          <w:rFonts w:asciiTheme="minorHAnsi" w:hAnsiTheme="minorHAnsi" w:cs="Calibri"/>
          <w:color w:val="000000" w:themeColor="text1"/>
          <w:szCs w:val="22"/>
        </w:rPr>
        <w:t>%)</w:t>
      </w:r>
      <w:r w:rsidR="00794E64">
        <w:rPr>
          <w:rFonts w:asciiTheme="minorHAnsi" w:hAnsiTheme="minorHAnsi" w:cs="Calibri"/>
          <w:color w:val="000000" w:themeColor="text1"/>
          <w:szCs w:val="22"/>
        </w:rPr>
        <w:t>,</w:t>
      </w:r>
      <w:r w:rsidR="00B85642">
        <w:rPr>
          <w:rFonts w:asciiTheme="minorHAnsi" w:hAnsiTheme="minorHAnsi" w:cs="Calibri"/>
          <w:color w:val="000000" w:themeColor="text1"/>
          <w:szCs w:val="22"/>
        </w:rPr>
        <w:t xml:space="preserve"> which incorporated consistent growth from its major source countries</w:t>
      </w:r>
      <w:r w:rsidR="00613883">
        <w:rPr>
          <w:rFonts w:asciiTheme="minorHAnsi" w:hAnsiTheme="minorHAnsi" w:cs="Calibri"/>
          <w:color w:val="000000" w:themeColor="text1"/>
          <w:szCs w:val="22"/>
        </w:rPr>
        <w:t xml:space="preserve">, </w:t>
      </w:r>
      <w:r w:rsidR="00794E64">
        <w:rPr>
          <w:rFonts w:asciiTheme="minorHAnsi" w:hAnsiTheme="minorHAnsi" w:cs="Calibri"/>
          <w:color w:val="000000" w:themeColor="text1"/>
          <w:szCs w:val="22"/>
        </w:rPr>
        <w:t>particularly</w:t>
      </w:r>
      <w:r w:rsidR="00613883">
        <w:rPr>
          <w:rFonts w:asciiTheme="minorHAnsi" w:hAnsiTheme="minorHAnsi" w:cs="Calibri"/>
          <w:color w:val="000000" w:themeColor="text1"/>
          <w:szCs w:val="22"/>
        </w:rPr>
        <w:t xml:space="preserve"> China and India</w:t>
      </w:r>
      <w:r w:rsidR="001D0D88">
        <w:rPr>
          <w:rFonts w:asciiTheme="minorHAnsi" w:hAnsiTheme="minorHAnsi" w:cs="Calibri"/>
          <w:color w:val="000000" w:themeColor="text1"/>
          <w:szCs w:val="22"/>
        </w:rPr>
        <w:t xml:space="preserve">. </w:t>
      </w:r>
      <w:r w:rsidR="00794E64">
        <w:rPr>
          <w:rFonts w:asciiTheme="minorHAnsi" w:hAnsiTheme="minorHAnsi" w:cs="Calibri"/>
          <w:color w:val="000000" w:themeColor="text1"/>
          <w:szCs w:val="22"/>
        </w:rPr>
        <w:t xml:space="preserve">For other common student </w:t>
      </w:r>
      <w:r w:rsidR="00B85642">
        <w:rPr>
          <w:rFonts w:asciiTheme="minorHAnsi" w:hAnsiTheme="minorHAnsi" w:cs="Calibri"/>
          <w:color w:val="000000" w:themeColor="text1"/>
          <w:szCs w:val="22"/>
        </w:rPr>
        <w:t>source countries such as Malaysia, Hong Kong and Singapore</w:t>
      </w:r>
      <w:r w:rsidR="00613883">
        <w:rPr>
          <w:rFonts w:asciiTheme="minorHAnsi" w:hAnsiTheme="minorHAnsi" w:cs="Calibri"/>
          <w:color w:val="000000" w:themeColor="text1"/>
          <w:szCs w:val="22"/>
        </w:rPr>
        <w:t xml:space="preserve">, </w:t>
      </w:r>
      <w:r w:rsidR="00464B0E">
        <w:rPr>
          <w:rFonts w:asciiTheme="minorHAnsi" w:hAnsiTheme="minorHAnsi" w:cs="Calibri"/>
          <w:color w:val="000000" w:themeColor="text1"/>
          <w:szCs w:val="22"/>
        </w:rPr>
        <w:t xml:space="preserve">although </w:t>
      </w:r>
      <w:r w:rsidR="00613883">
        <w:rPr>
          <w:rFonts w:asciiTheme="minorHAnsi" w:hAnsiTheme="minorHAnsi" w:cs="Calibri"/>
          <w:color w:val="000000" w:themeColor="text1"/>
          <w:szCs w:val="22"/>
        </w:rPr>
        <w:t xml:space="preserve">the UK </w:t>
      </w:r>
      <w:r w:rsidR="00794E64">
        <w:rPr>
          <w:rFonts w:asciiTheme="minorHAnsi" w:hAnsiTheme="minorHAnsi" w:cs="Calibri"/>
          <w:color w:val="000000" w:themeColor="text1"/>
          <w:szCs w:val="22"/>
        </w:rPr>
        <w:t>continued to host</w:t>
      </w:r>
      <w:r w:rsidR="00613883">
        <w:rPr>
          <w:rFonts w:asciiTheme="minorHAnsi" w:hAnsiTheme="minorHAnsi" w:cs="Calibri"/>
          <w:color w:val="000000" w:themeColor="text1"/>
          <w:szCs w:val="22"/>
        </w:rPr>
        <w:t xml:space="preserve"> larger number of students from these countries, </w:t>
      </w:r>
      <w:r w:rsidR="002D16D0">
        <w:rPr>
          <w:rFonts w:asciiTheme="minorHAnsi" w:hAnsiTheme="minorHAnsi" w:cs="Calibri"/>
          <w:color w:val="000000" w:themeColor="text1"/>
          <w:szCs w:val="22"/>
        </w:rPr>
        <w:t>it saw</w:t>
      </w:r>
      <w:r w:rsidR="00613883">
        <w:rPr>
          <w:rFonts w:asciiTheme="minorHAnsi" w:hAnsiTheme="minorHAnsi" w:cs="Calibri"/>
          <w:color w:val="000000" w:themeColor="text1"/>
          <w:szCs w:val="22"/>
        </w:rPr>
        <w:t xml:space="preserve"> moderate declines</w:t>
      </w:r>
      <w:r w:rsidR="00794E64">
        <w:rPr>
          <w:rFonts w:asciiTheme="minorHAnsi" w:hAnsiTheme="minorHAnsi" w:cs="Calibri"/>
          <w:color w:val="000000" w:themeColor="text1"/>
          <w:szCs w:val="22"/>
        </w:rPr>
        <w:t xml:space="preserve"> from these countries</w:t>
      </w:r>
      <w:r w:rsidR="00464B0E">
        <w:rPr>
          <w:rFonts w:asciiTheme="minorHAnsi" w:hAnsiTheme="minorHAnsi" w:cs="Calibri"/>
          <w:color w:val="000000" w:themeColor="text1"/>
          <w:szCs w:val="22"/>
        </w:rPr>
        <w:t xml:space="preserve">, while Australia </w:t>
      </w:r>
      <w:r w:rsidR="002D16D0">
        <w:rPr>
          <w:rFonts w:asciiTheme="minorHAnsi" w:hAnsiTheme="minorHAnsi" w:cs="Calibri"/>
          <w:color w:val="000000" w:themeColor="text1"/>
          <w:szCs w:val="22"/>
        </w:rPr>
        <w:t>saw</w:t>
      </w:r>
      <w:r w:rsidR="00464B0E">
        <w:rPr>
          <w:rFonts w:asciiTheme="minorHAnsi" w:hAnsiTheme="minorHAnsi" w:cs="Calibri"/>
          <w:color w:val="000000" w:themeColor="text1"/>
          <w:szCs w:val="22"/>
        </w:rPr>
        <w:t xml:space="preserve"> moderate growth</w:t>
      </w:r>
      <w:r w:rsidR="00613883">
        <w:rPr>
          <w:rFonts w:asciiTheme="minorHAnsi" w:hAnsiTheme="minorHAnsi" w:cs="Calibri"/>
          <w:color w:val="000000" w:themeColor="text1"/>
          <w:szCs w:val="22"/>
        </w:rPr>
        <w:t xml:space="preserve">. The UK </w:t>
      </w:r>
      <w:r w:rsidR="00794E64">
        <w:rPr>
          <w:rFonts w:asciiTheme="minorHAnsi" w:hAnsiTheme="minorHAnsi" w:cs="Calibri"/>
          <w:color w:val="000000" w:themeColor="text1"/>
          <w:szCs w:val="22"/>
        </w:rPr>
        <w:t>had</w:t>
      </w:r>
      <w:r w:rsidR="00613883">
        <w:rPr>
          <w:rFonts w:asciiTheme="minorHAnsi" w:hAnsiTheme="minorHAnsi" w:cs="Calibri"/>
          <w:color w:val="000000" w:themeColor="text1"/>
          <w:szCs w:val="22"/>
        </w:rPr>
        <w:t xml:space="preserve"> a substantial decline in student numbers from Nigeria (21%)</w:t>
      </w:r>
      <w:r w:rsidR="00794E64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464B0E">
        <w:rPr>
          <w:rFonts w:asciiTheme="minorHAnsi" w:hAnsiTheme="minorHAnsi" w:cs="Calibri"/>
          <w:color w:val="000000" w:themeColor="text1"/>
          <w:szCs w:val="22"/>
        </w:rPr>
        <w:t xml:space="preserve">in 2016-17 </w:t>
      </w:r>
      <w:r w:rsidR="00794E64">
        <w:rPr>
          <w:rFonts w:asciiTheme="minorHAnsi" w:hAnsiTheme="minorHAnsi" w:cs="Calibri"/>
          <w:color w:val="000000" w:themeColor="text1"/>
          <w:szCs w:val="22"/>
        </w:rPr>
        <w:t>and</w:t>
      </w:r>
      <w:r w:rsidR="002D16D0">
        <w:rPr>
          <w:rFonts w:asciiTheme="minorHAnsi" w:hAnsiTheme="minorHAnsi" w:cs="Calibri"/>
          <w:color w:val="000000" w:themeColor="text1"/>
          <w:szCs w:val="22"/>
        </w:rPr>
        <w:t>,</w:t>
      </w:r>
      <w:r w:rsidR="00794E64">
        <w:rPr>
          <w:rFonts w:asciiTheme="minorHAnsi" w:hAnsiTheme="minorHAnsi" w:cs="Calibri"/>
          <w:color w:val="000000" w:themeColor="text1"/>
          <w:szCs w:val="22"/>
        </w:rPr>
        <w:t xml:space="preserve"> although</w:t>
      </w:r>
      <w:r w:rsidR="00613883">
        <w:rPr>
          <w:rFonts w:asciiTheme="minorHAnsi" w:hAnsiTheme="minorHAnsi" w:cs="Calibri"/>
          <w:color w:val="000000" w:themeColor="text1"/>
          <w:szCs w:val="22"/>
        </w:rPr>
        <w:t xml:space="preserve"> Nigeria</w:t>
      </w:r>
      <w:r w:rsidR="00464B0E">
        <w:rPr>
          <w:rFonts w:asciiTheme="minorHAnsi" w:hAnsiTheme="minorHAnsi" w:cs="Calibri"/>
          <w:color w:val="000000" w:themeColor="text1"/>
          <w:szCs w:val="22"/>
        </w:rPr>
        <w:t xml:space="preserve"> is a small student source country for Australia,</w:t>
      </w:r>
      <w:r w:rsidR="00613883">
        <w:rPr>
          <w:rFonts w:asciiTheme="minorHAnsi" w:hAnsiTheme="minorHAnsi" w:cs="Calibri"/>
          <w:color w:val="000000" w:themeColor="text1"/>
          <w:szCs w:val="22"/>
        </w:rPr>
        <w:t xml:space="preserve"> numbers grew by 18</w:t>
      </w:r>
      <w:r w:rsidR="00CD03E8">
        <w:rPr>
          <w:rFonts w:asciiTheme="minorHAnsi" w:hAnsiTheme="minorHAnsi" w:cs="Calibri"/>
          <w:color w:val="000000" w:themeColor="text1"/>
          <w:szCs w:val="22"/>
        </w:rPr>
        <w:t xml:space="preserve"> per cent</w:t>
      </w:r>
      <w:r w:rsidR="00613883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464B0E">
        <w:rPr>
          <w:rFonts w:asciiTheme="minorHAnsi" w:hAnsiTheme="minorHAnsi" w:cs="Calibri"/>
          <w:color w:val="000000" w:themeColor="text1"/>
          <w:szCs w:val="22"/>
        </w:rPr>
        <w:t>in 2017</w:t>
      </w:r>
      <w:r w:rsidR="00794E64">
        <w:rPr>
          <w:rFonts w:asciiTheme="minorHAnsi" w:hAnsiTheme="minorHAnsi" w:cs="Calibri"/>
          <w:color w:val="000000" w:themeColor="text1"/>
          <w:szCs w:val="22"/>
        </w:rPr>
        <w:t xml:space="preserve">. </w:t>
      </w:r>
      <w:r w:rsidR="00613883">
        <w:rPr>
          <w:rFonts w:asciiTheme="minorHAnsi" w:hAnsiTheme="minorHAnsi" w:cs="Calibri"/>
          <w:color w:val="000000" w:themeColor="text1"/>
          <w:szCs w:val="22"/>
        </w:rPr>
        <w:t>Australia</w:t>
      </w:r>
      <w:r w:rsidR="00464B0E">
        <w:rPr>
          <w:rFonts w:asciiTheme="minorHAnsi" w:hAnsiTheme="minorHAnsi" w:cs="Calibri"/>
          <w:color w:val="000000" w:themeColor="text1"/>
          <w:szCs w:val="22"/>
        </w:rPr>
        <w:t xml:space="preserve"> remains a popular destination for</w:t>
      </w:r>
      <w:r w:rsidR="00613883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E449D2">
        <w:rPr>
          <w:rFonts w:asciiTheme="minorHAnsi" w:hAnsiTheme="minorHAnsi" w:cs="Calibri"/>
          <w:color w:val="000000" w:themeColor="text1"/>
          <w:szCs w:val="22"/>
        </w:rPr>
        <w:t xml:space="preserve">higher education </w:t>
      </w:r>
      <w:r w:rsidR="00613883">
        <w:rPr>
          <w:rFonts w:asciiTheme="minorHAnsi" w:hAnsiTheme="minorHAnsi" w:cs="Calibri"/>
          <w:color w:val="000000" w:themeColor="text1"/>
          <w:szCs w:val="22"/>
        </w:rPr>
        <w:t>students from India,</w:t>
      </w:r>
      <w:r w:rsidR="00E449D2">
        <w:rPr>
          <w:rFonts w:asciiTheme="minorHAnsi" w:hAnsiTheme="minorHAnsi" w:cs="Calibri"/>
          <w:color w:val="000000" w:themeColor="text1"/>
          <w:szCs w:val="22"/>
        </w:rPr>
        <w:t xml:space="preserve"> with 22</w:t>
      </w:r>
      <w:r w:rsidR="00CD03E8">
        <w:rPr>
          <w:rFonts w:asciiTheme="minorHAnsi" w:hAnsiTheme="minorHAnsi" w:cs="Calibri"/>
          <w:color w:val="000000" w:themeColor="text1"/>
          <w:szCs w:val="22"/>
        </w:rPr>
        <w:t xml:space="preserve"> per cent</w:t>
      </w:r>
      <w:r w:rsidR="00E449D2">
        <w:rPr>
          <w:rFonts w:asciiTheme="minorHAnsi" w:hAnsiTheme="minorHAnsi" w:cs="Calibri"/>
          <w:color w:val="000000" w:themeColor="text1"/>
          <w:szCs w:val="22"/>
        </w:rPr>
        <w:t xml:space="preserve"> growth in 2017,</w:t>
      </w:r>
      <w:r w:rsidR="00613883">
        <w:rPr>
          <w:rFonts w:asciiTheme="minorHAnsi" w:hAnsiTheme="minorHAnsi" w:cs="Calibri"/>
          <w:color w:val="000000" w:themeColor="text1"/>
          <w:szCs w:val="22"/>
        </w:rPr>
        <w:t xml:space="preserve"> wh</w:t>
      </w:r>
      <w:r w:rsidR="00464B0E">
        <w:rPr>
          <w:rFonts w:asciiTheme="minorHAnsi" w:hAnsiTheme="minorHAnsi" w:cs="Calibri"/>
          <w:color w:val="000000" w:themeColor="text1"/>
          <w:szCs w:val="22"/>
        </w:rPr>
        <w:t>ile</w:t>
      </w:r>
      <w:r w:rsidR="00613883">
        <w:rPr>
          <w:rFonts w:asciiTheme="minorHAnsi" w:hAnsiTheme="minorHAnsi" w:cs="Calibri"/>
          <w:color w:val="000000" w:themeColor="text1"/>
          <w:szCs w:val="22"/>
        </w:rPr>
        <w:t xml:space="preserve"> numbers of Indian </w:t>
      </w:r>
      <w:r w:rsidR="00B62421">
        <w:rPr>
          <w:rFonts w:asciiTheme="minorHAnsi" w:hAnsiTheme="minorHAnsi" w:cs="Calibri"/>
          <w:color w:val="000000" w:themeColor="text1"/>
          <w:szCs w:val="22"/>
        </w:rPr>
        <w:t xml:space="preserve">higher education </w:t>
      </w:r>
      <w:r w:rsidR="00613883">
        <w:rPr>
          <w:rFonts w:asciiTheme="minorHAnsi" w:hAnsiTheme="minorHAnsi" w:cs="Calibri"/>
          <w:color w:val="000000" w:themeColor="text1"/>
          <w:szCs w:val="22"/>
        </w:rPr>
        <w:t xml:space="preserve">students studying in the </w:t>
      </w:r>
      <w:r w:rsidR="00B62421">
        <w:rPr>
          <w:rFonts w:asciiTheme="minorHAnsi" w:hAnsiTheme="minorHAnsi" w:cs="Calibri"/>
          <w:color w:val="000000" w:themeColor="text1"/>
          <w:szCs w:val="22"/>
        </w:rPr>
        <w:t xml:space="preserve">UK </w:t>
      </w:r>
      <w:r w:rsidR="00464B0E">
        <w:rPr>
          <w:rFonts w:asciiTheme="minorHAnsi" w:hAnsiTheme="minorHAnsi" w:cs="Calibri"/>
          <w:color w:val="000000" w:themeColor="text1"/>
          <w:szCs w:val="22"/>
        </w:rPr>
        <w:t>ha</w:t>
      </w:r>
      <w:r w:rsidR="002D16D0">
        <w:rPr>
          <w:rFonts w:asciiTheme="minorHAnsi" w:hAnsiTheme="minorHAnsi" w:cs="Calibri"/>
          <w:color w:val="000000" w:themeColor="text1"/>
          <w:szCs w:val="22"/>
        </w:rPr>
        <w:t>ve</w:t>
      </w:r>
      <w:r w:rsidR="00464B0E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613883">
        <w:rPr>
          <w:rFonts w:asciiTheme="minorHAnsi" w:hAnsiTheme="minorHAnsi" w:cs="Calibri"/>
          <w:color w:val="000000" w:themeColor="text1"/>
          <w:szCs w:val="22"/>
        </w:rPr>
        <w:t xml:space="preserve">declined substantially </w:t>
      </w:r>
      <w:r w:rsidR="00794E64">
        <w:rPr>
          <w:rFonts w:asciiTheme="minorHAnsi" w:hAnsiTheme="minorHAnsi" w:cs="Calibri"/>
          <w:color w:val="000000" w:themeColor="text1"/>
          <w:szCs w:val="22"/>
        </w:rPr>
        <w:t>in</w:t>
      </w:r>
      <w:r w:rsidR="00613883">
        <w:rPr>
          <w:rFonts w:asciiTheme="minorHAnsi" w:hAnsiTheme="minorHAnsi" w:cs="Calibri"/>
          <w:color w:val="000000" w:themeColor="text1"/>
          <w:szCs w:val="22"/>
        </w:rPr>
        <w:t xml:space="preserve"> the last five years</w:t>
      </w:r>
      <w:r w:rsidR="00E449D2">
        <w:rPr>
          <w:rFonts w:asciiTheme="minorHAnsi" w:hAnsiTheme="minorHAnsi" w:cs="Calibri"/>
          <w:color w:val="000000" w:themeColor="text1"/>
          <w:szCs w:val="22"/>
        </w:rPr>
        <w:t>, including a further 1</w:t>
      </w:r>
      <w:r w:rsidR="00CD03E8">
        <w:rPr>
          <w:rFonts w:asciiTheme="minorHAnsi" w:hAnsiTheme="minorHAnsi" w:cs="Calibri"/>
          <w:color w:val="000000" w:themeColor="text1"/>
          <w:szCs w:val="22"/>
        </w:rPr>
        <w:t xml:space="preserve"> per cent</w:t>
      </w:r>
      <w:r w:rsidR="00E449D2">
        <w:rPr>
          <w:rFonts w:asciiTheme="minorHAnsi" w:hAnsiTheme="minorHAnsi" w:cs="Calibri"/>
          <w:color w:val="000000" w:themeColor="text1"/>
          <w:szCs w:val="22"/>
        </w:rPr>
        <w:t xml:space="preserve"> decline in 2016-17</w:t>
      </w:r>
      <w:r w:rsidR="00613883">
        <w:rPr>
          <w:rFonts w:asciiTheme="minorHAnsi" w:hAnsiTheme="minorHAnsi" w:cs="Calibri"/>
          <w:color w:val="000000" w:themeColor="text1"/>
          <w:szCs w:val="22"/>
        </w:rPr>
        <w:t>.</w:t>
      </w:r>
      <w:r w:rsidR="00EF738A">
        <w:rPr>
          <w:rFonts w:asciiTheme="minorHAnsi" w:hAnsiTheme="minorHAnsi" w:cs="Calibri"/>
          <w:color w:val="000000" w:themeColor="text1"/>
          <w:szCs w:val="22"/>
        </w:rPr>
        <w:t xml:space="preserve"> </w:t>
      </w:r>
    </w:p>
    <w:p w:rsidR="00EB6DFD" w:rsidRPr="00680663" w:rsidRDefault="00EB6DFD" w:rsidP="0094541C">
      <w:pPr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94541C" w:rsidRDefault="0094541C" w:rsidP="008B5ED9">
      <w:pPr>
        <w:jc w:val="both"/>
        <w:rPr>
          <w:rFonts w:asciiTheme="minorHAnsi" w:hAnsiTheme="minorHAnsi" w:cs="Calibri"/>
          <w:color w:val="000000" w:themeColor="text1"/>
          <w:szCs w:val="22"/>
        </w:rPr>
      </w:pPr>
      <w:r>
        <w:rPr>
          <w:rFonts w:asciiTheme="minorHAnsi" w:hAnsiTheme="minorHAnsi" w:cs="Calibri"/>
          <w:color w:val="000000" w:themeColor="text1"/>
          <w:szCs w:val="22"/>
        </w:rPr>
        <w:t>UK commentators have ascribed the UK’s decline in non-EU student numbers in recent years to migration reforms, including student visa restrictions and changes in post-study work opportunities</w:t>
      </w:r>
      <w:r>
        <w:rPr>
          <w:rStyle w:val="FootnoteReference"/>
          <w:rFonts w:asciiTheme="minorHAnsi" w:hAnsiTheme="minorHAnsi"/>
          <w:color w:val="000000" w:themeColor="text1"/>
          <w:szCs w:val="22"/>
        </w:rPr>
        <w:footnoteReference w:id="1"/>
      </w:r>
      <w:r>
        <w:rPr>
          <w:rFonts w:asciiTheme="minorHAnsi" w:hAnsiTheme="minorHAnsi" w:cs="Calibri"/>
          <w:color w:val="000000" w:themeColor="text1"/>
          <w:szCs w:val="22"/>
        </w:rPr>
        <w:t xml:space="preserve">. It may be that Australia’s introduction of post-study work visas for international higher education graduates </w:t>
      </w:r>
      <w:r w:rsidR="008F3621">
        <w:rPr>
          <w:rFonts w:asciiTheme="minorHAnsi" w:hAnsiTheme="minorHAnsi" w:cs="Calibri"/>
          <w:color w:val="000000" w:themeColor="text1"/>
          <w:szCs w:val="22"/>
        </w:rPr>
        <w:t xml:space="preserve">in 2013 </w:t>
      </w:r>
      <w:r w:rsidR="00A100A5">
        <w:rPr>
          <w:rFonts w:asciiTheme="minorHAnsi" w:hAnsiTheme="minorHAnsi" w:cs="Calibri"/>
          <w:color w:val="000000" w:themeColor="text1"/>
          <w:szCs w:val="22"/>
        </w:rPr>
        <w:t xml:space="preserve">has </w:t>
      </w:r>
      <w:r>
        <w:rPr>
          <w:rFonts w:asciiTheme="minorHAnsi" w:hAnsiTheme="minorHAnsi" w:cs="Calibri"/>
          <w:color w:val="000000" w:themeColor="text1"/>
          <w:szCs w:val="22"/>
        </w:rPr>
        <w:t>positioned Australia to be perceived as not only a quality study destination</w:t>
      </w:r>
      <w:r w:rsidR="008F3621">
        <w:rPr>
          <w:rFonts w:asciiTheme="minorHAnsi" w:hAnsiTheme="minorHAnsi" w:cs="Calibri"/>
          <w:color w:val="000000" w:themeColor="text1"/>
          <w:szCs w:val="22"/>
        </w:rPr>
        <w:t>,</w:t>
      </w:r>
      <w:r>
        <w:rPr>
          <w:rFonts w:asciiTheme="minorHAnsi" w:hAnsiTheme="minorHAnsi" w:cs="Calibri"/>
          <w:color w:val="000000" w:themeColor="text1"/>
          <w:szCs w:val="22"/>
        </w:rPr>
        <w:t xml:space="preserve"> with opportunities for working both during and after study, but also a</w:t>
      </w:r>
      <w:r w:rsidR="008F3621">
        <w:rPr>
          <w:rFonts w:asciiTheme="minorHAnsi" w:hAnsiTheme="minorHAnsi" w:cs="Calibri"/>
          <w:color w:val="000000" w:themeColor="text1"/>
          <w:szCs w:val="22"/>
        </w:rPr>
        <w:t>s a</w:t>
      </w:r>
      <w:r>
        <w:rPr>
          <w:rFonts w:asciiTheme="minorHAnsi" w:hAnsiTheme="minorHAnsi" w:cs="Calibri"/>
          <w:color w:val="000000" w:themeColor="text1"/>
          <w:szCs w:val="22"/>
        </w:rPr>
        <w:t xml:space="preserve"> more welcoming destination for international students.</w:t>
      </w:r>
    </w:p>
    <w:sectPr w:rsidR="0094541C" w:rsidSect="00124BE5">
      <w:footerReference w:type="default" r:id="rId11"/>
      <w:type w:val="continuous"/>
      <w:pgSz w:w="11906" w:h="16838" w:code="9"/>
      <w:pgMar w:top="284" w:right="424" w:bottom="567" w:left="709" w:header="567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5F" w:rsidRDefault="00DA645F">
      <w:r>
        <w:separator/>
      </w:r>
    </w:p>
  </w:endnote>
  <w:endnote w:type="continuationSeparator" w:id="0">
    <w:p w:rsidR="00DA645F" w:rsidRDefault="00DA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FD" w:rsidRPr="006067D7" w:rsidRDefault="00786BD2" w:rsidP="00EB6DFD">
    <w:pPr>
      <w:spacing w:after="40" w:line="160" w:lineRule="exact"/>
      <w:rPr>
        <w:rFonts w:ascii="Cambria" w:hAnsi="Cambria" w:cstheme="minorHAnsi"/>
        <w:i/>
        <w:color w:val="0000FF"/>
        <w:sz w:val="14"/>
        <w:szCs w:val="16"/>
        <w:u w:val="single"/>
      </w:rPr>
    </w:pPr>
    <w:r>
      <w:rPr>
        <w:rFonts w:ascii="Cambria" w:hAnsi="Cambria" w:cstheme="minorHAnsi"/>
        <w:i/>
        <w:color w:val="000000"/>
        <w:sz w:val="14"/>
        <w:szCs w:val="16"/>
        <w:vertAlign w:val="superscript"/>
      </w:rPr>
      <w:t>1</w:t>
    </w:r>
    <w:r w:rsidR="00CD0BF2">
      <w:rPr>
        <w:rFonts w:ascii="Cambria" w:hAnsi="Cambria" w:cstheme="minorHAnsi"/>
        <w:i/>
        <w:color w:val="000000"/>
        <w:sz w:val="14"/>
        <w:szCs w:val="16"/>
      </w:rPr>
      <w:t xml:space="preserve">The UK Council for International Student Affairs report is available from: </w:t>
    </w:r>
    <w:hyperlink r:id="rId1" w:history="1">
      <w:r w:rsidR="00CD0BF2" w:rsidRPr="00CD0BF2">
        <w:rPr>
          <w:rStyle w:val="Hyperlink"/>
          <w:rFonts w:ascii="Cambria" w:hAnsi="Cambria" w:cstheme="minorHAnsi"/>
          <w:i/>
          <w:sz w:val="14"/>
          <w:szCs w:val="16"/>
        </w:rPr>
        <w:t>https://www.ukcisa.org.uk/Research--Policy/Statistics/International-student-statistics-UK-higher-education</w:t>
      </w:r>
    </w:hyperlink>
  </w:p>
  <w:p w:rsidR="008F3621" w:rsidRDefault="00786BD2" w:rsidP="006067D7">
    <w:pPr>
      <w:spacing w:after="40" w:line="160" w:lineRule="exact"/>
      <w:rPr>
        <w:rFonts w:ascii="Cambria" w:hAnsi="Cambria" w:cstheme="minorHAnsi"/>
        <w:i/>
        <w:color w:val="000000"/>
        <w:sz w:val="14"/>
        <w:szCs w:val="16"/>
      </w:rPr>
    </w:pPr>
    <w:r w:rsidRPr="00786BD2">
      <w:rPr>
        <w:rFonts w:ascii="Cambria" w:hAnsi="Cambria" w:cstheme="minorHAnsi"/>
        <w:i/>
        <w:color w:val="000000"/>
        <w:sz w:val="14"/>
        <w:szCs w:val="16"/>
        <w:vertAlign w:val="superscript"/>
      </w:rPr>
      <w:t>2</w:t>
    </w:r>
    <w:r w:rsidR="0094541C" w:rsidRPr="0094541C">
      <w:rPr>
        <w:rFonts w:ascii="Cambria" w:hAnsi="Cambria" w:cstheme="minorHAnsi"/>
        <w:i/>
        <w:color w:val="000000"/>
        <w:sz w:val="14"/>
        <w:szCs w:val="16"/>
      </w:rPr>
      <w:t xml:space="preserve"> </w:t>
    </w:r>
    <w:hyperlink r:id="rId2" w:history="1">
      <w:r w:rsidR="008F3621" w:rsidRPr="00182B1D">
        <w:rPr>
          <w:rStyle w:val="Hyperlink"/>
          <w:rFonts w:ascii="Cambria" w:hAnsi="Cambria" w:cstheme="minorHAnsi"/>
          <w:i/>
          <w:sz w:val="14"/>
          <w:szCs w:val="16"/>
        </w:rPr>
        <w:t>https://www.theguardian.com/higher-education-network/2016/jul/14/international-student-numbers-have-been-plummeting-for-years-now-what</w:t>
      </w:r>
    </w:hyperlink>
  </w:p>
  <w:p w:rsidR="006067D7" w:rsidRPr="00EB6DFD" w:rsidRDefault="00A13577" w:rsidP="006067D7">
    <w:pPr>
      <w:spacing w:after="40" w:line="160" w:lineRule="exact"/>
      <w:rPr>
        <w:rFonts w:ascii="Cambria" w:hAnsi="Cambria" w:cstheme="minorHAnsi"/>
        <w:sz w:val="14"/>
        <w:szCs w:val="16"/>
      </w:rPr>
    </w:pPr>
    <w:r w:rsidRPr="00EB6DFD">
      <w:rPr>
        <w:rFonts w:ascii="Cambria" w:hAnsi="Cambria" w:cstheme="minorHAnsi"/>
        <w:color w:val="000000"/>
        <w:sz w:val="14"/>
        <w:szCs w:val="16"/>
      </w:rPr>
      <w:t xml:space="preserve">For further information about this Research Snapshot or the Research Snapshot Series contact the International Research and Analysis Unit by email </w:t>
    </w:r>
    <w:hyperlink r:id="rId3" w:history="1">
      <w:r w:rsidRPr="00EB6DFD">
        <w:rPr>
          <w:rStyle w:val="Hyperlink"/>
          <w:rFonts w:ascii="Cambria" w:hAnsi="Cambria" w:cstheme="minorHAnsi"/>
          <w:sz w:val="14"/>
          <w:szCs w:val="16"/>
        </w:rPr>
        <w:t>IEResearch@education.gov.au</w:t>
      </w:r>
    </w:hyperlink>
    <w:r w:rsidRPr="00EB6DFD">
      <w:rPr>
        <w:rFonts w:ascii="Cambria" w:hAnsi="Cambria" w:cstheme="minorHAnsi"/>
        <w:sz w:val="14"/>
        <w:szCs w:val="16"/>
      </w:rPr>
      <w:t>.</w:t>
    </w:r>
  </w:p>
  <w:p w:rsidR="00A13577" w:rsidRPr="00EB6DFD" w:rsidRDefault="00A13577" w:rsidP="00A2191C">
    <w:pPr>
      <w:spacing w:line="160" w:lineRule="exact"/>
      <w:rPr>
        <w:rFonts w:ascii="Cambria" w:hAnsi="Cambria" w:cstheme="minorHAnsi"/>
        <w:sz w:val="14"/>
        <w:szCs w:val="16"/>
      </w:rPr>
    </w:pPr>
    <w:r w:rsidRPr="00EB6DFD">
      <w:rPr>
        <w:rFonts w:ascii="Cambria" w:hAnsi="Cambria" w:cstheme="minorHAnsi"/>
        <w:sz w:val="14"/>
        <w:szCs w:val="16"/>
      </w:rPr>
      <w:t xml:space="preserve">The Research Snapshot series can be accessed from </w:t>
    </w:r>
    <w:hyperlink r:id="rId4" w:history="1">
      <w:r w:rsidRPr="00EB6DFD">
        <w:rPr>
          <w:rStyle w:val="Hyperlink"/>
          <w:rFonts w:ascii="Cambria" w:hAnsi="Cambria" w:cstheme="minorHAnsi"/>
          <w:sz w:val="14"/>
          <w:szCs w:val="16"/>
        </w:rPr>
        <w:t>https://internationaleducation.gov.au/research/research-snapshots/pages/default.aspx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5F" w:rsidRPr="00FD1250" w:rsidRDefault="00DA645F" w:rsidP="00FD1250">
      <w:pPr>
        <w:pStyle w:val="Footer"/>
      </w:pPr>
    </w:p>
  </w:footnote>
  <w:footnote w:type="continuationSeparator" w:id="0">
    <w:p w:rsidR="00DA645F" w:rsidRDefault="00DA645F">
      <w:r>
        <w:continuationSeparator/>
      </w:r>
    </w:p>
  </w:footnote>
  <w:footnote w:id="1">
    <w:p w:rsidR="0094541C" w:rsidRDefault="0094541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960"/>
    <w:multiLevelType w:val="hybridMultilevel"/>
    <w:tmpl w:val="D1787AD2"/>
    <w:lvl w:ilvl="0" w:tplc="50E03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5C3"/>
    <w:multiLevelType w:val="hybridMultilevel"/>
    <w:tmpl w:val="09545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4BB6"/>
    <w:multiLevelType w:val="hybridMultilevel"/>
    <w:tmpl w:val="91F61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94E4A"/>
    <w:multiLevelType w:val="hybridMultilevel"/>
    <w:tmpl w:val="4A3A1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663A6"/>
    <w:multiLevelType w:val="hybridMultilevel"/>
    <w:tmpl w:val="FFD63FFC"/>
    <w:lvl w:ilvl="0" w:tplc="9BA22F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4E818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E4D8A"/>
    <w:multiLevelType w:val="hybridMultilevel"/>
    <w:tmpl w:val="2CDAE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34DCB"/>
    <w:multiLevelType w:val="hybridMultilevel"/>
    <w:tmpl w:val="198C6E4A"/>
    <w:lvl w:ilvl="0" w:tplc="151049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B7"/>
    <w:rsid w:val="000006D0"/>
    <w:rsid w:val="0000134E"/>
    <w:rsid w:val="00006A94"/>
    <w:rsid w:val="00006D7A"/>
    <w:rsid w:val="000076C9"/>
    <w:rsid w:val="00010D51"/>
    <w:rsid w:val="00011FE6"/>
    <w:rsid w:val="00012AFC"/>
    <w:rsid w:val="000154BA"/>
    <w:rsid w:val="00015C60"/>
    <w:rsid w:val="00015D21"/>
    <w:rsid w:val="00016FA6"/>
    <w:rsid w:val="0002497E"/>
    <w:rsid w:val="00024AA2"/>
    <w:rsid w:val="00031338"/>
    <w:rsid w:val="000324C0"/>
    <w:rsid w:val="00033829"/>
    <w:rsid w:val="00034A7D"/>
    <w:rsid w:val="00034F54"/>
    <w:rsid w:val="00035FE5"/>
    <w:rsid w:val="000371ED"/>
    <w:rsid w:val="0003779B"/>
    <w:rsid w:val="0004008B"/>
    <w:rsid w:val="00040717"/>
    <w:rsid w:val="00040A0D"/>
    <w:rsid w:val="00040D90"/>
    <w:rsid w:val="00041B86"/>
    <w:rsid w:val="00042EED"/>
    <w:rsid w:val="0004753C"/>
    <w:rsid w:val="00047BF6"/>
    <w:rsid w:val="00050720"/>
    <w:rsid w:val="00052C4B"/>
    <w:rsid w:val="00056D7B"/>
    <w:rsid w:val="00056E16"/>
    <w:rsid w:val="0005799A"/>
    <w:rsid w:val="000579A6"/>
    <w:rsid w:val="000602DD"/>
    <w:rsid w:val="00061DFB"/>
    <w:rsid w:val="0006351D"/>
    <w:rsid w:val="0006363D"/>
    <w:rsid w:val="00064849"/>
    <w:rsid w:val="00065418"/>
    <w:rsid w:val="00065AB2"/>
    <w:rsid w:val="0007133C"/>
    <w:rsid w:val="000715AE"/>
    <w:rsid w:val="00074D35"/>
    <w:rsid w:val="000860A7"/>
    <w:rsid w:val="00090DB0"/>
    <w:rsid w:val="000941CE"/>
    <w:rsid w:val="0009572B"/>
    <w:rsid w:val="000A06FE"/>
    <w:rsid w:val="000A129C"/>
    <w:rsid w:val="000A66C4"/>
    <w:rsid w:val="000B3A2D"/>
    <w:rsid w:val="000B4E1B"/>
    <w:rsid w:val="000B7B27"/>
    <w:rsid w:val="000C0D2E"/>
    <w:rsid w:val="000C2E42"/>
    <w:rsid w:val="000C32A7"/>
    <w:rsid w:val="000D12E2"/>
    <w:rsid w:val="000D1A0F"/>
    <w:rsid w:val="000D26AD"/>
    <w:rsid w:val="000D27E7"/>
    <w:rsid w:val="000D667E"/>
    <w:rsid w:val="000D7D65"/>
    <w:rsid w:val="000E2B20"/>
    <w:rsid w:val="000E427C"/>
    <w:rsid w:val="000E5FAB"/>
    <w:rsid w:val="000E7111"/>
    <w:rsid w:val="000F13CE"/>
    <w:rsid w:val="000F1E61"/>
    <w:rsid w:val="000F286F"/>
    <w:rsid w:val="000F2A82"/>
    <w:rsid w:val="000F549D"/>
    <w:rsid w:val="000F61E8"/>
    <w:rsid w:val="000F6496"/>
    <w:rsid w:val="000F76D0"/>
    <w:rsid w:val="00103020"/>
    <w:rsid w:val="001030C3"/>
    <w:rsid w:val="00105D93"/>
    <w:rsid w:val="00110160"/>
    <w:rsid w:val="00110952"/>
    <w:rsid w:val="001117B5"/>
    <w:rsid w:val="00114803"/>
    <w:rsid w:val="00114A43"/>
    <w:rsid w:val="001166F1"/>
    <w:rsid w:val="00116985"/>
    <w:rsid w:val="001169B5"/>
    <w:rsid w:val="00116C2B"/>
    <w:rsid w:val="00120C87"/>
    <w:rsid w:val="00120E30"/>
    <w:rsid w:val="001218CA"/>
    <w:rsid w:val="00122577"/>
    <w:rsid w:val="00124BE5"/>
    <w:rsid w:val="00124E7A"/>
    <w:rsid w:val="00124EFA"/>
    <w:rsid w:val="00127D50"/>
    <w:rsid w:val="00127E38"/>
    <w:rsid w:val="00130243"/>
    <w:rsid w:val="0013095E"/>
    <w:rsid w:val="00131B3F"/>
    <w:rsid w:val="00131D4C"/>
    <w:rsid w:val="00136AE8"/>
    <w:rsid w:val="001413F8"/>
    <w:rsid w:val="00141E0F"/>
    <w:rsid w:val="00142132"/>
    <w:rsid w:val="00142837"/>
    <w:rsid w:val="001436E0"/>
    <w:rsid w:val="0014444A"/>
    <w:rsid w:val="00147D5B"/>
    <w:rsid w:val="00150F17"/>
    <w:rsid w:val="00151CE4"/>
    <w:rsid w:val="001621C9"/>
    <w:rsid w:val="001632C2"/>
    <w:rsid w:val="00170567"/>
    <w:rsid w:val="00171815"/>
    <w:rsid w:val="001727A2"/>
    <w:rsid w:val="001735B2"/>
    <w:rsid w:val="0017472E"/>
    <w:rsid w:val="00176503"/>
    <w:rsid w:val="00176A4F"/>
    <w:rsid w:val="001775B3"/>
    <w:rsid w:val="00177AEE"/>
    <w:rsid w:val="00184563"/>
    <w:rsid w:val="00184D7C"/>
    <w:rsid w:val="001873C7"/>
    <w:rsid w:val="0019380E"/>
    <w:rsid w:val="00194B44"/>
    <w:rsid w:val="00195F6E"/>
    <w:rsid w:val="00197B12"/>
    <w:rsid w:val="001A081F"/>
    <w:rsid w:val="001A19C4"/>
    <w:rsid w:val="001A5293"/>
    <w:rsid w:val="001A67DA"/>
    <w:rsid w:val="001B15C2"/>
    <w:rsid w:val="001B3114"/>
    <w:rsid w:val="001B46ED"/>
    <w:rsid w:val="001C6184"/>
    <w:rsid w:val="001C7434"/>
    <w:rsid w:val="001D0D88"/>
    <w:rsid w:val="001D250B"/>
    <w:rsid w:val="001D2BBC"/>
    <w:rsid w:val="001D5802"/>
    <w:rsid w:val="001D58D1"/>
    <w:rsid w:val="001D60E0"/>
    <w:rsid w:val="001E59B3"/>
    <w:rsid w:val="001E7993"/>
    <w:rsid w:val="001F0AA6"/>
    <w:rsid w:val="001F1319"/>
    <w:rsid w:val="001F4504"/>
    <w:rsid w:val="001F693A"/>
    <w:rsid w:val="002011FE"/>
    <w:rsid w:val="00201B1A"/>
    <w:rsid w:val="002029F8"/>
    <w:rsid w:val="002049E4"/>
    <w:rsid w:val="00205882"/>
    <w:rsid w:val="00207B5F"/>
    <w:rsid w:val="002109F0"/>
    <w:rsid w:val="00211C76"/>
    <w:rsid w:val="0021518B"/>
    <w:rsid w:val="00217475"/>
    <w:rsid w:val="002203D4"/>
    <w:rsid w:val="00220553"/>
    <w:rsid w:val="00221097"/>
    <w:rsid w:val="00221FE0"/>
    <w:rsid w:val="002222FA"/>
    <w:rsid w:val="00224EE1"/>
    <w:rsid w:val="00225063"/>
    <w:rsid w:val="002272BE"/>
    <w:rsid w:val="002278E9"/>
    <w:rsid w:val="00232CB1"/>
    <w:rsid w:val="002366D5"/>
    <w:rsid w:val="002369F4"/>
    <w:rsid w:val="002373AC"/>
    <w:rsid w:val="00240FF6"/>
    <w:rsid w:val="0024244B"/>
    <w:rsid w:val="0024451A"/>
    <w:rsid w:val="00246D07"/>
    <w:rsid w:val="002505B3"/>
    <w:rsid w:val="00250DEA"/>
    <w:rsid w:val="00251D4E"/>
    <w:rsid w:val="00252223"/>
    <w:rsid w:val="00252322"/>
    <w:rsid w:val="00253866"/>
    <w:rsid w:val="00253C45"/>
    <w:rsid w:val="00253C56"/>
    <w:rsid w:val="0025460D"/>
    <w:rsid w:val="00254BEC"/>
    <w:rsid w:val="0026026F"/>
    <w:rsid w:val="0026157C"/>
    <w:rsid w:val="00262411"/>
    <w:rsid w:val="002674E7"/>
    <w:rsid w:val="00273A02"/>
    <w:rsid w:val="00276799"/>
    <w:rsid w:val="002803EA"/>
    <w:rsid w:val="00280D4C"/>
    <w:rsid w:val="002858EE"/>
    <w:rsid w:val="00287758"/>
    <w:rsid w:val="00290114"/>
    <w:rsid w:val="0029065F"/>
    <w:rsid w:val="002911E6"/>
    <w:rsid w:val="002914A7"/>
    <w:rsid w:val="0029290C"/>
    <w:rsid w:val="002930E5"/>
    <w:rsid w:val="002943B1"/>
    <w:rsid w:val="002A2F76"/>
    <w:rsid w:val="002A4F8E"/>
    <w:rsid w:val="002A5585"/>
    <w:rsid w:val="002A57F3"/>
    <w:rsid w:val="002B11C4"/>
    <w:rsid w:val="002B5A00"/>
    <w:rsid w:val="002B634D"/>
    <w:rsid w:val="002C181D"/>
    <w:rsid w:val="002D0229"/>
    <w:rsid w:val="002D031D"/>
    <w:rsid w:val="002D13BE"/>
    <w:rsid w:val="002D16D0"/>
    <w:rsid w:val="002D4ADC"/>
    <w:rsid w:val="002D4BF2"/>
    <w:rsid w:val="002D656A"/>
    <w:rsid w:val="002D7B5D"/>
    <w:rsid w:val="002E1255"/>
    <w:rsid w:val="002E1E82"/>
    <w:rsid w:val="002E25C3"/>
    <w:rsid w:val="002E433A"/>
    <w:rsid w:val="002E552A"/>
    <w:rsid w:val="002F09EC"/>
    <w:rsid w:val="002F262A"/>
    <w:rsid w:val="002F2910"/>
    <w:rsid w:val="002F43B3"/>
    <w:rsid w:val="002F6C5A"/>
    <w:rsid w:val="00300C87"/>
    <w:rsid w:val="0030176F"/>
    <w:rsid w:val="00305026"/>
    <w:rsid w:val="00307E64"/>
    <w:rsid w:val="00311A93"/>
    <w:rsid w:val="0031720E"/>
    <w:rsid w:val="00322C12"/>
    <w:rsid w:val="00323D29"/>
    <w:rsid w:val="00323FEC"/>
    <w:rsid w:val="00325183"/>
    <w:rsid w:val="0032703B"/>
    <w:rsid w:val="00330106"/>
    <w:rsid w:val="0033440D"/>
    <w:rsid w:val="00334DEC"/>
    <w:rsid w:val="00334E02"/>
    <w:rsid w:val="00335C17"/>
    <w:rsid w:val="00335FB4"/>
    <w:rsid w:val="00337EF4"/>
    <w:rsid w:val="0034024C"/>
    <w:rsid w:val="003408D4"/>
    <w:rsid w:val="00340EF8"/>
    <w:rsid w:val="0034209B"/>
    <w:rsid w:val="00342B2E"/>
    <w:rsid w:val="00347AE4"/>
    <w:rsid w:val="00354FCE"/>
    <w:rsid w:val="003557A9"/>
    <w:rsid w:val="00357776"/>
    <w:rsid w:val="0036194E"/>
    <w:rsid w:val="00362500"/>
    <w:rsid w:val="0036377B"/>
    <w:rsid w:val="00364690"/>
    <w:rsid w:val="00364904"/>
    <w:rsid w:val="003677E6"/>
    <w:rsid w:val="00370892"/>
    <w:rsid w:val="0037096E"/>
    <w:rsid w:val="00377F34"/>
    <w:rsid w:val="00390937"/>
    <w:rsid w:val="00391124"/>
    <w:rsid w:val="003951D4"/>
    <w:rsid w:val="00395EC3"/>
    <w:rsid w:val="0039744B"/>
    <w:rsid w:val="003A0A6E"/>
    <w:rsid w:val="003A1B55"/>
    <w:rsid w:val="003B3AFE"/>
    <w:rsid w:val="003B418D"/>
    <w:rsid w:val="003B7FB4"/>
    <w:rsid w:val="003C0D9D"/>
    <w:rsid w:val="003C14D4"/>
    <w:rsid w:val="003C1C89"/>
    <w:rsid w:val="003C391C"/>
    <w:rsid w:val="003C472D"/>
    <w:rsid w:val="003C5188"/>
    <w:rsid w:val="003C560B"/>
    <w:rsid w:val="003C6DF8"/>
    <w:rsid w:val="003D0DD6"/>
    <w:rsid w:val="003D2681"/>
    <w:rsid w:val="003D36DE"/>
    <w:rsid w:val="003D3728"/>
    <w:rsid w:val="003D4942"/>
    <w:rsid w:val="003D55A6"/>
    <w:rsid w:val="003D6094"/>
    <w:rsid w:val="003D7D24"/>
    <w:rsid w:val="003E03CF"/>
    <w:rsid w:val="003E13E7"/>
    <w:rsid w:val="003E1CF7"/>
    <w:rsid w:val="003E579B"/>
    <w:rsid w:val="003E5C3C"/>
    <w:rsid w:val="003E5F26"/>
    <w:rsid w:val="003E6E02"/>
    <w:rsid w:val="003F066F"/>
    <w:rsid w:val="003F0AD2"/>
    <w:rsid w:val="003F134A"/>
    <w:rsid w:val="003F31C1"/>
    <w:rsid w:val="003F3BFA"/>
    <w:rsid w:val="003F52C7"/>
    <w:rsid w:val="003F7D2B"/>
    <w:rsid w:val="004008A5"/>
    <w:rsid w:val="00400FCB"/>
    <w:rsid w:val="00406A43"/>
    <w:rsid w:val="00406CA9"/>
    <w:rsid w:val="00410E2C"/>
    <w:rsid w:val="00412290"/>
    <w:rsid w:val="00413541"/>
    <w:rsid w:val="00414BCF"/>
    <w:rsid w:val="00417C5D"/>
    <w:rsid w:val="00420DA9"/>
    <w:rsid w:val="00427FAA"/>
    <w:rsid w:val="0043003F"/>
    <w:rsid w:val="00432A8B"/>
    <w:rsid w:val="00432EB5"/>
    <w:rsid w:val="004360E7"/>
    <w:rsid w:val="004361BD"/>
    <w:rsid w:val="004401C2"/>
    <w:rsid w:val="0044083C"/>
    <w:rsid w:val="00440FB8"/>
    <w:rsid w:val="00441AC9"/>
    <w:rsid w:val="00441FC8"/>
    <w:rsid w:val="00444A50"/>
    <w:rsid w:val="00444F7E"/>
    <w:rsid w:val="00447550"/>
    <w:rsid w:val="00452290"/>
    <w:rsid w:val="0045411D"/>
    <w:rsid w:val="0045634D"/>
    <w:rsid w:val="0045661C"/>
    <w:rsid w:val="00457A89"/>
    <w:rsid w:val="00461948"/>
    <w:rsid w:val="004641BE"/>
    <w:rsid w:val="00464B0E"/>
    <w:rsid w:val="004652B6"/>
    <w:rsid w:val="004674D4"/>
    <w:rsid w:val="004723EC"/>
    <w:rsid w:val="004757EE"/>
    <w:rsid w:val="00477620"/>
    <w:rsid w:val="00482FA3"/>
    <w:rsid w:val="0048450D"/>
    <w:rsid w:val="00485F01"/>
    <w:rsid w:val="00486AFF"/>
    <w:rsid w:val="00490B54"/>
    <w:rsid w:val="00491991"/>
    <w:rsid w:val="00491F27"/>
    <w:rsid w:val="0049445B"/>
    <w:rsid w:val="00494B27"/>
    <w:rsid w:val="00494BF7"/>
    <w:rsid w:val="00496F73"/>
    <w:rsid w:val="00497791"/>
    <w:rsid w:val="00497A56"/>
    <w:rsid w:val="004A064E"/>
    <w:rsid w:val="004A0FB5"/>
    <w:rsid w:val="004A3598"/>
    <w:rsid w:val="004A3CB6"/>
    <w:rsid w:val="004A6FE8"/>
    <w:rsid w:val="004A76DC"/>
    <w:rsid w:val="004B1B86"/>
    <w:rsid w:val="004B1B94"/>
    <w:rsid w:val="004B1EEB"/>
    <w:rsid w:val="004B4D62"/>
    <w:rsid w:val="004B6B5A"/>
    <w:rsid w:val="004B6E7B"/>
    <w:rsid w:val="004B7F8D"/>
    <w:rsid w:val="004C1FF6"/>
    <w:rsid w:val="004C5AD7"/>
    <w:rsid w:val="004C61B6"/>
    <w:rsid w:val="004D0D57"/>
    <w:rsid w:val="004D2814"/>
    <w:rsid w:val="004D3512"/>
    <w:rsid w:val="004D568A"/>
    <w:rsid w:val="004D57A0"/>
    <w:rsid w:val="004D6179"/>
    <w:rsid w:val="004D7836"/>
    <w:rsid w:val="004E017A"/>
    <w:rsid w:val="004E04B5"/>
    <w:rsid w:val="004E13D1"/>
    <w:rsid w:val="004E1E63"/>
    <w:rsid w:val="004E36DC"/>
    <w:rsid w:val="004E5CEE"/>
    <w:rsid w:val="004E70D9"/>
    <w:rsid w:val="004F126E"/>
    <w:rsid w:val="004F3EE3"/>
    <w:rsid w:val="004F4458"/>
    <w:rsid w:val="00502BEC"/>
    <w:rsid w:val="0050631D"/>
    <w:rsid w:val="00511342"/>
    <w:rsid w:val="00511DA3"/>
    <w:rsid w:val="005138AF"/>
    <w:rsid w:val="00513D78"/>
    <w:rsid w:val="005143C1"/>
    <w:rsid w:val="00514E1D"/>
    <w:rsid w:val="005162A2"/>
    <w:rsid w:val="00520616"/>
    <w:rsid w:val="0052100A"/>
    <w:rsid w:val="00522136"/>
    <w:rsid w:val="005240C9"/>
    <w:rsid w:val="0052579E"/>
    <w:rsid w:val="00525DF7"/>
    <w:rsid w:val="00525E6F"/>
    <w:rsid w:val="005262E9"/>
    <w:rsid w:val="00532ABD"/>
    <w:rsid w:val="00541FBB"/>
    <w:rsid w:val="0054317E"/>
    <w:rsid w:val="00544260"/>
    <w:rsid w:val="00544D96"/>
    <w:rsid w:val="00544FA9"/>
    <w:rsid w:val="005471AB"/>
    <w:rsid w:val="0054756E"/>
    <w:rsid w:val="005502B1"/>
    <w:rsid w:val="00553D55"/>
    <w:rsid w:val="00566F1D"/>
    <w:rsid w:val="005679EF"/>
    <w:rsid w:val="0057517A"/>
    <w:rsid w:val="005751E5"/>
    <w:rsid w:val="00576B0E"/>
    <w:rsid w:val="00576BC3"/>
    <w:rsid w:val="0058103D"/>
    <w:rsid w:val="00583450"/>
    <w:rsid w:val="00583726"/>
    <w:rsid w:val="00587E12"/>
    <w:rsid w:val="00590839"/>
    <w:rsid w:val="00591045"/>
    <w:rsid w:val="00591EBA"/>
    <w:rsid w:val="00594FA2"/>
    <w:rsid w:val="005965AD"/>
    <w:rsid w:val="00596C11"/>
    <w:rsid w:val="005978DB"/>
    <w:rsid w:val="005A18FE"/>
    <w:rsid w:val="005A2D8C"/>
    <w:rsid w:val="005A3326"/>
    <w:rsid w:val="005A37AF"/>
    <w:rsid w:val="005A4058"/>
    <w:rsid w:val="005A6A78"/>
    <w:rsid w:val="005B0E1F"/>
    <w:rsid w:val="005B29FD"/>
    <w:rsid w:val="005B688C"/>
    <w:rsid w:val="005C176C"/>
    <w:rsid w:val="005C5639"/>
    <w:rsid w:val="005C600F"/>
    <w:rsid w:val="005C621D"/>
    <w:rsid w:val="005C6BE7"/>
    <w:rsid w:val="005D1AAE"/>
    <w:rsid w:val="005D236C"/>
    <w:rsid w:val="005D6B0D"/>
    <w:rsid w:val="005D71C3"/>
    <w:rsid w:val="005E22E9"/>
    <w:rsid w:val="005E2800"/>
    <w:rsid w:val="005E35AF"/>
    <w:rsid w:val="005E5517"/>
    <w:rsid w:val="005E5E3A"/>
    <w:rsid w:val="005E7DC6"/>
    <w:rsid w:val="005F0695"/>
    <w:rsid w:val="005F1A2E"/>
    <w:rsid w:val="005F44A1"/>
    <w:rsid w:val="005F4DEC"/>
    <w:rsid w:val="005F7571"/>
    <w:rsid w:val="005F76A2"/>
    <w:rsid w:val="005F7BAD"/>
    <w:rsid w:val="006014C0"/>
    <w:rsid w:val="006029F4"/>
    <w:rsid w:val="00602CFA"/>
    <w:rsid w:val="006044F8"/>
    <w:rsid w:val="00604E7B"/>
    <w:rsid w:val="006067D7"/>
    <w:rsid w:val="00607840"/>
    <w:rsid w:val="00607E56"/>
    <w:rsid w:val="006107F3"/>
    <w:rsid w:val="00610964"/>
    <w:rsid w:val="00610A7B"/>
    <w:rsid w:val="006113FB"/>
    <w:rsid w:val="006116CC"/>
    <w:rsid w:val="00613883"/>
    <w:rsid w:val="0061578D"/>
    <w:rsid w:val="006170D3"/>
    <w:rsid w:val="00620CB8"/>
    <w:rsid w:val="00625D3E"/>
    <w:rsid w:val="00626723"/>
    <w:rsid w:val="00630018"/>
    <w:rsid w:val="0063009F"/>
    <w:rsid w:val="006318FA"/>
    <w:rsid w:val="006338FC"/>
    <w:rsid w:val="00634E4A"/>
    <w:rsid w:val="006359C7"/>
    <w:rsid w:val="00636364"/>
    <w:rsid w:val="0063761C"/>
    <w:rsid w:val="00637726"/>
    <w:rsid w:val="00637782"/>
    <w:rsid w:val="0064174B"/>
    <w:rsid w:val="00642CB1"/>
    <w:rsid w:val="00652B52"/>
    <w:rsid w:val="00652EEE"/>
    <w:rsid w:val="00654BF1"/>
    <w:rsid w:val="00660952"/>
    <w:rsid w:val="00660BB4"/>
    <w:rsid w:val="00661F6C"/>
    <w:rsid w:val="00662A46"/>
    <w:rsid w:val="00663E9B"/>
    <w:rsid w:val="0066736A"/>
    <w:rsid w:val="00667455"/>
    <w:rsid w:val="00671F68"/>
    <w:rsid w:val="006721C5"/>
    <w:rsid w:val="006721CA"/>
    <w:rsid w:val="00672C6D"/>
    <w:rsid w:val="00672C77"/>
    <w:rsid w:val="00673272"/>
    <w:rsid w:val="00675A8A"/>
    <w:rsid w:val="00676110"/>
    <w:rsid w:val="00676A88"/>
    <w:rsid w:val="00680663"/>
    <w:rsid w:val="006806AA"/>
    <w:rsid w:val="00680F2D"/>
    <w:rsid w:val="0068113D"/>
    <w:rsid w:val="006812D9"/>
    <w:rsid w:val="00681CC4"/>
    <w:rsid w:val="00683086"/>
    <w:rsid w:val="00683673"/>
    <w:rsid w:val="00683833"/>
    <w:rsid w:val="00683EBD"/>
    <w:rsid w:val="0068604C"/>
    <w:rsid w:val="006876A6"/>
    <w:rsid w:val="00687798"/>
    <w:rsid w:val="00687D58"/>
    <w:rsid w:val="006913C7"/>
    <w:rsid w:val="00691C99"/>
    <w:rsid w:val="00691E79"/>
    <w:rsid w:val="0069305A"/>
    <w:rsid w:val="00695CC3"/>
    <w:rsid w:val="00696828"/>
    <w:rsid w:val="00696EFE"/>
    <w:rsid w:val="00697988"/>
    <w:rsid w:val="00697A2B"/>
    <w:rsid w:val="006A0001"/>
    <w:rsid w:val="006A27A2"/>
    <w:rsid w:val="006A4A5B"/>
    <w:rsid w:val="006B01B1"/>
    <w:rsid w:val="006B0D3B"/>
    <w:rsid w:val="006B0FEB"/>
    <w:rsid w:val="006B26C7"/>
    <w:rsid w:val="006B36DD"/>
    <w:rsid w:val="006B3AAB"/>
    <w:rsid w:val="006B4B87"/>
    <w:rsid w:val="006C1365"/>
    <w:rsid w:val="006C4306"/>
    <w:rsid w:val="006C4659"/>
    <w:rsid w:val="006C5661"/>
    <w:rsid w:val="006C65D5"/>
    <w:rsid w:val="006C79F8"/>
    <w:rsid w:val="006D0B98"/>
    <w:rsid w:val="006D211F"/>
    <w:rsid w:val="006D219A"/>
    <w:rsid w:val="006D4274"/>
    <w:rsid w:val="006D4395"/>
    <w:rsid w:val="006D56FA"/>
    <w:rsid w:val="006D5DEF"/>
    <w:rsid w:val="006D799C"/>
    <w:rsid w:val="006D7A55"/>
    <w:rsid w:val="006E2195"/>
    <w:rsid w:val="006E4372"/>
    <w:rsid w:val="006E453B"/>
    <w:rsid w:val="006E49AE"/>
    <w:rsid w:val="006F4CC1"/>
    <w:rsid w:val="00701FB8"/>
    <w:rsid w:val="0070470A"/>
    <w:rsid w:val="007059C3"/>
    <w:rsid w:val="007065BA"/>
    <w:rsid w:val="007072A5"/>
    <w:rsid w:val="00707FB2"/>
    <w:rsid w:val="0071003B"/>
    <w:rsid w:val="00710E5E"/>
    <w:rsid w:val="007123D4"/>
    <w:rsid w:val="0071372E"/>
    <w:rsid w:val="0071482C"/>
    <w:rsid w:val="00715B2E"/>
    <w:rsid w:val="00722454"/>
    <w:rsid w:val="00723413"/>
    <w:rsid w:val="0072347F"/>
    <w:rsid w:val="00724F16"/>
    <w:rsid w:val="00726470"/>
    <w:rsid w:val="00727A34"/>
    <w:rsid w:val="00727E5F"/>
    <w:rsid w:val="00730B16"/>
    <w:rsid w:val="00730C7C"/>
    <w:rsid w:val="00732AD8"/>
    <w:rsid w:val="00733232"/>
    <w:rsid w:val="00737AB0"/>
    <w:rsid w:val="00740195"/>
    <w:rsid w:val="0074661A"/>
    <w:rsid w:val="00752669"/>
    <w:rsid w:val="00755D9C"/>
    <w:rsid w:val="0075711C"/>
    <w:rsid w:val="00760AF3"/>
    <w:rsid w:val="0076131B"/>
    <w:rsid w:val="007620B0"/>
    <w:rsid w:val="00763F9B"/>
    <w:rsid w:val="00764913"/>
    <w:rsid w:val="00765EC1"/>
    <w:rsid w:val="00771A79"/>
    <w:rsid w:val="007722F9"/>
    <w:rsid w:val="00772D54"/>
    <w:rsid w:val="00772E99"/>
    <w:rsid w:val="00774202"/>
    <w:rsid w:val="00774231"/>
    <w:rsid w:val="00775F01"/>
    <w:rsid w:val="007855A2"/>
    <w:rsid w:val="00785996"/>
    <w:rsid w:val="007859C6"/>
    <w:rsid w:val="00786BD2"/>
    <w:rsid w:val="007928BF"/>
    <w:rsid w:val="00792963"/>
    <w:rsid w:val="00794E64"/>
    <w:rsid w:val="00795EC1"/>
    <w:rsid w:val="0079613C"/>
    <w:rsid w:val="0079629A"/>
    <w:rsid w:val="007A14AF"/>
    <w:rsid w:val="007A25DA"/>
    <w:rsid w:val="007A46CE"/>
    <w:rsid w:val="007A5A27"/>
    <w:rsid w:val="007A6E10"/>
    <w:rsid w:val="007A6F7D"/>
    <w:rsid w:val="007B53B7"/>
    <w:rsid w:val="007B71E3"/>
    <w:rsid w:val="007C0099"/>
    <w:rsid w:val="007C2140"/>
    <w:rsid w:val="007C229C"/>
    <w:rsid w:val="007C423F"/>
    <w:rsid w:val="007C4977"/>
    <w:rsid w:val="007C5691"/>
    <w:rsid w:val="007C6A9F"/>
    <w:rsid w:val="007C7029"/>
    <w:rsid w:val="007C7C7D"/>
    <w:rsid w:val="007D3D96"/>
    <w:rsid w:val="007D48F4"/>
    <w:rsid w:val="007D5019"/>
    <w:rsid w:val="007E0B88"/>
    <w:rsid w:val="007E2751"/>
    <w:rsid w:val="007E616F"/>
    <w:rsid w:val="007F0A9A"/>
    <w:rsid w:val="007F1072"/>
    <w:rsid w:val="007F1A58"/>
    <w:rsid w:val="007F2A88"/>
    <w:rsid w:val="007F3EBC"/>
    <w:rsid w:val="007F49D3"/>
    <w:rsid w:val="007F65D8"/>
    <w:rsid w:val="007F6DC4"/>
    <w:rsid w:val="00803FFC"/>
    <w:rsid w:val="008043DC"/>
    <w:rsid w:val="00804A7A"/>
    <w:rsid w:val="008051D2"/>
    <w:rsid w:val="00805DCE"/>
    <w:rsid w:val="00806BCE"/>
    <w:rsid w:val="008128C5"/>
    <w:rsid w:val="0081439F"/>
    <w:rsid w:val="00814CC0"/>
    <w:rsid w:val="00814FAA"/>
    <w:rsid w:val="0081637F"/>
    <w:rsid w:val="00816769"/>
    <w:rsid w:val="008224BE"/>
    <w:rsid w:val="00823112"/>
    <w:rsid w:val="00826E70"/>
    <w:rsid w:val="00827C4D"/>
    <w:rsid w:val="00834E6C"/>
    <w:rsid w:val="00834F05"/>
    <w:rsid w:val="00836986"/>
    <w:rsid w:val="00843ADD"/>
    <w:rsid w:val="00844283"/>
    <w:rsid w:val="00844D67"/>
    <w:rsid w:val="00846DFF"/>
    <w:rsid w:val="00847E61"/>
    <w:rsid w:val="00850D9A"/>
    <w:rsid w:val="008519C4"/>
    <w:rsid w:val="00851FC2"/>
    <w:rsid w:val="00852155"/>
    <w:rsid w:val="00852CD4"/>
    <w:rsid w:val="00853AC7"/>
    <w:rsid w:val="00854EF3"/>
    <w:rsid w:val="008568C1"/>
    <w:rsid w:val="00857532"/>
    <w:rsid w:val="00860C5B"/>
    <w:rsid w:val="00862F57"/>
    <w:rsid w:val="00863680"/>
    <w:rsid w:val="0086393C"/>
    <w:rsid w:val="00865D94"/>
    <w:rsid w:val="00867846"/>
    <w:rsid w:val="00871471"/>
    <w:rsid w:val="00871C34"/>
    <w:rsid w:val="00871E8F"/>
    <w:rsid w:val="008730D2"/>
    <w:rsid w:val="008743AC"/>
    <w:rsid w:val="00880385"/>
    <w:rsid w:val="008812F9"/>
    <w:rsid w:val="00881CB9"/>
    <w:rsid w:val="008835A3"/>
    <w:rsid w:val="0088551B"/>
    <w:rsid w:val="00885C0D"/>
    <w:rsid w:val="00893941"/>
    <w:rsid w:val="00895BBD"/>
    <w:rsid w:val="00896DB1"/>
    <w:rsid w:val="008A25B0"/>
    <w:rsid w:val="008A2EC2"/>
    <w:rsid w:val="008A60AC"/>
    <w:rsid w:val="008B2561"/>
    <w:rsid w:val="008B41EB"/>
    <w:rsid w:val="008B5B4E"/>
    <w:rsid w:val="008B5ED9"/>
    <w:rsid w:val="008C1DD2"/>
    <w:rsid w:val="008C5294"/>
    <w:rsid w:val="008C593D"/>
    <w:rsid w:val="008C6C56"/>
    <w:rsid w:val="008D0068"/>
    <w:rsid w:val="008D1AB0"/>
    <w:rsid w:val="008D38F4"/>
    <w:rsid w:val="008D486D"/>
    <w:rsid w:val="008D59E9"/>
    <w:rsid w:val="008D63CF"/>
    <w:rsid w:val="008D7644"/>
    <w:rsid w:val="008E066B"/>
    <w:rsid w:val="008E185A"/>
    <w:rsid w:val="008E3C74"/>
    <w:rsid w:val="008E52FE"/>
    <w:rsid w:val="008E70AE"/>
    <w:rsid w:val="008E74BF"/>
    <w:rsid w:val="008E7A82"/>
    <w:rsid w:val="008F2BD9"/>
    <w:rsid w:val="008F336A"/>
    <w:rsid w:val="008F3621"/>
    <w:rsid w:val="008F3684"/>
    <w:rsid w:val="008F3A31"/>
    <w:rsid w:val="008F59C2"/>
    <w:rsid w:val="008F641E"/>
    <w:rsid w:val="008F7276"/>
    <w:rsid w:val="00902623"/>
    <w:rsid w:val="00903B1F"/>
    <w:rsid w:val="00906614"/>
    <w:rsid w:val="00906E7A"/>
    <w:rsid w:val="009104A8"/>
    <w:rsid w:val="00910A08"/>
    <w:rsid w:val="00911223"/>
    <w:rsid w:val="00911B7D"/>
    <w:rsid w:val="00911F2A"/>
    <w:rsid w:val="009135D8"/>
    <w:rsid w:val="00914F48"/>
    <w:rsid w:val="009153DA"/>
    <w:rsid w:val="00923994"/>
    <w:rsid w:val="0092421D"/>
    <w:rsid w:val="00925858"/>
    <w:rsid w:val="0092724B"/>
    <w:rsid w:val="009279A0"/>
    <w:rsid w:val="00931D3F"/>
    <w:rsid w:val="0093364D"/>
    <w:rsid w:val="00933714"/>
    <w:rsid w:val="00933D7E"/>
    <w:rsid w:val="00933F56"/>
    <w:rsid w:val="009349A1"/>
    <w:rsid w:val="009414BA"/>
    <w:rsid w:val="00942372"/>
    <w:rsid w:val="00942E25"/>
    <w:rsid w:val="00943A74"/>
    <w:rsid w:val="00944A8F"/>
    <w:rsid w:val="00944BA7"/>
    <w:rsid w:val="0094541C"/>
    <w:rsid w:val="00945EC3"/>
    <w:rsid w:val="009465ED"/>
    <w:rsid w:val="0095122E"/>
    <w:rsid w:val="00951F6C"/>
    <w:rsid w:val="00953B39"/>
    <w:rsid w:val="00953EA5"/>
    <w:rsid w:val="009544CC"/>
    <w:rsid w:val="00955FA2"/>
    <w:rsid w:val="00956014"/>
    <w:rsid w:val="009628F3"/>
    <w:rsid w:val="00965C1F"/>
    <w:rsid w:val="009674CA"/>
    <w:rsid w:val="00970C82"/>
    <w:rsid w:val="00974EE4"/>
    <w:rsid w:val="00976217"/>
    <w:rsid w:val="00976383"/>
    <w:rsid w:val="00976A47"/>
    <w:rsid w:val="00976AA0"/>
    <w:rsid w:val="009771BA"/>
    <w:rsid w:val="009779F3"/>
    <w:rsid w:val="00977C69"/>
    <w:rsid w:val="0098064F"/>
    <w:rsid w:val="009806CB"/>
    <w:rsid w:val="009809EA"/>
    <w:rsid w:val="00983B31"/>
    <w:rsid w:val="0098564F"/>
    <w:rsid w:val="00986F46"/>
    <w:rsid w:val="00992EFE"/>
    <w:rsid w:val="00993CF5"/>
    <w:rsid w:val="00994183"/>
    <w:rsid w:val="009946DC"/>
    <w:rsid w:val="00995948"/>
    <w:rsid w:val="0099624E"/>
    <w:rsid w:val="00997BBA"/>
    <w:rsid w:val="009A1CA1"/>
    <w:rsid w:val="009A1E73"/>
    <w:rsid w:val="009A21C8"/>
    <w:rsid w:val="009A4020"/>
    <w:rsid w:val="009A565E"/>
    <w:rsid w:val="009A7A7E"/>
    <w:rsid w:val="009B10EC"/>
    <w:rsid w:val="009B1763"/>
    <w:rsid w:val="009B18B0"/>
    <w:rsid w:val="009B4A8F"/>
    <w:rsid w:val="009B612E"/>
    <w:rsid w:val="009C1F28"/>
    <w:rsid w:val="009C3144"/>
    <w:rsid w:val="009C3A55"/>
    <w:rsid w:val="009C6BF5"/>
    <w:rsid w:val="009C7861"/>
    <w:rsid w:val="009D1FD8"/>
    <w:rsid w:val="009D2D23"/>
    <w:rsid w:val="009D4FA1"/>
    <w:rsid w:val="009D5A0B"/>
    <w:rsid w:val="009D5D01"/>
    <w:rsid w:val="009D5D72"/>
    <w:rsid w:val="009D63FC"/>
    <w:rsid w:val="009D6AEF"/>
    <w:rsid w:val="009D75E4"/>
    <w:rsid w:val="009E1D15"/>
    <w:rsid w:val="009E4A5C"/>
    <w:rsid w:val="009E6343"/>
    <w:rsid w:val="009E7EA3"/>
    <w:rsid w:val="009F0BF1"/>
    <w:rsid w:val="009F0F45"/>
    <w:rsid w:val="009F65DD"/>
    <w:rsid w:val="00A02BA4"/>
    <w:rsid w:val="00A02CD0"/>
    <w:rsid w:val="00A0307F"/>
    <w:rsid w:val="00A07CDB"/>
    <w:rsid w:val="00A100A5"/>
    <w:rsid w:val="00A10FA6"/>
    <w:rsid w:val="00A13577"/>
    <w:rsid w:val="00A13B7A"/>
    <w:rsid w:val="00A13C7E"/>
    <w:rsid w:val="00A16133"/>
    <w:rsid w:val="00A16699"/>
    <w:rsid w:val="00A16E79"/>
    <w:rsid w:val="00A2191C"/>
    <w:rsid w:val="00A21E29"/>
    <w:rsid w:val="00A241C4"/>
    <w:rsid w:val="00A264B9"/>
    <w:rsid w:val="00A330FE"/>
    <w:rsid w:val="00A34D5E"/>
    <w:rsid w:val="00A35BAC"/>
    <w:rsid w:val="00A36A94"/>
    <w:rsid w:val="00A37263"/>
    <w:rsid w:val="00A44B3C"/>
    <w:rsid w:val="00A44DC5"/>
    <w:rsid w:val="00A469CD"/>
    <w:rsid w:val="00A524A5"/>
    <w:rsid w:val="00A563A2"/>
    <w:rsid w:val="00A56780"/>
    <w:rsid w:val="00A6018D"/>
    <w:rsid w:val="00A6068D"/>
    <w:rsid w:val="00A61869"/>
    <w:rsid w:val="00A62E87"/>
    <w:rsid w:val="00A6447D"/>
    <w:rsid w:val="00A66161"/>
    <w:rsid w:val="00A71809"/>
    <w:rsid w:val="00A7184B"/>
    <w:rsid w:val="00A7330F"/>
    <w:rsid w:val="00A7620D"/>
    <w:rsid w:val="00A767AA"/>
    <w:rsid w:val="00A83F71"/>
    <w:rsid w:val="00A84D44"/>
    <w:rsid w:val="00A85124"/>
    <w:rsid w:val="00A8525D"/>
    <w:rsid w:val="00A870FB"/>
    <w:rsid w:val="00A92298"/>
    <w:rsid w:val="00A940D4"/>
    <w:rsid w:val="00A95EF6"/>
    <w:rsid w:val="00A9641E"/>
    <w:rsid w:val="00AA2228"/>
    <w:rsid w:val="00AA34A0"/>
    <w:rsid w:val="00AA3FE2"/>
    <w:rsid w:val="00AB22FA"/>
    <w:rsid w:val="00AB2327"/>
    <w:rsid w:val="00AB3785"/>
    <w:rsid w:val="00AB3989"/>
    <w:rsid w:val="00AB39D3"/>
    <w:rsid w:val="00AB3F25"/>
    <w:rsid w:val="00AB4E58"/>
    <w:rsid w:val="00AB5668"/>
    <w:rsid w:val="00AB719E"/>
    <w:rsid w:val="00AB785F"/>
    <w:rsid w:val="00AB7D91"/>
    <w:rsid w:val="00AC135C"/>
    <w:rsid w:val="00AC35D0"/>
    <w:rsid w:val="00AC5969"/>
    <w:rsid w:val="00AC635B"/>
    <w:rsid w:val="00AD00A8"/>
    <w:rsid w:val="00AD1246"/>
    <w:rsid w:val="00AD1738"/>
    <w:rsid w:val="00AD455C"/>
    <w:rsid w:val="00AE0AFC"/>
    <w:rsid w:val="00AE30FF"/>
    <w:rsid w:val="00AE5F33"/>
    <w:rsid w:val="00AF3115"/>
    <w:rsid w:val="00AF3448"/>
    <w:rsid w:val="00AF4207"/>
    <w:rsid w:val="00AF5093"/>
    <w:rsid w:val="00AF5172"/>
    <w:rsid w:val="00AF57B7"/>
    <w:rsid w:val="00AF7717"/>
    <w:rsid w:val="00B0160A"/>
    <w:rsid w:val="00B01BF8"/>
    <w:rsid w:val="00B0209B"/>
    <w:rsid w:val="00B02411"/>
    <w:rsid w:val="00B04168"/>
    <w:rsid w:val="00B04A5C"/>
    <w:rsid w:val="00B05976"/>
    <w:rsid w:val="00B070B9"/>
    <w:rsid w:val="00B07895"/>
    <w:rsid w:val="00B07A31"/>
    <w:rsid w:val="00B14782"/>
    <w:rsid w:val="00B15628"/>
    <w:rsid w:val="00B168FB"/>
    <w:rsid w:val="00B177F5"/>
    <w:rsid w:val="00B2033C"/>
    <w:rsid w:val="00B20B7F"/>
    <w:rsid w:val="00B23185"/>
    <w:rsid w:val="00B23282"/>
    <w:rsid w:val="00B27AC0"/>
    <w:rsid w:val="00B27E55"/>
    <w:rsid w:val="00B30AB6"/>
    <w:rsid w:val="00B312A8"/>
    <w:rsid w:val="00B32272"/>
    <w:rsid w:val="00B3340A"/>
    <w:rsid w:val="00B336F6"/>
    <w:rsid w:val="00B34867"/>
    <w:rsid w:val="00B37FD9"/>
    <w:rsid w:val="00B41E21"/>
    <w:rsid w:val="00B4410E"/>
    <w:rsid w:val="00B44DCA"/>
    <w:rsid w:val="00B45305"/>
    <w:rsid w:val="00B457D9"/>
    <w:rsid w:val="00B45C9B"/>
    <w:rsid w:val="00B47399"/>
    <w:rsid w:val="00B53FBB"/>
    <w:rsid w:val="00B558B7"/>
    <w:rsid w:val="00B57724"/>
    <w:rsid w:val="00B616B5"/>
    <w:rsid w:val="00B61BAA"/>
    <w:rsid w:val="00B61CA1"/>
    <w:rsid w:val="00B622F9"/>
    <w:rsid w:val="00B62421"/>
    <w:rsid w:val="00B63618"/>
    <w:rsid w:val="00B64E4A"/>
    <w:rsid w:val="00B6510E"/>
    <w:rsid w:val="00B675C1"/>
    <w:rsid w:val="00B706A7"/>
    <w:rsid w:val="00B7375B"/>
    <w:rsid w:val="00B748B2"/>
    <w:rsid w:val="00B770FE"/>
    <w:rsid w:val="00B778FF"/>
    <w:rsid w:val="00B802B8"/>
    <w:rsid w:val="00B8164B"/>
    <w:rsid w:val="00B817CE"/>
    <w:rsid w:val="00B8544F"/>
    <w:rsid w:val="00B85642"/>
    <w:rsid w:val="00B85A9D"/>
    <w:rsid w:val="00B864DF"/>
    <w:rsid w:val="00B866A1"/>
    <w:rsid w:val="00B86E76"/>
    <w:rsid w:val="00B9003D"/>
    <w:rsid w:val="00B90F92"/>
    <w:rsid w:val="00B91F5C"/>
    <w:rsid w:val="00B93954"/>
    <w:rsid w:val="00B948FC"/>
    <w:rsid w:val="00B954C3"/>
    <w:rsid w:val="00B970C0"/>
    <w:rsid w:val="00BA30DF"/>
    <w:rsid w:val="00BA4DB0"/>
    <w:rsid w:val="00BA4F59"/>
    <w:rsid w:val="00BA5B05"/>
    <w:rsid w:val="00BA7488"/>
    <w:rsid w:val="00BA7791"/>
    <w:rsid w:val="00BA7E86"/>
    <w:rsid w:val="00BB1269"/>
    <w:rsid w:val="00BB13A1"/>
    <w:rsid w:val="00BB2441"/>
    <w:rsid w:val="00BB2486"/>
    <w:rsid w:val="00BB3BDE"/>
    <w:rsid w:val="00BB74E9"/>
    <w:rsid w:val="00BC11A4"/>
    <w:rsid w:val="00BC2323"/>
    <w:rsid w:val="00BC4FE5"/>
    <w:rsid w:val="00BC5A82"/>
    <w:rsid w:val="00BD0BB9"/>
    <w:rsid w:val="00BD0F4D"/>
    <w:rsid w:val="00BD4583"/>
    <w:rsid w:val="00BD4BEB"/>
    <w:rsid w:val="00BD662C"/>
    <w:rsid w:val="00BE0EA3"/>
    <w:rsid w:val="00BE18BE"/>
    <w:rsid w:val="00BE3E24"/>
    <w:rsid w:val="00BE6418"/>
    <w:rsid w:val="00BE7F65"/>
    <w:rsid w:val="00BF09EE"/>
    <w:rsid w:val="00BF3A45"/>
    <w:rsid w:val="00BF713C"/>
    <w:rsid w:val="00BF7924"/>
    <w:rsid w:val="00C019A9"/>
    <w:rsid w:val="00C02048"/>
    <w:rsid w:val="00C03933"/>
    <w:rsid w:val="00C03C2C"/>
    <w:rsid w:val="00C061C4"/>
    <w:rsid w:val="00C07B60"/>
    <w:rsid w:val="00C139EB"/>
    <w:rsid w:val="00C22071"/>
    <w:rsid w:val="00C23F34"/>
    <w:rsid w:val="00C2525C"/>
    <w:rsid w:val="00C267EB"/>
    <w:rsid w:val="00C31DB1"/>
    <w:rsid w:val="00C32EDA"/>
    <w:rsid w:val="00C33093"/>
    <w:rsid w:val="00C331A9"/>
    <w:rsid w:val="00C33944"/>
    <w:rsid w:val="00C349D8"/>
    <w:rsid w:val="00C401E5"/>
    <w:rsid w:val="00C424E5"/>
    <w:rsid w:val="00C42852"/>
    <w:rsid w:val="00C449FE"/>
    <w:rsid w:val="00C44F77"/>
    <w:rsid w:val="00C457CA"/>
    <w:rsid w:val="00C45CEE"/>
    <w:rsid w:val="00C511A1"/>
    <w:rsid w:val="00C515EB"/>
    <w:rsid w:val="00C5259D"/>
    <w:rsid w:val="00C526BF"/>
    <w:rsid w:val="00C54676"/>
    <w:rsid w:val="00C6180A"/>
    <w:rsid w:val="00C6215F"/>
    <w:rsid w:val="00C62325"/>
    <w:rsid w:val="00C62C58"/>
    <w:rsid w:val="00C63937"/>
    <w:rsid w:val="00C6455C"/>
    <w:rsid w:val="00C647DA"/>
    <w:rsid w:val="00C66440"/>
    <w:rsid w:val="00C67A2B"/>
    <w:rsid w:val="00C71BC7"/>
    <w:rsid w:val="00C71CDF"/>
    <w:rsid w:val="00C73ACF"/>
    <w:rsid w:val="00C75E24"/>
    <w:rsid w:val="00C80D8A"/>
    <w:rsid w:val="00C81525"/>
    <w:rsid w:val="00C83F16"/>
    <w:rsid w:val="00C84F56"/>
    <w:rsid w:val="00C879C7"/>
    <w:rsid w:val="00C87C86"/>
    <w:rsid w:val="00C9099E"/>
    <w:rsid w:val="00C915FD"/>
    <w:rsid w:val="00C9302F"/>
    <w:rsid w:val="00C956E1"/>
    <w:rsid w:val="00C96248"/>
    <w:rsid w:val="00C966D0"/>
    <w:rsid w:val="00CA0184"/>
    <w:rsid w:val="00CA299E"/>
    <w:rsid w:val="00CA3C4E"/>
    <w:rsid w:val="00CA4A6C"/>
    <w:rsid w:val="00CA69B0"/>
    <w:rsid w:val="00CA6C7D"/>
    <w:rsid w:val="00CA703F"/>
    <w:rsid w:val="00CB0DCE"/>
    <w:rsid w:val="00CB4FBE"/>
    <w:rsid w:val="00CB657C"/>
    <w:rsid w:val="00CC0343"/>
    <w:rsid w:val="00CC2939"/>
    <w:rsid w:val="00CD03E8"/>
    <w:rsid w:val="00CD0BF2"/>
    <w:rsid w:val="00CD14FC"/>
    <w:rsid w:val="00CD3F40"/>
    <w:rsid w:val="00CD459F"/>
    <w:rsid w:val="00CD4C67"/>
    <w:rsid w:val="00CE0B53"/>
    <w:rsid w:val="00CF02BA"/>
    <w:rsid w:val="00CF1D14"/>
    <w:rsid w:val="00CF353C"/>
    <w:rsid w:val="00CF3B4D"/>
    <w:rsid w:val="00CF4872"/>
    <w:rsid w:val="00CF5494"/>
    <w:rsid w:val="00CF7F82"/>
    <w:rsid w:val="00D01384"/>
    <w:rsid w:val="00D0156A"/>
    <w:rsid w:val="00D02B59"/>
    <w:rsid w:val="00D053B1"/>
    <w:rsid w:val="00D06D3E"/>
    <w:rsid w:val="00D07DCD"/>
    <w:rsid w:val="00D12A6A"/>
    <w:rsid w:val="00D13196"/>
    <w:rsid w:val="00D16342"/>
    <w:rsid w:val="00D17E18"/>
    <w:rsid w:val="00D21E0D"/>
    <w:rsid w:val="00D2227D"/>
    <w:rsid w:val="00D225F5"/>
    <w:rsid w:val="00D22BF0"/>
    <w:rsid w:val="00D27FBF"/>
    <w:rsid w:val="00D30B77"/>
    <w:rsid w:val="00D31E7A"/>
    <w:rsid w:val="00D32A6E"/>
    <w:rsid w:val="00D377A3"/>
    <w:rsid w:val="00D42025"/>
    <w:rsid w:val="00D42D30"/>
    <w:rsid w:val="00D467B8"/>
    <w:rsid w:val="00D46E5E"/>
    <w:rsid w:val="00D50B59"/>
    <w:rsid w:val="00D5216D"/>
    <w:rsid w:val="00D5300B"/>
    <w:rsid w:val="00D5622F"/>
    <w:rsid w:val="00D572DD"/>
    <w:rsid w:val="00D63664"/>
    <w:rsid w:val="00D7068C"/>
    <w:rsid w:val="00D7475C"/>
    <w:rsid w:val="00D76778"/>
    <w:rsid w:val="00D76CDF"/>
    <w:rsid w:val="00D771E7"/>
    <w:rsid w:val="00D814F3"/>
    <w:rsid w:val="00D81FCF"/>
    <w:rsid w:val="00D82913"/>
    <w:rsid w:val="00D83F44"/>
    <w:rsid w:val="00D92DE0"/>
    <w:rsid w:val="00D95289"/>
    <w:rsid w:val="00D9667E"/>
    <w:rsid w:val="00D9786A"/>
    <w:rsid w:val="00DA049A"/>
    <w:rsid w:val="00DA08B4"/>
    <w:rsid w:val="00DA105A"/>
    <w:rsid w:val="00DA15D1"/>
    <w:rsid w:val="00DA2043"/>
    <w:rsid w:val="00DA2C61"/>
    <w:rsid w:val="00DA3600"/>
    <w:rsid w:val="00DA5F09"/>
    <w:rsid w:val="00DA645F"/>
    <w:rsid w:val="00DA6B7A"/>
    <w:rsid w:val="00DB1767"/>
    <w:rsid w:val="00DB2939"/>
    <w:rsid w:val="00DB3C4A"/>
    <w:rsid w:val="00DB3EE2"/>
    <w:rsid w:val="00DB4F18"/>
    <w:rsid w:val="00DB5988"/>
    <w:rsid w:val="00DB6691"/>
    <w:rsid w:val="00DC33E7"/>
    <w:rsid w:val="00DC4777"/>
    <w:rsid w:val="00DC48D8"/>
    <w:rsid w:val="00DC4B1E"/>
    <w:rsid w:val="00DC58F2"/>
    <w:rsid w:val="00DC61F9"/>
    <w:rsid w:val="00DD0BD6"/>
    <w:rsid w:val="00DD2EB2"/>
    <w:rsid w:val="00DD2ECF"/>
    <w:rsid w:val="00DD4070"/>
    <w:rsid w:val="00DD5BFA"/>
    <w:rsid w:val="00DD5FEF"/>
    <w:rsid w:val="00DD63DC"/>
    <w:rsid w:val="00DD7C3B"/>
    <w:rsid w:val="00DE0972"/>
    <w:rsid w:val="00DE1983"/>
    <w:rsid w:val="00DE1A13"/>
    <w:rsid w:val="00DE2EFD"/>
    <w:rsid w:val="00DE4177"/>
    <w:rsid w:val="00DE497E"/>
    <w:rsid w:val="00DE507D"/>
    <w:rsid w:val="00DE5240"/>
    <w:rsid w:val="00DE5FCF"/>
    <w:rsid w:val="00DE6F86"/>
    <w:rsid w:val="00DF4131"/>
    <w:rsid w:val="00DF64CE"/>
    <w:rsid w:val="00DF6BEC"/>
    <w:rsid w:val="00E00A72"/>
    <w:rsid w:val="00E02A36"/>
    <w:rsid w:val="00E02C23"/>
    <w:rsid w:val="00E03B91"/>
    <w:rsid w:val="00E04569"/>
    <w:rsid w:val="00E0569B"/>
    <w:rsid w:val="00E1146F"/>
    <w:rsid w:val="00E119C6"/>
    <w:rsid w:val="00E119E9"/>
    <w:rsid w:val="00E13063"/>
    <w:rsid w:val="00E139D8"/>
    <w:rsid w:val="00E156EA"/>
    <w:rsid w:val="00E172BD"/>
    <w:rsid w:val="00E2022A"/>
    <w:rsid w:val="00E23184"/>
    <w:rsid w:val="00E25C19"/>
    <w:rsid w:val="00E2772A"/>
    <w:rsid w:val="00E3770A"/>
    <w:rsid w:val="00E37B65"/>
    <w:rsid w:val="00E37D5D"/>
    <w:rsid w:val="00E37E35"/>
    <w:rsid w:val="00E40B05"/>
    <w:rsid w:val="00E420C5"/>
    <w:rsid w:val="00E42763"/>
    <w:rsid w:val="00E42D18"/>
    <w:rsid w:val="00E442CA"/>
    <w:rsid w:val="00E449D2"/>
    <w:rsid w:val="00E45BA9"/>
    <w:rsid w:val="00E46559"/>
    <w:rsid w:val="00E46F1E"/>
    <w:rsid w:val="00E51B02"/>
    <w:rsid w:val="00E52A83"/>
    <w:rsid w:val="00E52DDC"/>
    <w:rsid w:val="00E53290"/>
    <w:rsid w:val="00E5354D"/>
    <w:rsid w:val="00E5384C"/>
    <w:rsid w:val="00E53DD2"/>
    <w:rsid w:val="00E54E28"/>
    <w:rsid w:val="00E574B7"/>
    <w:rsid w:val="00E6074F"/>
    <w:rsid w:val="00E625E0"/>
    <w:rsid w:val="00E6384E"/>
    <w:rsid w:val="00E6496A"/>
    <w:rsid w:val="00E6594F"/>
    <w:rsid w:val="00E65DE5"/>
    <w:rsid w:val="00E700E2"/>
    <w:rsid w:val="00E71636"/>
    <w:rsid w:val="00E73005"/>
    <w:rsid w:val="00E7314D"/>
    <w:rsid w:val="00E73448"/>
    <w:rsid w:val="00E73FC0"/>
    <w:rsid w:val="00E7457E"/>
    <w:rsid w:val="00E8018A"/>
    <w:rsid w:val="00E81112"/>
    <w:rsid w:val="00E86995"/>
    <w:rsid w:val="00E86CD8"/>
    <w:rsid w:val="00E9140F"/>
    <w:rsid w:val="00E92C58"/>
    <w:rsid w:val="00E95E1C"/>
    <w:rsid w:val="00E96E2B"/>
    <w:rsid w:val="00E979D1"/>
    <w:rsid w:val="00EA0265"/>
    <w:rsid w:val="00EA0E43"/>
    <w:rsid w:val="00EA301C"/>
    <w:rsid w:val="00EA5592"/>
    <w:rsid w:val="00EB6DFD"/>
    <w:rsid w:val="00EC127B"/>
    <w:rsid w:val="00EC6572"/>
    <w:rsid w:val="00EC6B22"/>
    <w:rsid w:val="00ED0304"/>
    <w:rsid w:val="00ED0B38"/>
    <w:rsid w:val="00ED3D25"/>
    <w:rsid w:val="00ED59F8"/>
    <w:rsid w:val="00EE0E2B"/>
    <w:rsid w:val="00EE1397"/>
    <w:rsid w:val="00EE1846"/>
    <w:rsid w:val="00EE2886"/>
    <w:rsid w:val="00EE3371"/>
    <w:rsid w:val="00EE33BC"/>
    <w:rsid w:val="00EE3D50"/>
    <w:rsid w:val="00EE5919"/>
    <w:rsid w:val="00EE5B09"/>
    <w:rsid w:val="00EE5DC5"/>
    <w:rsid w:val="00EF3B05"/>
    <w:rsid w:val="00EF3E83"/>
    <w:rsid w:val="00EF738A"/>
    <w:rsid w:val="00EF7FAF"/>
    <w:rsid w:val="00F02753"/>
    <w:rsid w:val="00F03B3C"/>
    <w:rsid w:val="00F041F3"/>
    <w:rsid w:val="00F057FE"/>
    <w:rsid w:val="00F06A71"/>
    <w:rsid w:val="00F1119C"/>
    <w:rsid w:val="00F117AF"/>
    <w:rsid w:val="00F1353B"/>
    <w:rsid w:val="00F13F55"/>
    <w:rsid w:val="00F1645A"/>
    <w:rsid w:val="00F173D1"/>
    <w:rsid w:val="00F174B2"/>
    <w:rsid w:val="00F20261"/>
    <w:rsid w:val="00F21166"/>
    <w:rsid w:val="00F21DD6"/>
    <w:rsid w:val="00F2407F"/>
    <w:rsid w:val="00F304D8"/>
    <w:rsid w:val="00F30823"/>
    <w:rsid w:val="00F3092B"/>
    <w:rsid w:val="00F33050"/>
    <w:rsid w:val="00F334D2"/>
    <w:rsid w:val="00F33CC2"/>
    <w:rsid w:val="00F33EDD"/>
    <w:rsid w:val="00F41D9F"/>
    <w:rsid w:val="00F47901"/>
    <w:rsid w:val="00F501EB"/>
    <w:rsid w:val="00F51BFA"/>
    <w:rsid w:val="00F536BB"/>
    <w:rsid w:val="00F54BED"/>
    <w:rsid w:val="00F54FAF"/>
    <w:rsid w:val="00F55E6C"/>
    <w:rsid w:val="00F564C8"/>
    <w:rsid w:val="00F568CA"/>
    <w:rsid w:val="00F56B0C"/>
    <w:rsid w:val="00F573E0"/>
    <w:rsid w:val="00F57E19"/>
    <w:rsid w:val="00F57F4D"/>
    <w:rsid w:val="00F60743"/>
    <w:rsid w:val="00F60D1D"/>
    <w:rsid w:val="00F62546"/>
    <w:rsid w:val="00F63308"/>
    <w:rsid w:val="00F65BA0"/>
    <w:rsid w:val="00F66E88"/>
    <w:rsid w:val="00F6769A"/>
    <w:rsid w:val="00F679DF"/>
    <w:rsid w:val="00F72599"/>
    <w:rsid w:val="00F73A1D"/>
    <w:rsid w:val="00F7453E"/>
    <w:rsid w:val="00F74711"/>
    <w:rsid w:val="00F7500A"/>
    <w:rsid w:val="00F76EDB"/>
    <w:rsid w:val="00F770BC"/>
    <w:rsid w:val="00F772BE"/>
    <w:rsid w:val="00F77581"/>
    <w:rsid w:val="00F847F8"/>
    <w:rsid w:val="00F84D1D"/>
    <w:rsid w:val="00F85146"/>
    <w:rsid w:val="00F93921"/>
    <w:rsid w:val="00F94572"/>
    <w:rsid w:val="00F95D9A"/>
    <w:rsid w:val="00F970EB"/>
    <w:rsid w:val="00FA2657"/>
    <w:rsid w:val="00FA34AF"/>
    <w:rsid w:val="00FA561F"/>
    <w:rsid w:val="00FA6322"/>
    <w:rsid w:val="00FA68F7"/>
    <w:rsid w:val="00FA73C3"/>
    <w:rsid w:val="00FB45AA"/>
    <w:rsid w:val="00FB4A64"/>
    <w:rsid w:val="00FB4F6D"/>
    <w:rsid w:val="00FB760C"/>
    <w:rsid w:val="00FB76FB"/>
    <w:rsid w:val="00FB7B23"/>
    <w:rsid w:val="00FC6ABD"/>
    <w:rsid w:val="00FC73F5"/>
    <w:rsid w:val="00FD1250"/>
    <w:rsid w:val="00FD16BC"/>
    <w:rsid w:val="00FD29CD"/>
    <w:rsid w:val="00FD311B"/>
    <w:rsid w:val="00FD643F"/>
    <w:rsid w:val="00FE4E8F"/>
    <w:rsid w:val="00FE5081"/>
    <w:rsid w:val="00FE5DEB"/>
    <w:rsid w:val="00FE7398"/>
    <w:rsid w:val="00FF169E"/>
    <w:rsid w:val="00FF4026"/>
    <w:rsid w:val="00FF761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213600D"/>
  <w14:defaultImageDpi w14:val="0"/>
  <w15:docId w15:val="{31019BC9-71E3-4F24-9E5F-A547AE17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B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CF5494"/>
    <w:rPr>
      <w:rFonts w:cs="Times New Roman"/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link w:val="Head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2C77"/>
    <w:rPr>
      <w:rFonts w:ascii="Arial" w:hAnsi="Arial"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7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674C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9674C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E5F33"/>
    <w:rPr>
      <w:rFonts w:cs="Times New Roman"/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aliases w:val="L,List Paragraph1,List Paragraph11,List Paragraph2,Recommendation,Bulleted Para,NFP GP Bulleted List,FooterText,numbered,Paragraphe de liste1,Bulletr List Paragraph,列出段落,列出段落1,List Paragraph21,Listeafsnit1,Parágrafo da Lista1,リスト段落1"/>
    <w:basedOn w:val="Normal"/>
    <w:link w:val="ListParagraphChar"/>
    <w:uiPriority w:val="34"/>
    <w:qFormat/>
    <w:rsid w:val="002278E9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character" w:customStyle="1" w:styleId="ListParagraphChar">
    <w:name w:val="List Paragraph Char"/>
    <w:aliases w:val="L Char,List Paragraph1 Char,List Paragraph11 Char,List Paragraph2 Char,Recommendation Char,Bulleted Para Char,NFP GP Bulleted List Char,FooterText Char,numbered Char,Paragraphe de liste1 Char,Bulletr List Paragraph Char,列出段落 Char"/>
    <w:link w:val="ListParagraph"/>
    <w:uiPriority w:val="34"/>
    <w:qFormat/>
    <w:locked/>
    <w:rsid w:val="002278E9"/>
    <w:rPr>
      <w:rFonts w:asciiTheme="minorHAnsi" w:hAnsiTheme="minorHAnsi"/>
      <w:sz w:val="22"/>
      <w:lang w:val="x-none" w:eastAsia="en-US"/>
    </w:rPr>
  </w:style>
  <w:style w:type="paragraph" w:styleId="NoSpacing">
    <w:name w:val="No Spacing"/>
    <w:uiPriority w:val="1"/>
    <w:qFormat/>
    <w:rsid w:val="002278E9"/>
    <w:pPr>
      <w:spacing w:beforeAutospacing="1" w:afterAutospacing="1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76F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exs1">
    <w:name w:val="exs1"/>
    <w:basedOn w:val="DefaultParagraphFont"/>
    <w:rsid w:val="008F7276"/>
    <w:rPr>
      <w:rFonts w:cs="Times New Roman"/>
    </w:rPr>
  </w:style>
  <w:style w:type="character" w:customStyle="1" w:styleId="hy1">
    <w:name w:val="hy1"/>
    <w:basedOn w:val="DefaultParagraphFont"/>
    <w:rsid w:val="008F7276"/>
    <w:rPr>
      <w:rFonts w:cs="Times New Roman"/>
      <w:shd w:val="clear" w:color="auto" w:fill="FFFF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EResearch@education.gov.au" TargetMode="External"/><Relationship Id="rId2" Type="http://schemas.openxmlformats.org/officeDocument/2006/relationships/hyperlink" Target="https://www.theguardian.com/higher-education-network/2016/jul/14/international-student-numbers-have-been-plummeting-for-years-now-what" TargetMode="External"/><Relationship Id="rId1" Type="http://schemas.openxmlformats.org/officeDocument/2006/relationships/hyperlink" Target="https://www.ukcisa.org.uk/Research--Policy/Statistics/International-student-statistics-UK-higher-education" TargetMode="External"/><Relationship Id="rId4" Type="http://schemas.openxmlformats.org/officeDocument/2006/relationships/hyperlink" Target="https://internationaleducation.gov.au/research/research-snapshots/pages/default.asp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DU\51004302\ARCHIVE%20(OLD%20I%20DRIVE)\International%20Strategy%20Branch\ResearchAnalysis\Section%20Publications\Research%20Snapshots\2018\UK%20v%20AUS%20international%20students\UK%20v%20AUS%20International%20educa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EDU\51004302\ARCHIVE%20(OLD%20I%20DRIVE)\International%20Strategy%20Branch\ResearchAnalysis\Section%20Publications\Research%20Snapshots\2018\UK%20v%20AUS%20international%20students\UK%20v%20AUS%20International%20educatio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 sz="1000" b="1" i="0" baseline="0">
                <a:solidFill>
                  <a:sysClr val="windowText" lastClr="000000"/>
                </a:solidFill>
                <a:effectLst/>
              </a:rPr>
              <a:t>Figure 1: International higher education students in the UK</a:t>
            </a:r>
            <a:endParaRPr lang="en-AU" sz="10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1800546101092202"/>
          <c:y val="3.70368629294472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Sheet1!$Q$37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Sheet1!$P$38:$P$47</c:f>
              <c:strCache>
                <c:ptCount val="10"/>
                <c:pt idx="0">
                  <c:v>China</c:v>
                </c:pt>
                <c:pt idx="1">
                  <c:v>Malaysia</c:v>
                </c:pt>
                <c:pt idx="2">
                  <c:v>USA</c:v>
                </c:pt>
                <c:pt idx="3">
                  <c:v>India</c:v>
                </c:pt>
                <c:pt idx="4">
                  <c:v>Hong Kong</c:v>
                </c:pt>
                <c:pt idx="5">
                  <c:v>Germany</c:v>
                </c:pt>
                <c:pt idx="6">
                  <c:v>France</c:v>
                </c:pt>
                <c:pt idx="7">
                  <c:v>Italy</c:v>
                </c:pt>
                <c:pt idx="8">
                  <c:v>Nigeria</c:v>
                </c:pt>
                <c:pt idx="9">
                  <c:v>Ireland</c:v>
                </c:pt>
              </c:strCache>
            </c:strRef>
          </c:cat>
          <c:val>
            <c:numRef>
              <c:f>Sheet1!$Q$38:$Q$47</c:f>
              <c:numCache>
                <c:formatCode>#,##0</c:formatCode>
                <c:ptCount val="10"/>
                <c:pt idx="0">
                  <c:v>91215</c:v>
                </c:pt>
                <c:pt idx="1">
                  <c:v>17405</c:v>
                </c:pt>
                <c:pt idx="2">
                  <c:v>17115</c:v>
                </c:pt>
                <c:pt idx="3">
                  <c:v>16745</c:v>
                </c:pt>
                <c:pt idx="4">
                  <c:v>16745</c:v>
                </c:pt>
                <c:pt idx="5">
                  <c:v>13425</c:v>
                </c:pt>
                <c:pt idx="6">
                  <c:v>12525</c:v>
                </c:pt>
                <c:pt idx="7">
                  <c:v>12135</c:v>
                </c:pt>
                <c:pt idx="8">
                  <c:v>16100</c:v>
                </c:pt>
                <c:pt idx="9">
                  <c:v>10245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B3-4274-869B-29D8FB95CFB6}"/>
            </c:ext>
          </c:extLst>
        </c:ser>
        <c:ser>
          <c:idx val="1"/>
          <c:order val="1"/>
          <c:tx>
            <c:strRef>
              <c:f>Sheet1!$R$37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Sheet1!$P$38:$P$47</c:f>
              <c:strCache>
                <c:ptCount val="10"/>
                <c:pt idx="0">
                  <c:v>China</c:v>
                </c:pt>
                <c:pt idx="1">
                  <c:v>Malaysia</c:v>
                </c:pt>
                <c:pt idx="2">
                  <c:v>USA</c:v>
                </c:pt>
                <c:pt idx="3">
                  <c:v>India</c:v>
                </c:pt>
                <c:pt idx="4">
                  <c:v>Hong Kong</c:v>
                </c:pt>
                <c:pt idx="5">
                  <c:v>Germany</c:v>
                </c:pt>
                <c:pt idx="6">
                  <c:v>France</c:v>
                </c:pt>
                <c:pt idx="7">
                  <c:v>Italy</c:v>
                </c:pt>
                <c:pt idx="8">
                  <c:v>Nigeria</c:v>
                </c:pt>
                <c:pt idx="9">
                  <c:v>Ireland</c:v>
                </c:pt>
              </c:strCache>
            </c:strRef>
          </c:cat>
          <c:val>
            <c:numRef>
              <c:f>Sheet1!$R$38:$R$47</c:f>
              <c:numCache>
                <c:formatCode>#,##0</c:formatCode>
                <c:ptCount val="10"/>
                <c:pt idx="0">
                  <c:v>95090</c:v>
                </c:pt>
                <c:pt idx="1">
                  <c:v>16370</c:v>
                </c:pt>
                <c:pt idx="2">
                  <c:v>17580</c:v>
                </c:pt>
                <c:pt idx="3">
                  <c:v>16550</c:v>
                </c:pt>
                <c:pt idx="4">
                  <c:v>16680</c:v>
                </c:pt>
                <c:pt idx="5">
                  <c:v>13735</c:v>
                </c:pt>
                <c:pt idx="6">
                  <c:v>13560</c:v>
                </c:pt>
                <c:pt idx="7">
                  <c:v>13455</c:v>
                </c:pt>
                <c:pt idx="8">
                  <c:v>12665</c:v>
                </c:pt>
                <c:pt idx="9">
                  <c:v>10070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B3-4274-869B-29D8FB95C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0640000"/>
        <c:axId val="470647544"/>
      </c:barChart>
      <c:catAx>
        <c:axId val="47064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647544"/>
        <c:crosses val="autoZero"/>
        <c:auto val="1"/>
        <c:lblAlgn val="ctr"/>
        <c:lblOffset val="100"/>
        <c:noMultiLvlLbl val="0"/>
      </c:catAx>
      <c:valAx>
        <c:axId val="470647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64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 sz="1000" b="1" i="0" baseline="0">
                <a:solidFill>
                  <a:sysClr val="windowText" lastClr="000000"/>
                </a:solidFill>
                <a:effectLst/>
              </a:rPr>
              <a:t>Figure 2: International higher education students in Australia</a:t>
            </a:r>
            <a:endParaRPr lang="en-AU" sz="1000">
              <a:solidFill>
                <a:sysClr val="windowText" lastClr="000000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576605237736787"/>
          <c:y val="0.17171296296296296"/>
          <c:w val="0.83215062496911396"/>
          <c:h val="0.499800962379702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Sheet1!$Q$51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Sheet1!$P$52:$P$61</c:f>
              <c:strCache>
                <c:ptCount val="10"/>
                <c:pt idx="0">
                  <c:v>China</c:v>
                </c:pt>
                <c:pt idx="1">
                  <c:v>India</c:v>
                </c:pt>
                <c:pt idx="2">
                  <c:v>Nepal</c:v>
                </c:pt>
                <c:pt idx="3">
                  <c:v>Vietnam</c:v>
                </c:pt>
                <c:pt idx="4">
                  <c:v>Malaysia</c:v>
                </c:pt>
                <c:pt idx="5">
                  <c:v>Pakistan</c:v>
                </c:pt>
                <c:pt idx="6">
                  <c:v>Indonesia</c:v>
                </c:pt>
                <c:pt idx="7">
                  <c:v>Hong Kong</c:v>
                </c:pt>
                <c:pt idx="8">
                  <c:v>Sri Lanka</c:v>
                </c:pt>
                <c:pt idx="9">
                  <c:v>Singapore</c:v>
                </c:pt>
              </c:strCache>
            </c:strRef>
          </c:cat>
          <c:val>
            <c:numRef>
              <c:f>Sheet1!$Q$52:$Q$61</c:f>
              <c:numCache>
                <c:formatCode>#,##0</c:formatCode>
                <c:ptCount val="10"/>
                <c:pt idx="0">
                  <c:v>112531</c:v>
                </c:pt>
                <c:pt idx="1">
                  <c:v>44339</c:v>
                </c:pt>
                <c:pt idx="2">
                  <c:v>15135</c:v>
                </c:pt>
                <c:pt idx="3">
                  <c:v>13811</c:v>
                </c:pt>
                <c:pt idx="4">
                  <c:v>14598</c:v>
                </c:pt>
                <c:pt idx="5">
                  <c:v>10087</c:v>
                </c:pt>
                <c:pt idx="6">
                  <c:v>8735</c:v>
                </c:pt>
                <c:pt idx="7">
                  <c:v>8553</c:v>
                </c:pt>
                <c:pt idx="8">
                  <c:v>6020</c:v>
                </c:pt>
                <c:pt idx="9">
                  <c:v>7051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08-4D4B-9E0D-F51BD8ED233D}"/>
            </c:ext>
          </c:extLst>
        </c:ser>
        <c:ser>
          <c:idx val="1"/>
          <c:order val="1"/>
          <c:tx>
            <c:strRef>
              <c:f>Sheet1!$R$51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Sheet1!$P$52:$P$61</c:f>
              <c:strCache>
                <c:ptCount val="10"/>
                <c:pt idx="0">
                  <c:v>China</c:v>
                </c:pt>
                <c:pt idx="1">
                  <c:v>India</c:v>
                </c:pt>
                <c:pt idx="2">
                  <c:v>Nepal</c:v>
                </c:pt>
                <c:pt idx="3">
                  <c:v>Vietnam</c:v>
                </c:pt>
                <c:pt idx="4">
                  <c:v>Malaysia</c:v>
                </c:pt>
                <c:pt idx="5">
                  <c:v>Pakistan</c:v>
                </c:pt>
                <c:pt idx="6">
                  <c:v>Indonesia</c:v>
                </c:pt>
                <c:pt idx="7">
                  <c:v>Hong Kong</c:v>
                </c:pt>
                <c:pt idx="8">
                  <c:v>Sri Lanka</c:v>
                </c:pt>
                <c:pt idx="9">
                  <c:v>Singapore</c:v>
                </c:pt>
              </c:strCache>
            </c:strRef>
          </c:cat>
          <c:val>
            <c:numRef>
              <c:f>Sheet1!$R$52:$R$61</c:f>
              <c:numCache>
                <c:formatCode>#,##0</c:formatCode>
                <c:ptCount val="10"/>
                <c:pt idx="0">
                  <c:v>133605</c:v>
                </c:pt>
                <c:pt idx="1">
                  <c:v>54119</c:v>
                </c:pt>
                <c:pt idx="2">
                  <c:v>21369</c:v>
                </c:pt>
                <c:pt idx="3">
                  <c:v>15015</c:v>
                </c:pt>
                <c:pt idx="4">
                  <c:v>14669</c:v>
                </c:pt>
                <c:pt idx="5">
                  <c:v>10932</c:v>
                </c:pt>
                <c:pt idx="6">
                  <c:v>9275</c:v>
                </c:pt>
                <c:pt idx="7">
                  <c:v>8888</c:v>
                </c:pt>
                <c:pt idx="8">
                  <c:v>7539</c:v>
                </c:pt>
                <c:pt idx="9">
                  <c:v>7215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08-4D4B-9E0D-F51BD8ED23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352068712"/>
        <c:axId val="352070680"/>
      </c:barChart>
      <c:catAx>
        <c:axId val="352068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070680"/>
        <c:crosses val="autoZero"/>
        <c:auto val="1"/>
        <c:lblAlgn val="ctr"/>
        <c:lblOffset val="100"/>
        <c:noMultiLvlLbl val="0"/>
      </c:catAx>
      <c:valAx>
        <c:axId val="352070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068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3619E6-660E-4D65-A6D5-283AD9634B27}"/>
</file>

<file path=customXml/itemProps2.xml><?xml version="1.0" encoding="utf-8"?>
<ds:datastoreItem xmlns:ds="http://schemas.openxmlformats.org/officeDocument/2006/customXml" ds:itemID="{28055D2A-BC20-4888-A92A-11E3129F8C04}"/>
</file>

<file path=customXml/itemProps3.xml><?xml version="1.0" encoding="utf-8"?>
<ds:datastoreItem xmlns:ds="http://schemas.openxmlformats.org/officeDocument/2006/customXml" ds:itemID="{35CA47AF-7CCB-419A-9E5F-65AAEEABB663}"/>
</file>

<file path=customXml/itemProps4.xml><?xml version="1.0" encoding="utf-8"?>
<ds:datastoreItem xmlns:ds="http://schemas.openxmlformats.org/officeDocument/2006/customXml" ds:itemID="{4D8D4CFE-9918-4D19-A696-3996A6160EEB}"/>
</file>

<file path=docProps/app.xml><?xml version="1.0" encoding="utf-8"?>
<Properties xmlns="http://schemas.openxmlformats.org/officeDocument/2006/extended-properties" xmlns:vt="http://schemas.openxmlformats.org/officeDocument/2006/docPropsVTypes">
  <Template>D22BF5AA.dotm</Template>
  <TotalTime>267</TotalTime>
  <Pages>1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Student Snapshot</vt:lpstr>
    </vt:vector>
  </TitlesOfParts>
  <Company>DEEWR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Student Snapshot</dc:title>
  <dc:creator>CI2200</dc:creator>
  <cp:lastModifiedBy>NERLICH,Steve</cp:lastModifiedBy>
  <cp:revision>24</cp:revision>
  <cp:lastPrinted>2018-05-31T00:49:00Z</cp:lastPrinted>
  <dcterms:created xsi:type="dcterms:W3CDTF">2018-05-15T02:17:00Z</dcterms:created>
  <dcterms:modified xsi:type="dcterms:W3CDTF">2018-05-31T02:51:00Z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0x010100D600AA97F9017A4288665729A97B1723</vt:lpwstr>
  </property>
  <property fmtid="{D5CDD505-2E9C-101B-9397-08002B2CF9AE}" pid="7" name="Order">
    <vt:r8>28200</vt:r8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