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charts/style2.xml" ContentType="application/vnd.ms-office.chartstyle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83C9" w14:textId="77777777" w:rsidR="00E45BA9" w:rsidRPr="00D467B8" w:rsidRDefault="00C84F56" w:rsidP="00680F2D">
      <w:pPr>
        <w:pStyle w:val="heading10"/>
        <w:spacing w:after="120"/>
        <w:jc w:val="right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9FDF0E" wp14:editId="3B3CE66A">
            <wp:simplePos x="0" y="0"/>
            <wp:positionH relativeFrom="column">
              <wp:posOffset>3810</wp:posOffset>
            </wp:positionH>
            <wp:positionV relativeFrom="page">
              <wp:posOffset>252095</wp:posOffset>
            </wp:positionV>
            <wp:extent cx="684339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526" y="21096"/>
                <wp:lineTo x="21526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3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C0">
        <w:rPr>
          <w:rFonts w:asciiTheme="minorHAnsi" w:hAnsiTheme="minorHAnsi" w:cs="Calibri"/>
          <w:color w:val="000000" w:themeColor="text1"/>
          <w:sz w:val="24"/>
          <w:szCs w:val="24"/>
        </w:rPr>
        <w:t>Ju</w:t>
      </w:r>
      <w:r w:rsidR="008E6479">
        <w:rPr>
          <w:rFonts w:asciiTheme="minorHAnsi" w:hAnsiTheme="minorHAnsi" w:cs="Calibri"/>
          <w:color w:val="000000" w:themeColor="text1"/>
          <w:sz w:val="24"/>
          <w:szCs w:val="24"/>
        </w:rPr>
        <w:t>ly</w:t>
      </w:r>
      <w:r w:rsidR="0072347F">
        <w:rPr>
          <w:rFonts w:asciiTheme="minorHAnsi" w:hAnsiTheme="minorHAnsi" w:cs="Calibri"/>
          <w:color w:val="000000" w:themeColor="text1"/>
          <w:sz w:val="24"/>
          <w:szCs w:val="24"/>
        </w:rPr>
        <w:t xml:space="preserve"> 2018</w:t>
      </w:r>
    </w:p>
    <w:p w14:paraId="50DB6560" w14:textId="77777777" w:rsidR="00AB22FA" w:rsidRPr="00691C99" w:rsidRDefault="00691C99" w:rsidP="00B622F9">
      <w:pPr>
        <w:pStyle w:val="heading10"/>
        <w:spacing w:after="200"/>
        <w:rPr>
          <w:rFonts w:asciiTheme="minorHAnsi" w:hAnsiTheme="minorHAnsi" w:cs="Calibri"/>
          <w:color w:val="1F497D" w:themeColor="text2"/>
        </w:rPr>
      </w:pPr>
      <w:r w:rsidRPr="00691C99">
        <w:rPr>
          <w:rFonts w:asciiTheme="minorHAnsi" w:hAnsiTheme="minorHAnsi" w:cs="Calibri"/>
          <w:color w:val="1F497D" w:themeColor="text2"/>
        </w:rPr>
        <w:t xml:space="preserve">Comparison between </w:t>
      </w:r>
      <w:proofErr w:type="gramStart"/>
      <w:r w:rsidR="008E6479">
        <w:rPr>
          <w:rFonts w:asciiTheme="minorHAnsi" w:hAnsiTheme="minorHAnsi" w:cs="Calibri"/>
          <w:color w:val="1F497D" w:themeColor="text2"/>
        </w:rPr>
        <w:t>Canada</w:t>
      </w:r>
      <w:r w:rsidRPr="00691C99">
        <w:rPr>
          <w:rFonts w:asciiTheme="minorHAnsi" w:hAnsiTheme="minorHAnsi" w:cs="Calibri"/>
          <w:color w:val="1F497D" w:themeColor="text2"/>
        </w:rPr>
        <w:t>’s</w:t>
      </w:r>
      <w:proofErr w:type="gramEnd"/>
      <w:r w:rsidRPr="00691C99">
        <w:rPr>
          <w:rFonts w:asciiTheme="minorHAnsi" w:hAnsiTheme="minorHAnsi" w:cs="Calibri"/>
          <w:color w:val="1F497D" w:themeColor="text2"/>
        </w:rPr>
        <w:t xml:space="preserve"> and Australia’s international education sectors</w:t>
      </w:r>
    </w:p>
    <w:p w14:paraId="0BCCE5ED" w14:textId="254E2AE2" w:rsidR="005270B1" w:rsidRDefault="00671F68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This snapshot 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 xml:space="preserve">looks at </w:t>
      </w:r>
      <w:r w:rsidR="0052100A" w:rsidRPr="0004008B">
        <w:rPr>
          <w:rFonts w:asciiTheme="minorHAnsi" w:hAnsiTheme="minorHAnsi" w:cs="Calibri"/>
          <w:color w:val="000000" w:themeColor="text1"/>
          <w:szCs w:val="22"/>
        </w:rPr>
        <w:t xml:space="preserve">the available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data</w:t>
      </w:r>
      <w:r w:rsidR="0052100A" w:rsidRPr="0004008B">
        <w:rPr>
          <w:rFonts w:asciiTheme="minorHAnsi" w:hAnsiTheme="minorHAnsi" w:cs="Calibri"/>
          <w:color w:val="000000" w:themeColor="text1"/>
          <w:szCs w:val="22"/>
        </w:rPr>
        <w:t xml:space="preserve"> on international </w:t>
      </w:r>
      <w:r w:rsidR="00285250">
        <w:rPr>
          <w:rFonts w:asciiTheme="minorHAnsi" w:hAnsiTheme="minorHAnsi" w:cs="Calibri"/>
          <w:color w:val="000000" w:themeColor="text1"/>
          <w:szCs w:val="22"/>
        </w:rPr>
        <w:t>student</w:t>
      </w:r>
      <w:r w:rsidR="003951D4" w:rsidRPr="0004008B">
        <w:rPr>
          <w:rFonts w:asciiTheme="minorHAnsi" w:hAnsiTheme="minorHAnsi" w:cs="Calibri"/>
          <w:color w:val="000000" w:themeColor="text1"/>
          <w:szCs w:val="22"/>
        </w:rPr>
        <w:t>s</w:t>
      </w:r>
      <w:r w:rsidR="00F02753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B622F9">
        <w:rPr>
          <w:rFonts w:asciiTheme="minorHAnsi" w:hAnsiTheme="minorHAnsi" w:cs="Calibri"/>
          <w:color w:val="000000" w:themeColor="text1"/>
          <w:szCs w:val="22"/>
        </w:rPr>
        <w:t>from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 xml:space="preserve"> Australia and </w:t>
      </w:r>
      <w:r w:rsidR="00285250">
        <w:rPr>
          <w:rFonts w:asciiTheme="minorHAnsi" w:hAnsiTheme="minorHAnsi" w:cs="Calibri"/>
          <w:color w:val="000000" w:themeColor="text1"/>
          <w:szCs w:val="22"/>
        </w:rPr>
        <w:t>Canada</w:t>
      </w:r>
      <w:r w:rsidR="00CA6C7D" w:rsidRPr="0004008B">
        <w:rPr>
          <w:rFonts w:asciiTheme="minorHAnsi" w:hAnsiTheme="minorHAnsi" w:cs="Calibri"/>
          <w:color w:val="000000" w:themeColor="text1"/>
          <w:szCs w:val="22"/>
        </w:rPr>
        <w:t>. The data used in the snapshot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C23F34" w:rsidRPr="0004008B">
        <w:rPr>
          <w:rFonts w:asciiTheme="minorHAnsi" w:hAnsiTheme="minorHAnsi" w:cs="Calibri"/>
          <w:color w:val="000000" w:themeColor="text1"/>
          <w:szCs w:val="22"/>
        </w:rPr>
        <w:t xml:space="preserve">represent each countries’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 xml:space="preserve">latest </w:t>
      </w:r>
      <w:r w:rsidR="00285250">
        <w:rPr>
          <w:rFonts w:asciiTheme="minorHAnsi" w:hAnsiTheme="minorHAnsi" w:cs="Calibri"/>
          <w:color w:val="000000" w:themeColor="text1"/>
          <w:szCs w:val="22"/>
        </w:rPr>
        <w:t xml:space="preserve">reported full </w:t>
      </w:r>
      <w:r w:rsidR="008E70AE" w:rsidRPr="0004008B">
        <w:rPr>
          <w:rFonts w:asciiTheme="minorHAnsi" w:hAnsiTheme="minorHAnsi" w:cs="Calibri"/>
          <w:color w:val="000000" w:themeColor="text1"/>
          <w:szCs w:val="22"/>
        </w:rPr>
        <w:t>year</w:t>
      </w:r>
      <w:r w:rsidR="00285250">
        <w:rPr>
          <w:rFonts w:asciiTheme="minorHAnsi" w:hAnsiTheme="minorHAnsi" w:cs="Calibri"/>
          <w:color w:val="000000" w:themeColor="text1"/>
          <w:szCs w:val="22"/>
        </w:rPr>
        <w:t xml:space="preserve"> on international students.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285250">
        <w:rPr>
          <w:rFonts w:asciiTheme="minorHAnsi" w:hAnsiTheme="minorHAnsi" w:cs="Calibri"/>
          <w:color w:val="000000" w:themeColor="text1"/>
          <w:szCs w:val="22"/>
        </w:rPr>
        <w:t>Canada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 is the </w:t>
      </w:r>
      <w:r w:rsidR="00EE03C3">
        <w:rPr>
          <w:rFonts w:asciiTheme="minorHAnsi" w:hAnsiTheme="minorHAnsi" w:cs="Calibri"/>
          <w:color w:val="000000" w:themeColor="text1"/>
          <w:szCs w:val="22"/>
        </w:rPr>
        <w:t xml:space="preserve">fourth </w:t>
      </w:r>
      <w:r w:rsidR="00285250">
        <w:rPr>
          <w:rFonts w:asciiTheme="minorHAnsi" w:hAnsiTheme="minorHAnsi" w:cs="Calibri"/>
          <w:color w:val="000000" w:themeColor="text1"/>
          <w:szCs w:val="22"/>
        </w:rPr>
        <w:t>most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 popular </w:t>
      </w:r>
      <w:r w:rsidR="00EE03C3">
        <w:rPr>
          <w:rFonts w:asciiTheme="minorHAnsi" w:hAnsiTheme="minorHAnsi" w:cs="Calibri"/>
          <w:color w:val="000000" w:themeColor="text1"/>
          <w:szCs w:val="22"/>
        </w:rPr>
        <w:t xml:space="preserve">English-speaking 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study destination for international </w:t>
      </w:r>
      <w:r w:rsidR="00285250">
        <w:rPr>
          <w:rFonts w:asciiTheme="minorHAnsi" w:hAnsiTheme="minorHAnsi" w:cs="Calibri"/>
          <w:color w:val="000000" w:themeColor="text1"/>
          <w:szCs w:val="22"/>
        </w:rPr>
        <w:t xml:space="preserve">tertiary 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>students, while Australia is the third most popular</w:t>
      </w:r>
      <w:r w:rsidR="00EE03C3" w:rsidRPr="00EE03C3">
        <w:rPr>
          <w:rFonts w:asciiTheme="minorHAnsi" w:hAnsiTheme="minorHAnsi" w:cs="Calibri"/>
          <w:color w:val="000000" w:themeColor="text1"/>
          <w:szCs w:val="22"/>
          <w:vertAlign w:val="superscript"/>
        </w:rPr>
        <w:t>1</w:t>
      </w:r>
      <w:r w:rsidR="00F1353B" w:rsidRPr="0004008B">
        <w:rPr>
          <w:rFonts w:asciiTheme="minorHAnsi" w:hAnsiTheme="minorHAnsi" w:cs="Calibri"/>
          <w:color w:val="000000" w:themeColor="text1"/>
          <w:szCs w:val="22"/>
        </w:rPr>
        <w:t xml:space="preserve">. </w:t>
      </w:r>
    </w:p>
    <w:p w14:paraId="4E9D649A" w14:textId="02B49958" w:rsidR="00E6594F" w:rsidRPr="0004008B" w:rsidRDefault="00EE03C3" w:rsidP="008E70AE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 xml:space="preserve">Canada’s </w:t>
      </w:r>
      <w:r w:rsidR="00E83086">
        <w:rPr>
          <w:rFonts w:asciiTheme="minorHAnsi" w:hAnsiTheme="minorHAnsi" w:cs="Calibri"/>
          <w:color w:val="000000" w:themeColor="text1"/>
          <w:szCs w:val="22"/>
        </w:rPr>
        <w:t xml:space="preserve">primary source of </w:t>
      </w:r>
      <w:r>
        <w:rPr>
          <w:rFonts w:asciiTheme="minorHAnsi" w:hAnsiTheme="minorHAnsi" w:cs="Calibri"/>
          <w:color w:val="000000" w:themeColor="text1"/>
          <w:szCs w:val="22"/>
        </w:rPr>
        <w:t xml:space="preserve">student data </w:t>
      </w:r>
      <w:r w:rsidR="00E83086">
        <w:rPr>
          <w:rFonts w:asciiTheme="minorHAnsi" w:hAnsiTheme="minorHAnsi" w:cs="Calibri"/>
          <w:color w:val="000000" w:themeColor="text1"/>
          <w:szCs w:val="22"/>
        </w:rPr>
        <w:t xml:space="preserve">comes from </w:t>
      </w:r>
      <w:r w:rsidR="00E83086" w:rsidRPr="00E83086">
        <w:rPr>
          <w:rFonts w:asciiTheme="minorHAnsi" w:hAnsiTheme="minorHAnsi" w:cs="Calibri"/>
          <w:color w:val="000000" w:themeColor="text1"/>
          <w:szCs w:val="22"/>
        </w:rPr>
        <w:t>Immigration, Refugees and Citizenship Canada</w:t>
      </w:r>
      <w:r w:rsidR="002C0A8F">
        <w:rPr>
          <w:rFonts w:asciiTheme="minorHAnsi" w:hAnsiTheme="minorHAnsi" w:cs="Calibri"/>
          <w:color w:val="000000" w:themeColor="text1"/>
          <w:szCs w:val="22"/>
          <w:vertAlign w:val="superscript"/>
        </w:rPr>
        <w:t>2</w:t>
      </w:r>
      <w:r w:rsidR="00E83086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E0586B">
        <w:rPr>
          <w:rFonts w:asciiTheme="minorHAnsi" w:hAnsiTheme="minorHAnsi" w:cs="Calibri"/>
          <w:color w:val="000000" w:themeColor="text1"/>
          <w:szCs w:val="22"/>
        </w:rPr>
        <w:t>unlike</w:t>
      </w:r>
      <w:r w:rsidR="00E83086">
        <w:rPr>
          <w:rFonts w:asciiTheme="minorHAnsi" w:hAnsiTheme="minorHAnsi" w:cs="Calibri"/>
          <w:color w:val="000000" w:themeColor="text1"/>
          <w:szCs w:val="22"/>
        </w:rPr>
        <w:t xml:space="preserve"> countries such as the USA, UK and Australia whose primary data sources are education providers. Canada’s counting of study permit holders incorporates the levels ‘secondary or less’ (15% of total), ‘post-secondary’ (75%) and ‘other studies’ (10%)</w:t>
      </w:r>
      <w:r w:rsidR="00E515B4">
        <w:rPr>
          <w:rFonts w:asciiTheme="minorHAnsi" w:hAnsiTheme="minorHAnsi" w:cs="Calibri"/>
          <w:color w:val="000000" w:themeColor="text1"/>
          <w:szCs w:val="22"/>
        </w:rPr>
        <w:t xml:space="preserve">. Of the post-secondary </w:t>
      </w:r>
      <w:r w:rsidR="00E515B4">
        <w:rPr>
          <w:rFonts w:asciiTheme="minorHAnsi" w:hAnsiTheme="minorHAnsi" w:cs="Calibri"/>
          <w:color w:val="000000" w:themeColor="text1"/>
          <w:szCs w:val="22"/>
        </w:rPr>
        <w:t>permit holders</w:t>
      </w:r>
      <w:r w:rsidR="00E515B4">
        <w:rPr>
          <w:rFonts w:asciiTheme="minorHAnsi" w:hAnsiTheme="minorHAnsi" w:cs="Calibri"/>
          <w:color w:val="000000" w:themeColor="text1"/>
          <w:szCs w:val="22"/>
        </w:rPr>
        <w:t>,</w:t>
      </w:r>
      <w:r w:rsidR="002C0A8F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E0586B">
        <w:rPr>
          <w:rFonts w:asciiTheme="minorHAnsi" w:hAnsiTheme="minorHAnsi" w:cs="Calibri"/>
          <w:color w:val="000000" w:themeColor="text1"/>
          <w:szCs w:val="22"/>
        </w:rPr>
        <w:t>67%</w:t>
      </w:r>
      <w:r w:rsidR="002C0A8F">
        <w:rPr>
          <w:rFonts w:asciiTheme="minorHAnsi" w:hAnsiTheme="minorHAnsi" w:cs="Calibri"/>
          <w:color w:val="000000" w:themeColor="text1"/>
          <w:szCs w:val="22"/>
        </w:rPr>
        <w:t xml:space="preserve"> stud</w:t>
      </w:r>
      <w:r w:rsidR="002B1CE0">
        <w:rPr>
          <w:rFonts w:asciiTheme="minorHAnsi" w:hAnsiTheme="minorHAnsi" w:cs="Calibri"/>
          <w:color w:val="000000" w:themeColor="text1"/>
          <w:szCs w:val="22"/>
        </w:rPr>
        <w:t>ied</w:t>
      </w:r>
      <w:r w:rsidR="002C0A8F">
        <w:rPr>
          <w:rFonts w:asciiTheme="minorHAnsi" w:hAnsiTheme="minorHAnsi" w:cs="Calibri"/>
          <w:color w:val="000000" w:themeColor="text1"/>
          <w:szCs w:val="22"/>
        </w:rPr>
        <w:t xml:space="preserve"> at universities and 25% at colleges</w:t>
      </w:r>
      <w:r w:rsidR="002C0A8F" w:rsidRPr="002C0A8F">
        <w:rPr>
          <w:rFonts w:asciiTheme="minorHAnsi" w:hAnsiTheme="minorHAnsi" w:cs="Calibri"/>
          <w:color w:val="000000" w:themeColor="text1"/>
          <w:szCs w:val="22"/>
          <w:vertAlign w:val="superscript"/>
        </w:rPr>
        <w:t>3</w:t>
      </w:r>
      <w:r w:rsidR="002C0A8F">
        <w:rPr>
          <w:rFonts w:asciiTheme="minorHAnsi" w:hAnsiTheme="minorHAnsi" w:cs="Calibri"/>
          <w:color w:val="000000" w:themeColor="text1"/>
          <w:szCs w:val="22"/>
        </w:rPr>
        <w:t xml:space="preserve">. </w:t>
      </w:r>
      <w:r w:rsidR="00E83086">
        <w:rPr>
          <w:rFonts w:asciiTheme="minorHAnsi" w:hAnsiTheme="minorHAnsi" w:cs="Calibri"/>
          <w:color w:val="000000" w:themeColor="text1"/>
          <w:szCs w:val="22"/>
        </w:rPr>
        <w:t>Thus</w:t>
      </w:r>
      <w:r w:rsidR="005270B1">
        <w:rPr>
          <w:rFonts w:asciiTheme="minorHAnsi" w:hAnsiTheme="minorHAnsi" w:cs="Calibri"/>
          <w:color w:val="000000" w:themeColor="text1"/>
          <w:szCs w:val="22"/>
        </w:rPr>
        <w:t>,</w:t>
      </w:r>
      <w:r w:rsidR="00E83086">
        <w:rPr>
          <w:rFonts w:asciiTheme="minorHAnsi" w:hAnsiTheme="minorHAnsi" w:cs="Calibri"/>
          <w:color w:val="000000" w:themeColor="text1"/>
          <w:szCs w:val="22"/>
        </w:rPr>
        <w:t xml:space="preserve"> the scope of Canada’s data appears similar to Australia’s multi-sector </w:t>
      </w:r>
      <w:r w:rsidR="00D15751">
        <w:rPr>
          <w:rFonts w:asciiTheme="minorHAnsi" w:hAnsiTheme="minorHAnsi" w:cs="Calibri"/>
          <w:color w:val="000000" w:themeColor="text1"/>
          <w:szCs w:val="22"/>
        </w:rPr>
        <w:t>data</w:t>
      </w:r>
      <w:r w:rsidR="005270B1">
        <w:rPr>
          <w:rFonts w:asciiTheme="minorHAnsi" w:hAnsiTheme="minorHAnsi" w:cs="Calibri"/>
          <w:color w:val="000000" w:themeColor="text1"/>
          <w:szCs w:val="22"/>
        </w:rPr>
        <w:t>, albeit</w:t>
      </w:r>
      <w:r w:rsidR="00E83086">
        <w:rPr>
          <w:rFonts w:asciiTheme="minorHAnsi" w:hAnsiTheme="minorHAnsi" w:cs="Calibri"/>
          <w:color w:val="000000" w:themeColor="text1"/>
          <w:szCs w:val="22"/>
        </w:rPr>
        <w:t xml:space="preserve"> with a </w:t>
      </w:r>
      <w:r w:rsidR="00D15751">
        <w:rPr>
          <w:rFonts w:asciiTheme="minorHAnsi" w:hAnsiTheme="minorHAnsi" w:cs="Calibri"/>
          <w:color w:val="000000" w:themeColor="text1"/>
          <w:szCs w:val="22"/>
        </w:rPr>
        <w:t>larger</w:t>
      </w:r>
      <w:r w:rsidR="00E83086">
        <w:rPr>
          <w:rFonts w:asciiTheme="minorHAnsi" w:hAnsiTheme="minorHAnsi" w:cs="Calibri"/>
          <w:color w:val="000000" w:themeColor="text1"/>
          <w:szCs w:val="22"/>
        </w:rPr>
        <w:t xml:space="preserve"> proportion of school students (15% compared to Australia’s </w:t>
      </w:r>
      <w:r w:rsidR="00D15751">
        <w:rPr>
          <w:rFonts w:asciiTheme="minorHAnsi" w:hAnsiTheme="minorHAnsi" w:cs="Calibri"/>
          <w:color w:val="000000" w:themeColor="text1"/>
          <w:szCs w:val="22"/>
        </w:rPr>
        <w:t>3</w:t>
      </w:r>
      <w:r w:rsidR="00E83086">
        <w:rPr>
          <w:rFonts w:asciiTheme="minorHAnsi" w:hAnsiTheme="minorHAnsi" w:cs="Calibri"/>
          <w:color w:val="000000" w:themeColor="text1"/>
          <w:szCs w:val="22"/>
        </w:rPr>
        <w:t>%).</w:t>
      </w:r>
      <w:r w:rsidR="005270B1">
        <w:rPr>
          <w:rFonts w:asciiTheme="minorHAnsi" w:hAnsiTheme="minorHAnsi" w:cs="Calibri"/>
          <w:color w:val="000000" w:themeColor="text1"/>
          <w:szCs w:val="22"/>
        </w:rPr>
        <w:t xml:space="preserve"> As Canada’s annual data count is of unique individuals, the </w:t>
      </w:r>
      <w:r w:rsidR="00207CD7">
        <w:rPr>
          <w:rFonts w:asciiTheme="minorHAnsi" w:hAnsiTheme="minorHAnsi" w:cs="Calibri"/>
          <w:color w:val="000000" w:themeColor="text1"/>
          <w:szCs w:val="22"/>
        </w:rPr>
        <w:t>most comparable Australia</w:t>
      </w:r>
      <w:r w:rsidR="00D15751">
        <w:rPr>
          <w:rFonts w:asciiTheme="minorHAnsi" w:hAnsiTheme="minorHAnsi" w:cs="Calibri"/>
          <w:color w:val="000000" w:themeColor="text1"/>
          <w:szCs w:val="22"/>
        </w:rPr>
        <w:t>n</w:t>
      </w:r>
      <w:r w:rsidR="00207CD7">
        <w:rPr>
          <w:rFonts w:asciiTheme="minorHAnsi" w:hAnsiTheme="minorHAnsi" w:cs="Calibri"/>
          <w:color w:val="000000" w:themeColor="text1"/>
          <w:szCs w:val="22"/>
        </w:rPr>
        <w:t xml:space="preserve"> measure </w:t>
      </w:r>
      <w:r w:rsidR="005270B1">
        <w:rPr>
          <w:rFonts w:asciiTheme="minorHAnsi" w:hAnsiTheme="minorHAnsi" w:cs="Calibri"/>
          <w:color w:val="000000" w:themeColor="text1"/>
          <w:szCs w:val="22"/>
        </w:rPr>
        <w:t xml:space="preserve">is our unique international student </w:t>
      </w:r>
      <w:r w:rsidR="00207CD7">
        <w:rPr>
          <w:rFonts w:asciiTheme="minorHAnsi" w:hAnsiTheme="minorHAnsi" w:cs="Calibri"/>
          <w:color w:val="000000" w:themeColor="text1"/>
          <w:szCs w:val="22"/>
        </w:rPr>
        <w:t>count</w:t>
      </w:r>
      <w:r w:rsidR="00D15751">
        <w:rPr>
          <w:rFonts w:asciiTheme="minorHAnsi" w:hAnsiTheme="minorHAnsi" w:cs="Calibri"/>
          <w:color w:val="000000" w:themeColor="text1"/>
          <w:szCs w:val="22"/>
        </w:rPr>
        <w:t>,</w:t>
      </w:r>
      <w:r w:rsidR="00207CD7">
        <w:rPr>
          <w:rFonts w:asciiTheme="minorHAnsi" w:hAnsiTheme="minorHAnsi" w:cs="Calibri"/>
          <w:color w:val="000000" w:themeColor="text1"/>
          <w:szCs w:val="22"/>
        </w:rPr>
        <w:t xml:space="preserve"> </w:t>
      </w:r>
      <w:r w:rsidR="00D15751">
        <w:rPr>
          <w:rFonts w:asciiTheme="minorHAnsi" w:hAnsiTheme="minorHAnsi" w:cs="Calibri"/>
          <w:color w:val="000000" w:themeColor="text1"/>
          <w:szCs w:val="22"/>
        </w:rPr>
        <w:t>which</w:t>
      </w:r>
      <w:r w:rsidR="00674680">
        <w:rPr>
          <w:rFonts w:asciiTheme="minorHAnsi" w:hAnsiTheme="minorHAnsi" w:cs="Calibri"/>
          <w:color w:val="000000" w:themeColor="text1"/>
          <w:szCs w:val="22"/>
        </w:rPr>
        <w:t xml:space="preserve"> avoid</w:t>
      </w:r>
      <w:r w:rsidR="00D15751">
        <w:rPr>
          <w:rFonts w:asciiTheme="minorHAnsi" w:hAnsiTheme="minorHAnsi" w:cs="Calibri"/>
          <w:color w:val="000000" w:themeColor="text1"/>
          <w:szCs w:val="22"/>
        </w:rPr>
        <w:t>s</w:t>
      </w:r>
      <w:r w:rsidR="005270B1">
        <w:rPr>
          <w:rFonts w:asciiTheme="minorHAnsi" w:hAnsiTheme="minorHAnsi" w:cs="Calibri"/>
          <w:color w:val="000000" w:themeColor="text1"/>
          <w:szCs w:val="22"/>
        </w:rPr>
        <w:t xml:space="preserve"> the duplication inherent in </w:t>
      </w:r>
      <w:r w:rsidR="00D15751">
        <w:rPr>
          <w:rFonts w:asciiTheme="minorHAnsi" w:hAnsiTheme="minorHAnsi" w:cs="Calibri"/>
          <w:color w:val="000000" w:themeColor="text1"/>
          <w:szCs w:val="22"/>
        </w:rPr>
        <w:t>course enrolment data</w:t>
      </w:r>
      <w:r w:rsidR="005270B1">
        <w:rPr>
          <w:rFonts w:asciiTheme="minorHAnsi" w:hAnsiTheme="minorHAnsi" w:cs="Calibri"/>
          <w:color w:val="000000" w:themeColor="text1"/>
          <w:szCs w:val="22"/>
        </w:rPr>
        <w:t>.</w:t>
      </w:r>
    </w:p>
    <w:p w14:paraId="072947EF" w14:textId="77777777" w:rsidR="008E70AE" w:rsidRPr="0004008B" w:rsidRDefault="00E0586B" w:rsidP="005270B1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2A60518B" wp14:editId="4C24FD97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3476625" cy="3105150"/>
            <wp:effectExtent l="0" t="0" r="952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42215742" wp14:editId="141D4ACF">
            <wp:simplePos x="0" y="0"/>
            <wp:positionH relativeFrom="margin">
              <wp:posOffset>-183515</wp:posOffset>
            </wp:positionH>
            <wp:positionV relativeFrom="paragraph">
              <wp:posOffset>548640</wp:posOffset>
            </wp:positionV>
            <wp:extent cx="3524250" cy="3114675"/>
            <wp:effectExtent l="0" t="0" r="0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0B1">
        <w:rPr>
          <w:rFonts w:asciiTheme="minorHAnsi" w:hAnsiTheme="minorHAnsi" w:cs="Calibri"/>
          <w:color w:val="000000" w:themeColor="text1"/>
          <w:szCs w:val="22"/>
        </w:rPr>
        <w:t>On th</w:t>
      </w:r>
      <w:r w:rsidR="00207CD7">
        <w:rPr>
          <w:rFonts w:asciiTheme="minorHAnsi" w:hAnsiTheme="minorHAnsi" w:cs="Calibri"/>
          <w:color w:val="000000" w:themeColor="text1"/>
          <w:szCs w:val="22"/>
        </w:rPr>
        <w:t>is</w:t>
      </w:r>
      <w:r w:rsidR="005270B1">
        <w:rPr>
          <w:rFonts w:asciiTheme="minorHAnsi" w:hAnsiTheme="minorHAnsi" w:cs="Calibri"/>
          <w:color w:val="000000" w:themeColor="text1"/>
          <w:szCs w:val="22"/>
        </w:rPr>
        <w:t xml:space="preserve"> basis, Canada hosted 494,525 international students in 2017</w:t>
      </w:r>
      <w:r w:rsidR="002C0A8F">
        <w:rPr>
          <w:rFonts w:asciiTheme="minorHAnsi" w:hAnsiTheme="minorHAnsi" w:cs="Calibri"/>
          <w:color w:val="000000" w:themeColor="text1"/>
          <w:szCs w:val="22"/>
          <w:vertAlign w:val="superscript"/>
        </w:rPr>
        <w:t>4</w:t>
      </w:r>
      <w:r w:rsidR="005270B1">
        <w:rPr>
          <w:rFonts w:asciiTheme="minorHAnsi" w:hAnsiTheme="minorHAnsi" w:cs="Calibri"/>
          <w:color w:val="000000" w:themeColor="text1"/>
          <w:szCs w:val="22"/>
        </w:rPr>
        <w:t xml:space="preserve">, following 20% growth on 2016, while Australia </w:t>
      </w:r>
      <w:bookmarkStart w:id="0" w:name="_GoBack"/>
      <w:bookmarkEnd w:id="0"/>
      <w:r w:rsidR="005270B1">
        <w:rPr>
          <w:rFonts w:asciiTheme="minorHAnsi" w:hAnsiTheme="minorHAnsi" w:cs="Calibri"/>
          <w:color w:val="000000" w:themeColor="text1"/>
          <w:szCs w:val="22"/>
        </w:rPr>
        <w:t>hosted 624,001 international students in 2017</w:t>
      </w:r>
      <w:r w:rsidR="00674680">
        <w:rPr>
          <w:rFonts w:asciiTheme="minorHAnsi" w:hAnsiTheme="minorHAnsi" w:cs="Calibri"/>
          <w:color w:val="000000" w:themeColor="text1"/>
          <w:szCs w:val="22"/>
        </w:rPr>
        <w:t>,</w:t>
      </w:r>
      <w:r w:rsidR="005270B1">
        <w:rPr>
          <w:rFonts w:asciiTheme="minorHAnsi" w:hAnsiTheme="minorHAnsi" w:cs="Calibri"/>
          <w:color w:val="000000" w:themeColor="text1"/>
          <w:szCs w:val="22"/>
        </w:rPr>
        <w:t xml:space="preserve"> following 13% growth on 2016.</w:t>
      </w:r>
      <w:r w:rsidR="00674680">
        <w:rPr>
          <w:rFonts w:asciiTheme="minorHAnsi" w:hAnsiTheme="minorHAnsi" w:cs="Calibri"/>
          <w:color w:val="000000" w:themeColor="text1"/>
          <w:szCs w:val="22"/>
        </w:rPr>
        <w:t xml:space="preserve"> Each countries’ top 10 student source countries in 2017 </w:t>
      </w:r>
      <w:proofErr w:type="gramStart"/>
      <w:r w:rsidR="00674680">
        <w:rPr>
          <w:rFonts w:asciiTheme="minorHAnsi" w:hAnsiTheme="minorHAnsi" w:cs="Calibri"/>
          <w:color w:val="000000" w:themeColor="text1"/>
          <w:szCs w:val="22"/>
        </w:rPr>
        <w:t>are shown</w:t>
      </w:r>
      <w:proofErr w:type="gramEnd"/>
      <w:r w:rsidR="00674680">
        <w:rPr>
          <w:rFonts w:asciiTheme="minorHAnsi" w:hAnsiTheme="minorHAnsi" w:cs="Calibri"/>
          <w:color w:val="000000" w:themeColor="text1"/>
          <w:szCs w:val="22"/>
        </w:rPr>
        <w:t xml:space="preserve"> below</w:t>
      </w:r>
      <w:r>
        <w:rPr>
          <w:rFonts w:asciiTheme="minorHAnsi" w:hAnsiTheme="minorHAnsi" w:cs="Calibri"/>
          <w:color w:val="000000" w:themeColor="text1"/>
          <w:szCs w:val="22"/>
        </w:rPr>
        <w:t xml:space="preserve"> in Figures 1 and 2.</w:t>
      </w:r>
      <w:r w:rsidR="00674680">
        <w:rPr>
          <w:rFonts w:asciiTheme="minorHAnsi" w:hAnsiTheme="minorHAnsi" w:cs="Calibri"/>
          <w:color w:val="000000" w:themeColor="text1"/>
          <w:szCs w:val="22"/>
        </w:rPr>
        <w:t xml:space="preserve"> </w:t>
      </w:r>
    </w:p>
    <w:p w14:paraId="55B94316" w14:textId="77777777" w:rsidR="00F40AF5" w:rsidRPr="00F40AF5" w:rsidRDefault="00F40AF5" w:rsidP="00F40AF5">
      <w:pPr>
        <w:jc w:val="both"/>
        <w:rPr>
          <w:rFonts w:asciiTheme="minorHAnsi" w:hAnsiTheme="minorHAnsi" w:cs="Calibri"/>
          <w:color w:val="000000" w:themeColor="text1"/>
          <w:sz w:val="12"/>
          <w:szCs w:val="12"/>
        </w:rPr>
      </w:pPr>
    </w:p>
    <w:p w14:paraId="3F4F83BA" w14:textId="77777777" w:rsidR="004708AC" w:rsidRDefault="00D42D30" w:rsidP="00E0586B">
      <w:pPr>
        <w:spacing w:after="120"/>
        <w:jc w:val="both"/>
        <w:rPr>
          <w:rFonts w:asciiTheme="minorHAnsi" w:hAnsiTheme="minorHAnsi" w:cs="Calibri"/>
          <w:color w:val="000000" w:themeColor="text1"/>
          <w:szCs w:val="22"/>
        </w:rPr>
      </w:pPr>
      <w:r w:rsidRPr="0004008B">
        <w:rPr>
          <w:rFonts w:asciiTheme="minorHAnsi" w:hAnsiTheme="minorHAnsi" w:cs="Calibri"/>
          <w:color w:val="000000" w:themeColor="text1"/>
          <w:szCs w:val="22"/>
        </w:rPr>
        <w:t xml:space="preserve">The top 10 source countries </w:t>
      </w:r>
      <w:r w:rsidR="00674680">
        <w:rPr>
          <w:rFonts w:asciiTheme="minorHAnsi" w:hAnsiTheme="minorHAnsi" w:cs="Calibri"/>
          <w:color w:val="000000" w:themeColor="text1"/>
          <w:szCs w:val="22"/>
        </w:rPr>
        <w:t xml:space="preserve">contributed 76% of Canada’s total </w:t>
      </w:r>
      <w:r w:rsidR="00816B5B">
        <w:rPr>
          <w:rFonts w:asciiTheme="minorHAnsi" w:hAnsiTheme="minorHAnsi" w:cs="Calibri"/>
          <w:color w:val="000000" w:themeColor="text1"/>
          <w:szCs w:val="22"/>
        </w:rPr>
        <w:t xml:space="preserve">and 68% of Australia’s total </w:t>
      </w:r>
      <w:r w:rsidR="00207CD7">
        <w:rPr>
          <w:rFonts w:asciiTheme="minorHAnsi" w:hAnsiTheme="minorHAnsi" w:cs="Calibri"/>
          <w:color w:val="000000" w:themeColor="text1"/>
          <w:szCs w:val="22"/>
        </w:rPr>
        <w:t xml:space="preserve">student </w:t>
      </w:r>
      <w:r w:rsidR="00816B5B">
        <w:rPr>
          <w:rFonts w:asciiTheme="minorHAnsi" w:hAnsiTheme="minorHAnsi" w:cs="Calibri"/>
          <w:color w:val="000000" w:themeColor="text1"/>
          <w:szCs w:val="22"/>
        </w:rPr>
        <w:t>number</w:t>
      </w:r>
      <w:r w:rsidR="00207CD7">
        <w:rPr>
          <w:rFonts w:asciiTheme="minorHAnsi" w:hAnsiTheme="minorHAnsi" w:cs="Calibri"/>
          <w:color w:val="000000" w:themeColor="text1"/>
          <w:szCs w:val="22"/>
        </w:rPr>
        <w:t>s in 2017</w:t>
      </w:r>
      <w:r w:rsidR="00816B5B">
        <w:rPr>
          <w:rFonts w:asciiTheme="minorHAnsi" w:hAnsiTheme="minorHAnsi" w:cs="Calibri"/>
          <w:color w:val="000000" w:themeColor="text1"/>
          <w:szCs w:val="22"/>
        </w:rPr>
        <w:t>. While the proportion of Chinese students in each country is similar (28% for Canada and 30% for Australia), Indian students made up 25% of international students in Canada (compared with 11% in Australia)</w:t>
      </w:r>
      <w:r w:rsidR="00E0586B">
        <w:rPr>
          <w:rFonts w:asciiTheme="minorHAnsi" w:hAnsiTheme="minorHAnsi" w:cs="Calibri"/>
          <w:color w:val="000000" w:themeColor="text1"/>
          <w:szCs w:val="22"/>
        </w:rPr>
        <w:t>,</w:t>
      </w:r>
      <w:r w:rsidR="00816B5B">
        <w:rPr>
          <w:rFonts w:asciiTheme="minorHAnsi" w:hAnsiTheme="minorHAnsi" w:cs="Calibri"/>
          <w:color w:val="000000" w:themeColor="text1"/>
          <w:szCs w:val="22"/>
        </w:rPr>
        <w:t xml:space="preserve"> following a 63% increase in Indian students since 2016. Canada also saw large growth in students from Vietnam (89%</w:t>
      </w:r>
      <w:r w:rsidR="00F40AF5">
        <w:rPr>
          <w:rFonts w:asciiTheme="minorHAnsi" w:hAnsiTheme="minorHAnsi" w:cs="Calibri"/>
          <w:color w:val="000000" w:themeColor="text1"/>
          <w:szCs w:val="22"/>
        </w:rPr>
        <w:t xml:space="preserve">) and Brazil (28%) in this period. Australia saw similar growth from Brazil (24%), </w:t>
      </w:r>
      <w:r w:rsidR="00E0586B">
        <w:rPr>
          <w:rFonts w:asciiTheme="minorHAnsi" w:hAnsiTheme="minorHAnsi" w:cs="Calibri"/>
          <w:color w:val="000000" w:themeColor="text1"/>
          <w:szCs w:val="22"/>
        </w:rPr>
        <w:t xml:space="preserve">however </w:t>
      </w:r>
      <w:r w:rsidR="00F40AF5">
        <w:rPr>
          <w:rFonts w:asciiTheme="minorHAnsi" w:hAnsiTheme="minorHAnsi" w:cs="Calibri"/>
          <w:color w:val="000000" w:themeColor="text1"/>
          <w:szCs w:val="22"/>
        </w:rPr>
        <w:t>its fastes</w:t>
      </w:r>
      <w:r w:rsidR="00DE0C09">
        <w:rPr>
          <w:rFonts w:asciiTheme="minorHAnsi" w:hAnsiTheme="minorHAnsi" w:cs="Calibri"/>
          <w:color w:val="000000" w:themeColor="text1"/>
          <w:szCs w:val="22"/>
        </w:rPr>
        <w:t xml:space="preserve">t growing source country Nepal, </w:t>
      </w:r>
      <w:r w:rsidR="00F40AF5">
        <w:rPr>
          <w:rFonts w:asciiTheme="minorHAnsi" w:hAnsiTheme="minorHAnsi" w:cs="Calibri"/>
          <w:color w:val="000000" w:themeColor="text1"/>
          <w:szCs w:val="22"/>
        </w:rPr>
        <w:t xml:space="preserve">sends only a few hundred students to Canada </w:t>
      </w:r>
      <w:r w:rsidR="00DE0C09">
        <w:rPr>
          <w:rFonts w:asciiTheme="minorHAnsi" w:hAnsiTheme="minorHAnsi" w:cs="Calibri"/>
          <w:color w:val="000000" w:themeColor="text1"/>
          <w:szCs w:val="22"/>
        </w:rPr>
        <w:t>(540</w:t>
      </w:r>
      <w:r w:rsidR="00F40AF5">
        <w:rPr>
          <w:rFonts w:asciiTheme="minorHAnsi" w:hAnsiTheme="minorHAnsi" w:cs="Calibri"/>
          <w:color w:val="000000" w:themeColor="text1"/>
          <w:szCs w:val="22"/>
        </w:rPr>
        <w:t xml:space="preserve"> in 2017</w:t>
      </w:r>
      <w:r w:rsidR="00DE0C09">
        <w:rPr>
          <w:rFonts w:asciiTheme="minorHAnsi" w:hAnsiTheme="minorHAnsi" w:cs="Calibri"/>
          <w:color w:val="000000" w:themeColor="text1"/>
          <w:szCs w:val="22"/>
        </w:rPr>
        <w:t>)</w:t>
      </w:r>
      <w:r w:rsidR="00F40AF5">
        <w:rPr>
          <w:rFonts w:asciiTheme="minorHAnsi" w:hAnsiTheme="minorHAnsi" w:cs="Calibri"/>
          <w:color w:val="000000" w:themeColor="text1"/>
          <w:szCs w:val="22"/>
        </w:rPr>
        <w:t>.</w:t>
      </w:r>
    </w:p>
    <w:p w14:paraId="687D3D27" w14:textId="77777777" w:rsidR="00EB6DFD" w:rsidRPr="00BB3A3C" w:rsidRDefault="00E0586B" w:rsidP="00BB3A3C">
      <w:pPr>
        <w:jc w:val="both"/>
        <w:rPr>
          <w:rFonts w:asciiTheme="minorHAnsi" w:hAnsiTheme="minorHAnsi" w:cs="Calibri"/>
          <w:color w:val="000000" w:themeColor="text1"/>
          <w:szCs w:val="22"/>
        </w:rPr>
      </w:pPr>
      <w:r>
        <w:rPr>
          <w:rFonts w:asciiTheme="minorHAnsi" w:hAnsiTheme="minorHAnsi" w:cs="Calibri"/>
          <w:color w:val="000000" w:themeColor="text1"/>
          <w:szCs w:val="22"/>
        </w:rPr>
        <w:t xml:space="preserve">Research undertaken by IDP in 2017 identified that Canada’s current migration policies </w:t>
      </w:r>
      <w:proofErr w:type="gramStart"/>
      <w:r>
        <w:rPr>
          <w:rFonts w:asciiTheme="minorHAnsi" w:hAnsiTheme="minorHAnsi" w:cs="Calibri"/>
          <w:color w:val="000000" w:themeColor="text1"/>
          <w:szCs w:val="22"/>
        </w:rPr>
        <w:t>are perceived</w:t>
      </w:r>
      <w:proofErr w:type="gramEnd"/>
      <w:r>
        <w:rPr>
          <w:rFonts w:asciiTheme="minorHAnsi" w:hAnsiTheme="minorHAnsi" w:cs="Calibri"/>
          <w:color w:val="000000" w:themeColor="text1"/>
          <w:szCs w:val="22"/>
        </w:rPr>
        <w:t xml:space="preserve"> as more welcoming by international students, particularly </w:t>
      </w:r>
      <w:r w:rsidR="003661DD">
        <w:rPr>
          <w:rFonts w:asciiTheme="minorHAnsi" w:hAnsiTheme="minorHAnsi" w:cs="Calibri"/>
          <w:color w:val="000000" w:themeColor="text1"/>
          <w:szCs w:val="22"/>
        </w:rPr>
        <w:t>when compared</w:t>
      </w:r>
      <w:r>
        <w:rPr>
          <w:rFonts w:asciiTheme="minorHAnsi" w:hAnsiTheme="minorHAnsi" w:cs="Calibri"/>
          <w:color w:val="000000" w:themeColor="text1"/>
          <w:szCs w:val="22"/>
        </w:rPr>
        <w:t xml:space="preserve"> with current policies </w:t>
      </w:r>
      <w:r w:rsidR="003661DD">
        <w:rPr>
          <w:rFonts w:asciiTheme="minorHAnsi" w:hAnsiTheme="minorHAnsi" w:cs="Calibri"/>
          <w:color w:val="000000" w:themeColor="text1"/>
          <w:szCs w:val="22"/>
        </w:rPr>
        <w:t>of</w:t>
      </w:r>
      <w:r>
        <w:rPr>
          <w:rFonts w:asciiTheme="minorHAnsi" w:hAnsiTheme="minorHAnsi" w:cs="Calibri"/>
          <w:color w:val="000000" w:themeColor="text1"/>
          <w:szCs w:val="22"/>
        </w:rPr>
        <w:t xml:space="preserve"> the United States and United Kingdom</w:t>
      </w:r>
      <w:r w:rsidRPr="00E0586B">
        <w:rPr>
          <w:rFonts w:asciiTheme="minorHAnsi" w:hAnsiTheme="minorHAnsi" w:cs="Calibri"/>
          <w:color w:val="000000" w:themeColor="text1"/>
          <w:szCs w:val="22"/>
          <w:vertAlign w:val="superscript"/>
        </w:rPr>
        <w:t>5</w:t>
      </w:r>
      <w:r>
        <w:rPr>
          <w:rFonts w:asciiTheme="minorHAnsi" w:hAnsiTheme="minorHAnsi" w:cs="Calibri"/>
          <w:color w:val="000000" w:themeColor="text1"/>
          <w:szCs w:val="22"/>
        </w:rPr>
        <w:t>.</w:t>
      </w:r>
    </w:p>
    <w:sectPr w:rsidR="00EB6DFD" w:rsidRPr="00BB3A3C" w:rsidSect="00124BE5">
      <w:footerReference w:type="default" r:id="rId11"/>
      <w:type w:val="continuous"/>
      <w:pgSz w:w="11906" w:h="16838" w:code="9"/>
      <w:pgMar w:top="284" w:right="424" w:bottom="567" w:left="709" w:header="567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BF63A" w14:textId="77777777" w:rsidR="00DA645F" w:rsidRDefault="00DA645F">
      <w:r>
        <w:separator/>
      </w:r>
    </w:p>
  </w:endnote>
  <w:endnote w:type="continuationSeparator" w:id="0">
    <w:p w14:paraId="5E16A306" w14:textId="77777777" w:rsidR="00DA645F" w:rsidRDefault="00DA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0E5B" w14:textId="77777777" w:rsidR="00EB6DFD" w:rsidRPr="0078077F" w:rsidRDefault="00EE03C3" w:rsidP="000E0FB5">
    <w:pPr>
      <w:pStyle w:val="ListParagraph"/>
      <w:numPr>
        <w:ilvl w:val="0"/>
        <w:numId w:val="8"/>
      </w:numPr>
      <w:spacing w:after="0" w:line="160" w:lineRule="exact"/>
      <w:ind w:left="142" w:hanging="142"/>
      <w:rPr>
        <w:rFonts w:ascii="Cambria" w:hAnsi="Cambria" w:cstheme="minorHAnsi"/>
        <w:i/>
        <w:color w:val="000000"/>
        <w:sz w:val="14"/>
        <w:szCs w:val="16"/>
      </w:rPr>
    </w:pPr>
    <w:r w:rsidRPr="0078077F">
      <w:rPr>
        <w:rFonts w:ascii="Cambria" w:hAnsi="Cambria" w:cstheme="minorHAnsi"/>
        <w:i/>
        <w:color w:val="000000"/>
        <w:sz w:val="14"/>
        <w:szCs w:val="16"/>
      </w:rPr>
      <w:t xml:space="preserve">According to UNESCO 2015 data, Australia is the </w:t>
    </w:r>
    <w:proofErr w:type="gramStart"/>
    <w:r w:rsidRPr="0078077F">
      <w:rPr>
        <w:rFonts w:ascii="Cambria" w:hAnsi="Cambria" w:cstheme="minorHAnsi"/>
        <w:i/>
        <w:color w:val="000000"/>
        <w:sz w:val="14"/>
        <w:szCs w:val="16"/>
      </w:rPr>
      <w:t>3rd</w:t>
    </w:r>
    <w:proofErr w:type="gramEnd"/>
    <w:r w:rsidRPr="0078077F">
      <w:rPr>
        <w:rFonts w:ascii="Cambria" w:hAnsi="Cambria" w:cstheme="minorHAnsi"/>
        <w:i/>
        <w:color w:val="000000"/>
        <w:sz w:val="14"/>
        <w:szCs w:val="16"/>
      </w:rPr>
      <w:t xml:space="preserve"> most popular destination after the US and the UK, while Canada comes 7th following France, Germany and Russia.</w:t>
    </w:r>
  </w:p>
  <w:p w14:paraId="53FE9153" w14:textId="77777777" w:rsidR="0078077F" w:rsidRPr="0078077F" w:rsidRDefault="0078077F" w:rsidP="000E0FB5">
    <w:pPr>
      <w:pStyle w:val="ListParagraph"/>
      <w:numPr>
        <w:ilvl w:val="0"/>
        <w:numId w:val="8"/>
      </w:numPr>
      <w:spacing w:after="0" w:line="160" w:lineRule="exact"/>
      <w:ind w:left="142" w:hanging="142"/>
      <w:rPr>
        <w:rFonts w:ascii="Cambria" w:hAnsi="Cambria" w:cstheme="minorHAnsi"/>
        <w:i/>
        <w:color w:val="000000"/>
        <w:sz w:val="14"/>
        <w:szCs w:val="16"/>
      </w:rPr>
    </w:pPr>
    <w:r>
      <w:rPr>
        <w:rFonts w:ascii="Cambria" w:hAnsi="Cambria" w:cstheme="minorHAnsi"/>
        <w:i/>
        <w:color w:val="000000"/>
        <w:sz w:val="14"/>
        <w:szCs w:val="16"/>
      </w:rPr>
      <w:t xml:space="preserve">Sourced from: </w:t>
    </w:r>
    <w:hyperlink r:id="rId1" w:history="1">
      <w:r w:rsidRPr="0078077F">
        <w:rPr>
          <w:rStyle w:val="Hyperlink"/>
          <w:rFonts w:ascii="Cambria" w:hAnsi="Cambria" w:cstheme="minorHAnsi"/>
          <w:i/>
          <w:sz w:val="14"/>
          <w:szCs w:val="16"/>
        </w:rPr>
        <w:t>Study permit holders on December 31st by country of citizenship</w:t>
      </w:r>
    </w:hyperlink>
    <w:r w:rsidRPr="0078077F">
      <w:rPr>
        <w:rStyle w:val="Hyperlink"/>
        <w:rFonts w:ascii="Cambria" w:hAnsi="Cambria" w:cstheme="minorHAnsi"/>
        <w:i/>
        <w:sz w:val="14"/>
        <w:szCs w:val="16"/>
        <w:u w:val="none"/>
      </w:rPr>
      <w:t>.</w:t>
    </w:r>
    <w:r>
      <w:rPr>
        <w:rFonts w:ascii="Cambria" w:hAnsi="Cambria" w:cstheme="minorHAnsi"/>
        <w:i/>
        <w:color w:val="000000"/>
        <w:sz w:val="14"/>
        <w:szCs w:val="16"/>
      </w:rPr>
      <w:t xml:space="preserve"> </w:t>
    </w:r>
  </w:p>
  <w:p w14:paraId="6819F5F1" w14:textId="238E7EC2" w:rsidR="002C0A8F" w:rsidRDefault="0078077F" w:rsidP="000E0FB5">
    <w:pPr>
      <w:spacing w:line="160" w:lineRule="exact"/>
      <w:rPr>
        <w:rFonts w:ascii="Cambria" w:hAnsi="Cambria" w:cstheme="minorHAnsi"/>
        <w:i/>
        <w:color w:val="000000"/>
        <w:sz w:val="14"/>
        <w:szCs w:val="16"/>
        <w:vertAlign w:val="superscript"/>
      </w:rPr>
    </w:pPr>
    <w:r>
      <w:rPr>
        <w:rFonts w:ascii="Cambria" w:hAnsi="Cambria" w:cstheme="minorHAnsi"/>
        <w:i/>
        <w:color w:val="000000"/>
        <w:sz w:val="14"/>
        <w:szCs w:val="16"/>
      </w:rPr>
      <w:t>3</w:t>
    </w:r>
    <w:r w:rsidR="002C0A8F">
      <w:rPr>
        <w:rFonts w:ascii="Cambria" w:hAnsi="Cambria" w:cstheme="minorHAnsi"/>
        <w:i/>
        <w:color w:val="000000"/>
        <w:sz w:val="14"/>
        <w:szCs w:val="16"/>
      </w:rPr>
      <w:t>.</w:t>
    </w:r>
    <w:r w:rsidR="00EB6DFD"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 </w:t>
    </w:r>
    <w:r>
      <w:rPr>
        <w:rFonts w:ascii="Cambria" w:hAnsi="Cambria" w:cstheme="minorHAnsi"/>
        <w:i/>
        <w:color w:val="000000"/>
        <w:sz w:val="14"/>
        <w:szCs w:val="16"/>
      </w:rPr>
      <w:t>Sourced from:</w:t>
    </w:r>
    <w:r w:rsidR="002C0A8F">
      <w:rPr>
        <w:rFonts w:ascii="Cambria" w:hAnsi="Cambria" w:cstheme="minorHAnsi"/>
        <w:i/>
        <w:color w:val="000000"/>
        <w:sz w:val="14"/>
        <w:szCs w:val="16"/>
        <w:vertAlign w:val="superscript"/>
      </w:rPr>
      <w:t xml:space="preserve"> </w:t>
    </w:r>
    <w:hyperlink r:id="rId2" w:history="1">
      <w:r w:rsidR="002C0A8F" w:rsidRPr="002C0A8F">
        <w:rPr>
          <w:rStyle w:val="Hyperlink"/>
          <w:rFonts w:ascii="Cambria" w:hAnsi="Cambria" w:cstheme="minorHAnsi"/>
          <w:i/>
          <w:sz w:val="14"/>
          <w:szCs w:val="16"/>
        </w:rPr>
        <w:t>http://net.cbie.ca/download/World-of-Learning-2016-EN.pdf</w:t>
      </w:r>
    </w:hyperlink>
    <w:r w:rsidR="002C0A8F" w:rsidRPr="002C0A8F">
      <w:rPr>
        <w:color w:val="000000"/>
      </w:rPr>
      <w:t xml:space="preserve"> </w:t>
    </w:r>
    <w:r w:rsidR="002C0A8F" w:rsidRPr="002C0A8F">
      <w:rPr>
        <w:rFonts w:ascii="Cambria" w:hAnsi="Cambria" w:cstheme="minorHAnsi"/>
        <w:i/>
        <w:color w:val="000000"/>
        <w:sz w:val="14"/>
        <w:szCs w:val="16"/>
      </w:rPr>
      <w:t>and</w:t>
    </w:r>
    <w:r w:rsidR="002C0A8F" w:rsidRPr="002C0A8F">
      <w:rPr>
        <w:color w:val="000000"/>
      </w:rPr>
      <w:t xml:space="preserve"> </w:t>
    </w:r>
    <w:hyperlink r:id="rId3" w:history="1">
      <w:r w:rsidR="002C0A8F" w:rsidRPr="002C0A8F">
        <w:rPr>
          <w:rStyle w:val="Hyperlink"/>
          <w:rFonts w:ascii="Cambria" w:hAnsi="Cambria" w:cstheme="minorHAnsi"/>
          <w:i/>
          <w:sz w:val="14"/>
          <w:szCs w:val="16"/>
        </w:rPr>
        <w:t>Study permit holders on December 31st by province/territory of intended destination and study level</w:t>
      </w:r>
      <w:r w:rsidR="002C0A8F">
        <w:rPr>
          <w:rStyle w:val="Hyperlink"/>
          <w:rFonts w:ascii="Cambria" w:hAnsi="Cambria" w:cstheme="minorHAnsi"/>
          <w:i/>
          <w:sz w:val="14"/>
          <w:szCs w:val="16"/>
          <w:u w:val="none"/>
        </w:rPr>
        <w:t>.</w:t>
      </w:r>
    </w:hyperlink>
    <w:r w:rsidR="00687343">
      <w:rPr>
        <w:rStyle w:val="Hyperlink"/>
        <w:rFonts w:ascii="Cambria" w:hAnsi="Cambria" w:cstheme="minorHAnsi"/>
        <w:i/>
        <w:sz w:val="14"/>
        <w:szCs w:val="16"/>
        <w:u w:val="none"/>
      </w:rPr>
      <w:t xml:space="preserve"> </w:t>
    </w:r>
    <w:r w:rsidR="00687343" w:rsidRPr="00DC40A0">
      <w:rPr>
        <w:rFonts w:ascii="Cambria" w:hAnsi="Cambria" w:cstheme="minorHAnsi"/>
        <w:i/>
        <w:color w:val="000000"/>
        <w:sz w:val="14"/>
        <w:szCs w:val="16"/>
      </w:rPr>
      <w:t xml:space="preserve">Canada’s colleges have </w:t>
    </w:r>
    <w:r w:rsidR="00687343">
      <w:rPr>
        <w:rFonts w:ascii="Cambria" w:hAnsi="Cambria" w:cstheme="minorHAnsi"/>
        <w:i/>
        <w:color w:val="000000"/>
        <w:sz w:val="14"/>
        <w:szCs w:val="16"/>
      </w:rPr>
      <w:t xml:space="preserve">some </w:t>
    </w:r>
    <w:r w:rsidR="00687343" w:rsidRPr="00DC40A0">
      <w:rPr>
        <w:rFonts w:ascii="Cambria" w:hAnsi="Cambria" w:cstheme="minorHAnsi"/>
        <w:i/>
        <w:color w:val="000000"/>
        <w:sz w:val="14"/>
        <w:szCs w:val="16"/>
      </w:rPr>
      <w:t>similarities to Australia’s VET institutions</w:t>
    </w:r>
    <w:r w:rsidR="00687343">
      <w:rPr>
        <w:rFonts w:ascii="Cambria" w:hAnsi="Cambria" w:cstheme="minorHAnsi"/>
        <w:i/>
        <w:color w:val="000000"/>
        <w:sz w:val="14"/>
        <w:szCs w:val="16"/>
      </w:rPr>
      <w:t xml:space="preserve"> in offering undergraduate-level courses with primarily vocational goals.</w:t>
    </w:r>
  </w:p>
  <w:p w14:paraId="46FD01C1" w14:textId="77777777" w:rsidR="00EB6DFD" w:rsidRDefault="0078077F" w:rsidP="000E0FB5">
    <w:pPr>
      <w:spacing w:line="160" w:lineRule="exact"/>
      <w:rPr>
        <w:rFonts w:ascii="Cambria" w:hAnsi="Cambria" w:cstheme="minorHAnsi"/>
        <w:i/>
        <w:color w:val="000000"/>
        <w:sz w:val="14"/>
        <w:szCs w:val="16"/>
      </w:rPr>
    </w:pPr>
    <w:r>
      <w:rPr>
        <w:rFonts w:ascii="Cambria" w:hAnsi="Cambria" w:cstheme="minorHAnsi"/>
        <w:i/>
        <w:color w:val="000000"/>
        <w:sz w:val="14"/>
        <w:szCs w:val="14"/>
      </w:rPr>
      <w:t>4</w:t>
    </w:r>
    <w:r w:rsidR="002C0A8F" w:rsidRPr="002C0A8F">
      <w:rPr>
        <w:rFonts w:ascii="Cambria" w:hAnsi="Cambria" w:cstheme="minorHAnsi"/>
        <w:i/>
        <w:color w:val="000000"/>
        <w:sz w:val="14"/>
        <w:szCs w:val="14"/>
      </w:rPr>
      <w:t xml:space="preserve">. </w:t>
    </w:r>
    <w:r w:rsidR="005270B1">
      <w:rPr>
        <w:rFonts w:ascii="Cambria" w:hAnsi="Cambria" w:cstheme="minorHAnsi"/>
        <w:i/>
        <w:color w:val="000000"/>
        <w:sz w:val="14"/>
        <w:szCs w:val="16"/>
      </w:rPr>
      <w:t>As is common in</w:t>
    </w:r>
    <w:r w:rsidR="00F80D8B">
      <w:rPr>
        <w:rFonts w:ascii="Cambria" w:hAnsi="Cambria" w:cstheme="minorHAnsi"/>
        <w:i/>
        <w:color w:val="000000"/>
        <w:sz w:val="14"/>
        <w:szCs w:val="16"/>
      </w:rPr>
      <w:t xml:space="preserve"> </w:t>
    </w:r>
    <w:r w:rsidR="005270B1">
      <w:rPr>
        <w:rFonts w:ascii="Cambria" w:hAnsi="Cambria" w:cstheme="minorHAnsi"/>
        <w:i/>
        <w:color w:val="000000"/>
        <w:sz w:val="14"/>
        <w:szCs w:val="16"/>
      </w:rPr>
      <w:t>the northern hemisphere, Canada’s academic year commences in September and ends in June, but its count of student permit holde</w:t>
    </w:r>
    <w:r w:rsidR="00F80D8B">
      <w:rPr>
        <w:rFonts w:ascii="Cambria" w:hAnsi="Cambria" w:cstheme="minorHAnsi"/>
        <w:i/>
        <w:color w:val="000000"/>
        <w:sz w:val="14"/>
        <w:szCs w:val="16"/>
      </w:rPr>
      <w:t>rs is reported by calendar year.</w:t>
    </w:r>
    <w:r w:rsidR="00EB6DFD">
      <w:rPr>
        <w:rFonts w:ascii="Cambria" w:hAnsi="Cambria" w:cstheme="minorHAnsi"/>
        <w:i/>
        <w:color w:val="000000"/>
        <w:sz w:val="14"/>
        <w:szCs w:val="16"/>
      </w:rPr>
      <w:t xml:space="preserve"> </w:t>
    </w:r>
  </w:p>
  <w:p w14:paraId="733935D5" w14:textId="77777777" w:rsidR="00E0586B" w:rsidRDefault="00E0586B" w:rsidP="000E0FB5">
    <w:pPr>
      <w:spacing w:after="120" w:line="160" w:lineRule="exact"/>
      <w:rPr>
        <w:rFonts w:ascii="Cambria" w:hAnsi="Cambria" w:cstheme="minorHAnsi"/>
        <w:i/>
        <w:color w:val="000000"/>
        <w:sz w:val="14"/>
        <w:szCs w:val="16"/>
      </w:rPr>
    </w:pPr>
    <w:r>
      <w:rPr>
        <w:rFonts w:ascii="Cambria" w:hAnsi="Cambria" w:cstheme="minorHAnsi"/>
        <w:i/>
        <w:color w:val="000000"/>
        <w:sz w:val="14"/>
        <w:szCs w:val="16"/>
      </w:rPr>
      <w:t xml:space="preserve">5. As reported here; </w:t>
    </w:r>
    <w:hyperlink r:id="rId4" w:history="1">
      <w:r w:rsidRPr="009C6065">
        <w:rPr>
          <w:rStyle w:val="Hyperlink"/>
          <w:rFonts w:ascii="Cambria" w:hAnsi="Cambria" w:cstheme="minorHAnsi"/>
          <w:i/>
          <w:sz w:val="14"/>
          <w:szCs w:val="16"/>
        </w:rPr>
        <w:t>https://thepienews.com/news/canada-increasingly-attractive-to-mobile-students-idp/</w:t>
      </w:r>
    </w:hyperlink>
  </w:p>
  <w:p w14:paraId="74D31BB8" w14:textId="77777777" w:rsidR="006067D7" w:rsidRPr="00EB6DFD" w:rsidRDefault="00A13577" w:rsidP="000E0FB5">
    <w:pPr>
      <w:spacing w:before="40"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color w:val="000000"/>
        <w:sz w:val="14"/>
        <w:szCs w:val="16"/>
      </w:rPr>
      <w:t xml:space="preserve">For further information about this Research Snapshot or the Research Snapshot Series contact the International Research and Analysis Unit by email </w:t>
    </w:r>
    <w:hyperlink r:id="rId5" w:history="1">
      <w:r w:rsidRPr="00EB6DFD">
        <w:rPr>
          <w:rStyle w:val="Hyperlink"/>
          <w:rFonts w:ascii="Cambria" w:hAnsi="Cambria" w:cstheme="minorHAnsi"/>
          <w:sz w:val="14"/>
          <w:szCs w:val="16"/>
        </w:rPr>
        <w:t>IEResearch@education.gov.au</w:t>
      </w:r>
    </w:hyperlink>
    <w:r w:rsidRPr="00EB6DFD">
      <w:rPr>
        <w:rFonts w:ascii="Cambria" w:hAnsi="Cambria" w:cstheme="minorHAnsi"/>
        <w:sz w:val="14"/>
        <w:szCs w:val="16"/>
      </w:rPr>
      <w:t>.</w:t>
    </w:r>
  </w:p>
  <w:p w14:paraId="61DB5F0C" w14:textId="77777777" w:rsidR="00A13577" w:rsidRPr="00EB6DFD" w:rsidRDefault="00A13577" w:rsidP="00A2191C">
    <w:pPr>
      <w:spacing w:line="160" w:lineRule="exact"/>
      <w:rPr>
        <w:rFonts w:ascii="Cambria" w:hAnsi="Cambria" w:cstheme="minorHAnsi"/>
        <w:sz w:val="14"/>
        <w:szCs w:val="16"/>
      </w:rPr>
    </w:pPr>
    <w:r w:rsidRPr="00EB6DFD">
      <w:rPr>
        <w:rFonts w:ascii="Cambria" w:hAnsi="Cambria" w:cstheme="minorHAnsi"/>
        <w:sz w:val="14"/>
        <w:szCs w:val="16"/>
      </w:rPr>
      <w:t xml:space="preserve">The Research Snapshot series can be accessed from </w:t>
    </w:r>
    <w:hyperlink r:id="rId6" w:history="1">
      <w:r w:rsidRPr="00EB6DFD">
        <w:rPr>
          <w:rStyle w:val="Hyperlink"/>
          <w:rFonts w:ascii="Cambria" w:hAnsi="Cambria" w:cstheme="minorHAnsi"/>
          <w:sz w:val="14"/>
          <w:szCs w:val="16"/>
        </w:rPr>
        <w:t>https://internationaleducation.gov.au/research/research-snapshots/pages/default.aspx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A4EF" w14:textId="77777777" w:rsidR="00DA645F" w:rsidRPr="00FD1250" w:rsidRDefault="00DA645F" w:rsidP="00FD1250">
      <w:pPr>
        <w:pStyle w:val="Footer"/>
      </w:pPr>
    </w:p>
  </w:footnote>
  <w:footnote w:type="continuationSeparator" w:id="0">
    <w:p w14:paraId="325B6DD3" w14:textId="77777777" w:rsidR="00DA645F" w:rsidRDefault="00DA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960"/>
    <w:multiLevelType w:val="hybridMultilevel"/>
    <w:tmpl w:val="D1787AD2"/>
    <w:lvl w:ilvl="0" w:tplc="50E03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5C3"/>
    <w:multiLevelType w:val="hybridMultilevel"/>
    <w:tmpl w:val="09545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4BB6"/>
    <w:multiLevelType w:val="hybridMultilevel"/>
    <w:tmpl w:val="91F61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7790"/>
    <w:multiLevelType w:val="hybridMultilevel"/>
    <w:tmpl w:val="19703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E4A"/>
    <w:multiLevelType w:val="hybridMultilevel"/>
    <w:tmpl w:val="4A3A1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3A6"/>
    <w:multiLevelType w:val="hybridMultilevel"/>
    <w:tmpl w:val="FFD63FFC"/>
    <w:lvl w:ilvl="0" w:tplc="9BA22F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E818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E4D8A"/>
    <w:multiLevelType w:val="hybridMultilevel"/>
    <w:tmpl w:val="2CDAE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7"/>
    <w:rsid w:val="000006D0"/>
    <w:rsid w:val="0000134E"/>
    <w:rsid w:val="00006A94"/>
    <w:rsid w:val="00006D7A"/>
    <w:rsid w:val="000076C9"/>
    <w:rsid w:val="00010D51"/>
    <w:rsid w:val="00011FE6"/>
    <w:rsid w:val="00012AFC"/>
    <w:rsid w:val="000154BA"/>
    <w:rsid w:val="00015C60"/>
    <w:rsid w:val="00015D21"/>
    <w:rsid w:val="00016FA6"/>
    <w:rsid w:val="0002497E"/>
    <w:rsid w:val="00031338"/>
    <w:rsid w:val="000324C0"/>
    <w:rsid w:val="00033829"/>
    <w:rsid w:val="00034A7D"/>
    <w:rsid w:val="00034F54"/>
    <w:rsid w:val="00035FE5"/>
    <w:rsid w:val="000371ED"/>
    <w:rsid w:val="0003779B"/>
    <w:rsid w:val="0004008B"/>
    <w:rsid w:val="00040A0D"/>
    <w:rsid w:val="00040D90"/>
    <w:rsid w:val="00041B86"/>
    <w:rsid w:val="00042EED"/>
    <w:rsid w:val="0004753C"/>
    <w:rsid w:val="00047BF6"/>
    <w:rsid w:val="00050720"/>
    <w:rsid w:val="00052C4B"/>
    <w:rsid w:val="00056D7B"/>
    <w:rsid w:val="00056E16"/>
    <w:rsid w:val="0005799A"/>
    <w:rsid w:val="000579A6"/>
    <w:rsid w:val="000602DD"/>
    <w:rsid w:val="00061DFB"/>
    <w:rsid w:val="0006351D"/>
    <w:rsid w:val="0006363D"/>
    <w:rsid w:val="00064849"/>
    <w:rsid w:val="00065418"/>
    <w:rsid w:val="00065AB2"/>
    <w:rsid w:val="0007133C"/>
    <w:rsid w:val="000715AE"/>
    <w:rsid w:val="00074D35"/>
    <w:rsid w:val="000860A7"/>
    <w:rsid w:val="00090DB0"/>
    <w:rsid w:val="000941CE"/>
    <w:rsid w:val="0009572B"/>
    <w:rsid w:val="000A06FE"/>
    <w:rsid w:val="000A129C"/>
    <w:rsid w:val="000B3A2D"/>
    <w:rsid w:val="000B4E1B"/>
    <w:rsid w:val="000B7B27"/>
    <w:rsid w:val="000C0D2E"/>
    <w:rsid w:val="000C2E42"/>
    <w:rsid w:val="000C32A7"/>
    <w:rsid w:val="000D12E2"/>
    <w:rsid w:val="000D1A0F"/>
    <w:rsid w:val="000D26AD"/>
    <w:rsid w:val="000D27E7"/>
    <w:rsid w:val="000D667E"/>
    <w:rsid w:val="000D7D65"/>
    <w:rsid w:val="000E0FB5"/>
    <w:rsid w:val="000E2B20"/>
    <w:rsid w:val="000E427C"/>
    <w:rsid w:val="000E5FAB"/>
    <w:rsid w:val="000E7111"/>
    <w:rsid w:val="000F13CE"/>
    <w:rsid w:val="000F1E61"/>
    <w:rsid w:val="000F286F"/>
    <w:rsid w:val="000F2A82"/>
    <w:rsid w:val="000F549D"/>
    <w:rsid w:val="000F61E8"/>
    <w:rsid w:val="000F6496"/>
    <w:rsid w:val="000F76D0"/>
    <w:rsid w:val="00103020"/>
    <w:rsid w:val="001030C3"/>
    <w:rsid w:val="00105D93"/>
    <w:rsid w:val="00110160"/>
    <w:rsid w:val="00110952"/>
    <w:rsid w:val="001117B5"/>
    <w:rsid w:val="00114803"/>
    <w:rsid w:val="00114A43"/>
    <w:rsid w:val="001166F1"/>
    <w:rsid w:val="00116985"/>
    <w:rsid w:val="001169B5"/>
    <w:rsid w:val="00116C2B"/>
    <w:rsid w:val="00120C87"/>
    <w:rsid w:val="00120E30"/>
    <w:rsid w:val="001218CA"/>
    <w:rsid w:val="00122577"/>
    <w:rsid w:val="00124BE5"/>
    <w:rsid w:val="00124E7A"/>
    <w:rsid w:val="00124EFA"/>
    <w:rsid w:val="00127D50"/>
    <w:rsid w:val="00127E38"/>
    <w:rsid w:val="0013095E"/>
    <w:rsid w:val="00131B3F"/>
    <w:rsid w:val="00131D4C"/>
    <w:rsid w:val="00136AE8"/>
    <w:rsid w:val="001413F8"/>
    <w:rsid w:val="00141E0F"/>
    <w:rsid w:val="00142132"/>
    <w:rsid w:val="00142837"/>
    <w:rsid w:val="001436E0"/>
    <w:rsid w:val="0014444A"/>
    <w:rsid w:val="00147D5B"/>
    <w:rsid w:val="00150F17"/>
    <w:rsid w:val="00151CE4"/>
    <w:rsid w:val="001621C9"/>
    <w:rsid w:val="001632C2"/>
    <w:rsid w:val="00170567"/>
    <w:rsid w:val="00171815"/>
    <w:rsid w:val="001727A2"/>
    <w:rsid w:val="001735B2"/>
    <w:rsid w:val="0017472E"/>
    <w:rsid w:val="00176503"/>
    <w:rsid w:val="00176A4F"/>
    <w:rsid w:val="001775B3"/>
    <w:rsid w:val="00182E76"/>
    <w:rsid w:val="00184563"/>
    <w:rsid w:val="00184D7C"/>
    <w:rsid w:val="001873C7"/>
    <w:rsid w:val="0019380E"/>
    <w:rsid w:val="00194B44"/>
    <w:rsid w:val="00195F6E"/>
    <w:rsid w:val="00197B12"/>
    <w:rsid w:val="001A081F"/>
    <w:rsid w:val="001A19C4"/>
    <w:rsid w:val="001A5293"/>
    <w:rsid w:val="001A67DA"/>
    <w:rsid w:val="001B15C2"/>
    <w:rsid w:val="001B3114"/>
    <w:rsid w:val="001B46ED"/>
    <w:rsid w:val="001C6184"/>
    <w:rsid w:val="001C7434"/>
    <w:rsid w:val="001D250B"/>
    <w:rsid w:val="001D2BBC"/>
    <w:rsid w:val="001D5802"/>
    <w:rsid w:val="001D58D1"/>
    <w:rsid w:val="001D60E0"/>
    <w:rsid w:val="001E59B3"/>
    <w:rsid w:val="001E7993"/>
    <w:rsid w:val="001F0AA6"/>
    <w:rsid w:val="001F1319"/>
    <w:rsid w:val="001F4504"/>
    <w:rsid w:val="001F693A"/>
    <w:rsid w:val="002011FE"/>
    <w:rsid w:val="00201B1A"/>
    <w:rsid w:val="002029F8"/>
    <w:rsid w:val="002049E4"/>
    <w:rsid w:val="00205882"/>
    <w:rsid w:val="00207B5F"/>
    <w:rsid w:val="00207CD7"/>
    <w:rsid w:val="002109F0"/>
    <w:rsid w:val="00211C76"/>
    <w:rsid w:val="0021518B"/>
    <w:rsid w:val="00217475"/>
    <w:rsid w:val="002203D4"/>
    <w:rsid w:val="00220553"/>
    <w:rsid w:val="00221097"/>
    <w:rsid w:val="00221FE0"/>
    <w:rsid w:val="002222FA"/>
    <w:rsid w:val="00225063"/>
    <w:rsid w:val="002272BE"/>
    <w:rsid w:val="002278E9"/>
    <w:rsid w:val="00232CB1"/>
    <w:rsid w:val="002366D5"/>
    <w:rsid w:val="002369F4"/>
    <w:rsid w:val="002373AC"/>
    <w:rsid w:val="00240FF6"/>
    <w:rsid w:val="0024244B"/>
    <w:rsid w:val="0024451A"/>
    <w:rsid w:val="00246D07"/>
    <w:rsid w:val="002505B3"/>
    <w:rsid w:val="00250DEA"/>
    <w:rsid w:val="00251D4E"/>
    <w:rsid w:val="00252223"/>
    <w:rsid w:val="00252322"/>
    <w:rsid w:val="00253C45"/>
    <w:rsid w:val="00253C56"/>
    <w:rsid w:val="0025460D"/>
    <w:rsid w:val="00254BEC"/>
    <w:rsid w:val="0026026F"/>
    <w:rsid w:val="0026157C"/>
    <w:rsid w:val="00262411"/>
    <w:rsid w:val="002674E7"/>
    <w:rsid w:val="00273A02"/>
    <w:rsid w:val="00276799"/>
    <w:rsid w:val="002803EA"/>
    <w:rsid w:val="00280D4C"/>
    <w:rsid w:val="00285250"/>
    <w:rsid w:val="002858EE"/>
    <w:rsid w:val="00287758"/>
    <w:rsid w:val="00290114"/>
    <w:rsid w:val="0029065F"/>
    <w:rsid w:val="002911E6"/>
    <w:rsid w:val="002914A7"/>
    <w:rsid w:val="0029290C"/>
    <w:rsid w:val="002930E5"/>
    <w:rsid w:val="002943B1"/>
    <w:rsid w:val="002A2F76"/>
    <w:rsid w:val="002A5585"/>
    <w:rsid w:val="002A57F3"/>
    <w:rsid w:val="002B11C4"/>
    <w:rsid w:val="002B1CE0"/>
    <w:rsid w:val="002B5A00"/>
    <w:rsid w:val="002B634D"/>
    <w:rsid w:val="002C0A8F"/>
    <w:rsid w:val="002C181D"/>
    <w:rsid w:val="002D0229"/>
    <w:rsid w:val="002D031D"/>
    <w:rsid w:val="002D13BE"/>
    <w:rsid w:val="002D4ADC"/>
    <w:rsid w:val="002D4BF2"/>
    <w:rsid w:val="002D656A"/>
    <w:rsid w:val="002D7B5D"/>
    <w:rsid w:val="002E1255"/>
    <w:rsid w:val="002E1E82"/>
    <w:rsid w:val="002E25C3"/>
    <w:rsid w:val="002E433A"/>
    <w:rsid w:val="002F09EC"/>
    <w:rsid w:val="002F262A"/>
    <w:rsid w:val="002F2910"/>
    <w:rsid w:val="002F43B3"/>
    <w:rsid w:val="002F6C5A"/>
    <w:rsid w:val="00300C87"/>
    <w:rsid w:val="0030176F"/>
    <w:rsid w:val="00305026"/>
    <w:rsid w:val="00307E64"/>
    <w:rsid w:val="00311A93"/>
    <w:rsid w:val="0031720E"/>
    <w:rsid w:val="00322C12"/>
    <w:rsid w:val="00323D29"/>
    <w:rsid w:val="00323FEC"/>
    <w:rsid w:val="00325183"/>
    <w:rsid w:val="0032703B"/>
    <w:rsid w:val="00330106"/>
    <w:rsid w:val="0033440D"/>
    <w:rsid w:val="00334E02"/>
    <w:rsid w:val="00335C17"/>
    <w:rsid w:val="00335FB4"/>
    <w:rsid w:val="00337EF4"/>
    <w:rsid w:val="0034024C"/>
    <w:rsid w:val="003408D4"/>
    <w:rsid w:val="00340EF8"/>
    <w:rsid w:val="0034209B"/>
    <w:rsid w:val="00342B2E"/>
    <w:rsid w:val="00347AE4"/>
    <w:rsid w:val="00354FCE"/>
    <w:rsid w:val="003557A9"/>
    <w:rsid w:val="00357776"/>
    <w:rsid w:val="0036194E"/>
    <w:rsid w:val="00362500"/>
    <w:rsid w:val="0036377B"/>
    <w:rsid w:val="00364690"/>
    <w:rsid w:val="00364904"/>
    <w:rsid w:val="003661DD"/>
    <w:rsid w:val="003677E6"/>
    <w:rsid w:val="00370892"/>
    <w:rsid w:val="00377F34"/>
    <w:rsid w:val="00390937"/>
    <w:rsid w:val="00391124"/>
    <w:rsid w:val="003951D4"/>
    <w:rsid w:val="00395EC3"/>
    <w:rsid w:val="0039744B"/>
    <w:rsid w:val="003A0A6E"/>
    <w:rsid w:val="003A1B55"/>
    <w:rsid w:val="003B3AFE"/>
    <w:rsid w:val="003B418D"/>
    <w:rsid w:val="003B7FB4"/>
    <w:rsid w:val="003C0D9D"/>
    <w:rsid w:val="003C14D4"/>
    <w:rsid w:val="003C1C89"/>
    <w:rsid w:val="003C391C"/>
    <w:rsid w:val="003C472D"/>
    <w:rsid w:val="003C5188"/>
    <w:rsid w:val="003C560B"/>
    <w:rsid w:val="003C6DF8"/>
    <w:rsid w:val="003D0DD6"/>
    <w:rsid w:val="003D2681"/>
    <w:rsid w:val="003D36DE"/>
    <w:rsid w:val="003D3728"/>
    <w:rsid w:val="003D4942"/>
    <w:rsid w:val="003D55A6"/>
    <w:rsid w:val="003D6094"/>
    <w:rsid w:val="003D7D24"/>
    <w:rsid w:val="003E03CF"/>
    <w:rsid w:val="003E13E7"/>
    <w:rsid w:val="003E1CF7"/>
    <w:rsid w:val="003E579B"/>
    <w:rsid w:val="003E5C3C"/>
    <w:rsid w:val="003E5F26"/>
    <w:rsid w:val="003E6E02"/>
    <w:rsid w:val="003F066F"/>
    <w:rsid w:val="003F0AD2"/>
    <w:rsid w:val="003F134A"/>
    <w:rsid w:val="003F31C1"/>
    <w:rsid w:val="003F3BFA"/>
    <w:rsid w:val="003F52C7"/>
    <w:rsid w:val="003F7D2B"/>
    <w:rsid w:val="004008A5"/>
    <w:rsid w:val="00400FCB"/>
    <w:rsid w:val="00406A43"/>
    <w:rsid w:val="00406CA9"/>
    <w:rsid w:val="00410E2C"/>
    <w:rsid w:val="00412290"/>
    <w:rsid w:val="00413541"/>
    <w:rsid w:val="00414BCF"/>
    <w:rsid w:val="00417C5D"/>
    <w:rsid w:val="00420DA9"/>
    <w:rsid w:val="00427FAA"/>
    <w:rsid w:val="0043003F"/>
    <w:rsid w:val="00432A8B"/>
    <w:rsid w:val="00432EB5"/>
    <w:rsid w:val="004360E7"/>
    <w:rsid w:val="004361BD"/>
    <w:rsid w:val="004401C2"/>
    <w:rsid w:val="0044083C"/>
    <w:rsid w:val="00440FB8"/>
    <w:rsid w:val="00441AC9"/>
    <w:rsid w:val="00441FC8"/>
    <w:rsid w:val="00444A50"/>
    <w:rsid w:val="00444F7E"/>
    <w:rsid w:val="00447550"/>
    <w:rsid w:val="00452290"/>
    <w:rsid w:val="0045411D"/>
    <w:rsid w:val="0045634D"/>
    <w:rsid w:val="0045661C"/>
    <w:rsid w:val="00457A89"/>
    <w:rsid w:val="00461948"/>
    <w:rsid w:val="004641BE"/>
    <w:rsid w:val="004652B6"/>
    <w:rsid w:val="004674D4"/>
    <w:rsid w:val="004708AC"/>
    <w:rsid w:val="004723EC"/>
    <w:rsid w:val="004757EE"/>
    <w:rsid w:val="00477620"/>
    <w:rsid w:val="00482FA3"/>
    <w:rsid w:val="0048450D"/>
    <w:rsid w:val="00485F01"/>
    <w:rsid w:val="00486AFF"/>
    <w:rsid w:val="00490B54"/>
    <w:rsid w:val="00491991"/>
    <w:rsid w:val="00491F27"/>
    <w:rsid w:val="0049445B"/>
    <w:rsid w:val="00494B27"/>
    <w:rsid w:val="00494BF7"/>
    <w:rsid w:val="00496F73"/>
    <w:rsid w:val="00497791"/>
    <w:rsid w:val="00497A56"/>
    <w:rsid w:val="004A064E"/>
    <w:rsid w:val="004A0FB5"/>
    <w:rsid w:val="004A3598"/>
    <w:rsid w:val="004A3CB6"/>
    <w:rsid w:val="004A6FE8"/>
    <w:rsid w:val="004A76DC"/>
    <w:rsid w:val="004B1B86"/>
    <w:rsid w:val="004B1B94"/>
    <w:rsid w:val="004B1EEB"/>
    <w:rsid w:val="004B4D62"/>
    <w:rsid w:val="004B6B5A"/>
    <w:rsid w:val="004B6E7B"/>
    <w:rsid w:val="004B7F8D"/>
    <w:rsid w:val="004C1FF6"/>
    <w:rsid w:val="004C5AD7"/>
    <w:rsid w:val="004C61B6"/>
    <w:rsid w:val="004D0D57"/>
    <w:rsid w:val="004D2814"/>
    <w:rsid w:val="004D3512"/>
    <w:rsid w:val="004D43B1"/>
    <w:rsid w:val="004D568A"/>
    <w:rsid w:val="004D57A0"/>
    <w:rsid w:val="004D6179"/>
    <w:rsid w:val="004D7836"/>
    <w:rsid w:val="004E017A"/>
    <w:rsid w:val="004E04B5"/>
    <w:rsid w:val="004E13D1"/>
    <w:rsid w:val="004E1E63"/>
    <w:rsid w:val="004E36DC"/>
    <w:rsid w:val="004E5CEE"/>
    <w:rsid w:val="004E70D9"/>
    <w:rsid w:val="004F126E"/>
    <w:rsid w:val="004F3EE3"/>
    <w:rsid w:val="004F4458"/>
    <w:rsid w:val="00502BEC"/>
    <w:rsid w:val="0050631D"/>
    <w:rsid w:val="00511342"/>
    <w:rsid w:val="00511DA3"/>
    <w:rsid w:val="005138AF"/>
    <w:rsid w:val="00513D78"/>
    <w:rsid w:val="005143C1"/>
    <w:rsid w:val="00514E1D"/>
    <w:rsid w:val="005162A2"/>
    <w:rsid w:val="00520616"/>
    <w:rsid w:val="0052100A"/>
    <w:rsid w:val="00522136"/>
    <w:rsid w:val="005240C9"/>
    <w:rsid w:val="0052579E"/>
    <w:rsid w:val="00525DF7"/>
    <w:rsid w:val="00525E6F"/>
    <w:rsid w:val="005262E9"/>
    <w:rsid w:val="005270B1"/>
    <w:rsid w:val="00532ABD"/>
    <w:rsid w:val="00541FBB"/>
    <w:rsid w:val="0054317E"/>
    <w:rsid w:val="00544260"/>
    <w:rsid w:val="00544D96"/>
    <w:rsid w:val="00544FA9"/>
    <w:rsid w:val="005471AB"/>
    <w:rsid w:val="0054756E"/>
    <w:rsid w:val="005502B1"/>
    <w:rsid w:val="00553D55"/>
    <w:rsid w:val="00566F1D"/>
    <w:rsid w:val="005679EF"/>
    <w:rsid w:val="0057517A"/>
    <w:rsid w:val="005751E5"/>
    <w:rsid w:val="00576B0E"/>
    <w:rsid w:val="00576BC3"/>
    <w:rsid w:val="0058103D"/>
    <w:rsid w:val="00583450"/>
    <w:rsid w:val="00583726"/>
    <w:rsid w:val="00587E12"/>
    <w:rsid w:val="00590839"/>
    <w:rsid w:val="00591045"/>
    <w:rsid w:val="00591EBA"/>
    <w:rsid w:val="00594FA2"/>
    <w:rsid w:val="005965AD"/>
    <w:rsid w:val="00596C11"/>
    <w:rsid w:val="005978DB"/>
    <w:rsid w:val="005A18FE"/>
    <w:rsid w:val="005A2D8C"/>
    <w:rsid w:val="005A3326"/>
    <w:rsid w:val="005A37AF"/>
    <w:rsid w:val="005A4058"/>
    <w:rsid w:val="005A6A78"/>
    <w:rsid w:val="005B0E1F"/>
    <w:rsid w:val="005B29FD"/>
    <w:rsid w:val="005B688C"/>
    <w:rsid w:val="005C176C"/>
    <w:rsid w:val="005C5639"/>
    <w:rsid w:val="005C621D"/>
    <w:rsid w:val="005C6BE7"/>
    <w:rsid w:val="005D1AAE"/>
    <w:rsid w:val="005D236C"/>
    <w:rsid w:val="005D6B0D"/>
    <w:rsid w:val="005D71C3"/>
    <w:rsid w:val="005E22E9"/>
    <w:rsid w:val="005E2800"/>
    <w:rsid w:val="005E35AF"/>
    <w:rsid w:val="005E5517"/>
    <w:rsid w:val="005E5E3A"/>
    <w:rsid w:val="005E7DC6"/>
    <w:rsid w:val="005F0695"/>
    <w:rsid w:val="005F1A2E"/>
    <w:rsid w:val="005F44A1"/>
    <w:rsid w:val="005F4DEC"/>
    <w:rsid w:val="005F7571"/>
    <w:rsid w:val="005F76A2"/>
    <w:rsid w:val="005F7BAD"/>
    <w:rsid w:val="006014C0"/>
    <w:rsid w:val="006029F4"/>
    <w:rsid w:val="00602CFA"/>
    <w:rsid w:val="006044F8"/>
    <w:rsid w:val="00604E7B"/>
    <w:rsid w:val="006067D7"/>
    <w:rsid w:val="00607840"/>
    <w:rsid w:val="00607E56"/>
    <w:rsid w:val="006107F3"/>
    <w:rsid w:val="00610964"/>
    <w:rsid w:val="00610A7B"/>
    <w:rsid w:val="006113FB"/>
    <w:rsid w:val="006116CC"/>
    <w:rsid w:val="0061578D"/>
    <w:rsid w:val="006170D3"/>
    <w:rsid w:val="00620CB8"/>
    <w:rsid w:val="00625D3E"/>
    <w:rsid w:val="00626723"/>
    <w:rsid w:val="00630018"/>
    <w:rsid w:val="0063009F"/>
    <w:rsid w:val="006318FA"/>
    <w:rsid w:val="006338FC"/>
    <w:rsid w:val="00634E4A"/>
    <w:rsid w:val="006359C7"/>
    <w:rsid w:val="00636364"/>
    <w:rsid w:val="0063761C"/>
    <w:rsid w:val="00637726"/>
    <w:rsid w:val="00637782"/>
    <w:rsid w:val="0064174B"/>
    <w:rsid w:val="00642CB1"/>
    <w:rsid w:val="00652B52"/>
    <w:rsid w:val="00652EEE"/>
    <w:rsid w:val="00654BF1"/>
    <w:rsid w:val="00660952"/>
    <w:rsid w:val="00660BB4"/>
    <w:rsid w:val="00661F6C"/>
    <w:rsid w:val="00662A46"/>
    <w:rsid w:val="00663E9B"/>
    <w:rsid w:val="0066736A"/>
    <w:rsid w:val="00667455"/>
    <w:rsid w:val="00671F68"/>
    <w:rsid w:val="006721C5"/>
    <w:rsid w:val="006721CA"/>
    <w:rsid w:val="00672C6D"/>
    <w:rsid w:val="00672C77"/>
    <w:rsid w:val="00673272"/>
    <w:rsid w:val="00674680"/>
    <w:rsid w:val="00675A8A"/>
    <w:rsid w:val="00676110"/>
    <w:rsid w:val="00676A88"/>
    <w:rsid w:val="00680663"/>
    <w:rsid w:val="006806AA"/>
    <w:rsid w:val="00680F2D"/>
    <w:rsid w:val="0068113D"/>
    <w:rsid w:val="006812D9"/>
    <w:rsid w:val="00681CC4"/>
    <w:rsid w:val="00683086"/>
    <w:rsid w:val="00683673"/>
    <w:rsid w:val="00683833"/>
    <w:rsid w:val="00683EBD"/>
    <w:rsid w:val="0068604C"/>
    <w:rsid w:val="00687343"/>
    <w:rsid w:val="006876A6"/>
    <w:rsid w:val="00687798"/>
    <w:rsid w:val="00687D58"/>
    <w:rsid w:val="006913C7"/>
    <w:rsid w:val="00691C99"/>
    <w:rsid w:val="00691E79"/>
    <w:rsid w:val="0069305A"/>
    <w:rsid w:val="00695CC3"/>
    <w:rsid w:val="00696828"/>
    <w:rsid w:val="00696EFE"/>
    <w:rsid w:val="00697988"/>
    <w:rsid w:val="00697A2B"/>
    <w:rsid w:val="006A0001"/>
    <w:rsid w:val="006A27A2"/>
    <w:rsid w:val="006A4A5B"/>
    <w:rsid w:val="006B01B1"/>
    <w:rsid w:val="006B0D3B"/>
    <w:rsid w:val="006B0FEB"/>
    <w:rsid w:val="006B26C7"/>
    <w:rsid w:val="006B36DD"/>
    <w:rsid w:val="006B3AAB"/>
    <w:rsid w:val="006B4B87"/>
    <w:rsid w:val="006C1365"/>
    <w:rsid w:val="006C4306"/>
    <w:rsid w:val="006C4659"/>
    <w:rsid w:val="006C5661"/>
    <w:rsid w:val="006C65D5"/>
    <w:rsid w:val="006C79F8"/>
    <w:rsid w:val="006D0B98"/>
    <w:rsid w:val="006D211F"/>
    <w:rsid w:val="006D219A"/>
    <w:rsid w:val="006D4274"/>
    <w:rsid w:val="006D4395"/>
    <w:rsid w:val="006D56FA"/>
    <w:rsid w:val="006D5DEF"/>
    <w:rsid w:val="006D799C"/>
    <w:rsid w:val="006D7A55"/>
    <w:rsid w:val="006E2195"/>
    <w:rsid w:val="006E4372"/>
    <w:rsid w:val="006E453B"/>
    <w:rsid w:val="006E49AE"/>
    <w:rsid w:val="006F4CC1"/>
    <w:rsid w:val="00701FB8"/>
    <w:rsid w:val="0070470A"/>
    <w:rsid w:val="007059C3"/>
    <w:rsid w:val="007065BA"/>
    <w:rsid w:val="007072A5"/>
    <w:rsid w:val="00707FB2"/>
    <w:rsid w:val="0071003B"/>
    <w:rsid w:val="00710E5E"/>
    <w:rsid w:val="007123D4"/>
    <w:rsid w:val="0071482C"/>
    <w:rsid w:val="00715B2E"/>
    <w:rsid w:val="00722454"/>
    <w:rsid w:val="00723413"/>
    <w:rsid w:val="0072347F"/>
    <w:rsid w:val="00724F16"/>
    <w:rsid w:val="00726470"/>
    <w:rsid w:val="00727A34"/>
    <w:rsid w:val="00727E5F"/>
    <w:rsid w:val="00730B16"/>
    <w:rsid w:val="00730C7C"/>
    <w:rsid w:val="00732AD8"/>
    <w:rsid w:val="00733232"/>
    <w:rsid w:val="00737AB0"/>
    <w:rsid w:val="00740195"/>
    <w:rsid w:val="0074661A"/>
    <w:rsid w:val="00752669"/>
    <w:rsid w:val="00755D9C"/>
    <w:rsid w:val="0075711C"/>
    <w:rsid w:val="00760AF3"/>
    <w:rsid w:val="007620B0"/>
    <w:rsid w:val="00763F9B"/>
    <w:rsid w:val="00764913"/>
    <w:rsid w:val="00765EC1"/>
    <w:rsid w:val="00771A79"/>
    <w:rsid w:val="007722F9"/>
    <w:rsid w:val="00772D54"/>
    <w:rsid w:val="00772E99"/>
    <w:rsid w:val="00774202"/>
    <w:rsid w:val="00774231"/>
    <w:rsid w:val="00775F01"/>
    <w:rsid w:val="0078077F"/>
    <w:rsid w:val="007855A2"/>
    <w:rsid w:val="00785996"/>
    <w:rsid w:val="007859C6"/>
    <w:rsid w:val="007928BF"/>
    <w:rsid w:val="00792963"/>
    <w:rsid w:val="00795EC1"/>
    <w:rsid w:val="0079613C"/>
    <w:rsid w:val="0079629A"/>
    <w:rsid w:val="007A14AF"/>
    <w:rsid w:val="007A25DA"/>
    <w:rsid w:val="007A46CE"/>
    <w:rsid w:val="007A5A27"/>
    <w:rsid w:val="007A6E10"/>
    <w:rsid w:val="007A6F7D"/>
    <w:rsid w:val="007B53B7"/>
    <w:rsid w:val="007B71E3"/>
    <w:rsid w:val="007C0099"/>
    <w:rsid w:val="007C2140"/>
    <w:rsid w:val="007C229C"/>
    <w:rsid w:val="007C423F"/>
    <w:rsid w:val="007C4977"/>
    <w:rsid w:val="007C5691"/>
    <w:rsid w:val="007C6A9F"/>
    <w:rsid w:val="007C7029"/>
    <w:rsid w:val="007C7C7D"/>
    <w:rsid w:val="007D3D96"/>
    <w:rsid w:val="007D48F4"/>
    <w:rsid w:val="007D5019"/>
    <w:rsid w:val="007E0B88"/>
    <w:rsid w:val="007E2751"/>
    <w:rsid w:val="007E616F"/>
    <w:rsid w:val="007F0A9A"/>
    <w:rsid w:val="007F1072"/>
    <w:rsid w:val="007F1A58"/>
    <w:rsid w:val="007F2A88"/>
    <w:rsid w:val="007F3EBC"/>
    <w:rsid w:val="007F49D3"/>
    <w:rsid w:val="007F65D8"/>
    <w:rsid w:val="007F6DC4"/>
    <w:rsid w:val="00803FFC"/>
    <w:rsid w:val="008043DC"/>
    <w:rsid w:val="00804A7A"/>
    <w:rsid w:val="008051D2"/>
    <w:rsid w:val="00805DCE"/>
    <w:rsid w:val="00806BCE"/>
    <w:rsid w:val="008128C5"/>
    <w:rsid w:val="0081439F"/>
    <w:rsid w:val="00814CC0"/>
    <w:rsid w:val="00814FAA"/>
    <w:rsid w:val="0081637F"/>
    <w:rsid w:val="00816769"/>
    <w:rsid w:val="00816B5B"/>
    <w:rsid w:val="008224BE"/>
    <w:rsid w:val="00823112"/>
    <w:rsid w:val="00826E70"/>
    <w:rsid w:val="00827C4D"/>
    <w:rsid w:val="00834E6C"/>
    <w:rsid w:val="00834F05"/>
    <w:rsid w:val="00836986"/>
    <w:rsid w:val="00843ADD"/>
    <w:rsid w:val="00844283"/>
    <w:rsid w:val="00844D67"/>
    <w:rsid w:val="00846DFF"/>
    <w:rsid w:val="00847E61"/>
    <w:rsid w:val="00850D9A"/>
    <w:rsid w:val="008519C4"/>
    <w:rsid w:val="00851FC2"/>
    <w:rsid w:val="00852155"/>
    <w:rsid w:val="00852CD4"/>
    <w:rsid w:val="00853AC7"/>
    <w:rsid w:val="00854EF3"/>
    <w:rsid w:val="008568C1"/>
    <w:rsid w:val="00857532"/>
    <w:rsid w:val="00860C5B"/>
    <w:rsid w:val="00862F57"/>
    <w:rsid w:val="00863680"/>
    <w:rsid w:val="0086393C"/>
    <w:rsid w:val="00865D94"/>
    <w:rsid w:val="00867846"/>
    <w:rsid w:val="00871471"/>
    <w:rsid w:val="00871C34"/>
    <w:rsid w:val="00871E8F"/>
    <w:rsid w:val="008730D2"/>
    <w:rsid w:val="008743AC"/>
    <w:rsid w:val="00880385"/>
    <w:rsid w:val="008812F9"/>
    <w:rsid w:val="00881CB9"/>
    <w:rsid w:val="008835A3"/>
    <w:rsid w:val="0088551B"/>
    <w:rsid w:val="00885C0D"/>
    <w:rsid w:val="00893941"/>
    <w:rsid w:val="00895BBD"/>
    <w:rsid w:val="00896DB1"/>
    <w:rsid w:val="008A25B0"/>
    <w:rsid w:val="008A2EC2"/>
    <w:rsid w:val="008A60AC"/>
    <w:rsid w:val="008B2561"/>
    <w:rsid w:val="008B41EB"/>
    <w:rsid w:val="008B5B4E"/>
    <w:rsid w:val="008C1DD2"/>
    <w:rsid w:val="008C5294"/>
    <w:rsid w:val="008C593D"/>
    <w:rsid w:val="008C6C56"/>
    <w:rsid w:val="008D0068"/>
    <w:rsid w:val="008D1AB0"/>
    <w:rsid w:val="008D38F4"/>
    <w:rsid w:val="008D486D"/>
    <w:rsid w:val="008D59E9"/>
    <w:rsid w:val="008D63CF"/>
    <w:rsid w:val="008D7644"/>
    <w:rsid w:val="008E066B"/>
    <w:rsid w:val="008E185A"/>
    <w:rsid w:val="008E3C74"/>
    <w:rsid w:val="008E52FE"/>
    <w:rsid w:val="008E6479"/>
    <w:rsid w:val="008E70AE"/>
    <w:rsid w:val="008E74BF"/>
    <w:rsid w:val="008E7A82"/>
    <w:rsid w:val="008F2BD9"/>
    <w:rsid w:val="008F336A"/>
    <w:rsid w:val="008F3684"/>
    <w:rsid w:val="008F3A31"/>
    <w:rsid w:val="008F59C2"/>
    <w:rsid w:val="008F641E"/>
    <w:rsid w:val="008F7276"/>
    <w:rsid w:val="00903B1F"/>
    <w:rsid w:val="00906614"/>
    <w:rsid w:val="00906E7A"/>
    <w:rsid w:val="009104A8"/>
    <w:rsid w:val="00910A08"/>
    <w:rsid w:val="00911223"/>
    <w:rsid w:val="00911B7D"/>
    <w:rsid w:val="00911F2A"/>
    <w:rsid w:val="009135D8"/>
    <w:rsid w:val="00914F48"/>
    <w:rsid w:val="009153DA"/>
    <w:rsid w:val="0092066F"/>
    <w:rsid w:val="00923994"/>
    <w:rsid w:val="0092421D"/>
    <w:rsid w:val="00925858"/>
    <w:rsid w:val="0092724B"/>
    <w:rsid w:val="009279A0"/>
    <w:rsid w:val="00931D3F"/>
    <w:rsid w:val="0093364D"/>
    <w:rsid w:val="00933714"/>
    <w:rsid w:val="00933D7E"/>
    <w:rsid w:val="00933F56"/>
    <w:rsid w:val="009349A1"/>
    <w:rsid w:val="009414BA"/>
    <w:rsid w:val="00942372"/>
    <w:rsid w:val="00942E25"/>
    <w:rsid w:val="00943A74"/>
    <w:rsid w:val="00944A8F"/>
    <w:rsid w:val="00944BA7"/>
    <w:rsid w:val="00945EC3"/>
    <w:rsid w:val="009465ED"/>
    <w:rsid w:val="0095122E"/>
    <w:rsid w:val="00951F6C"/>
    <w:rsid w:val="00953B39"/>
    <w:rsid w:val="00953EA5"/>
    <w:rsid w:val="009544CC"/>
    <w:rsid w:val="00955FA2"/>
    <w:rsid w:val="00956014"/>
    <w:rsid w:val="00961D40"/>
    <w:rsid w:val="009628F3"/>
    <w:rsid w:val="00965C1F"/>
    <w:rsid w:val="009674CA"/>
    <w:rsid w:val="00970C82"/>
    <w:rsid w:val="00974EE4"/>
    <w:rsid w:val="00976383"/>
    <w:rsid w:val="00976A47"/>
    <w:rsid w:val="00976AA0"/>
    <w:rsid w:val="009771BA"/>
    <w:rsid w:val="009779F3"/>
    <w:rsid w:val="00977C69"/>
    <w:rsid w:val="0098064F"/>
    <w:rsid w:val="009806CB"/>
    <w:rsid w:val="009809EA"/>
    <w:rsid w:val="00983B31"/>
    <w:rsid w:val="0098564F"/>
    <w:rsid w:val="00986F46"/>
    <w:rsid w:val="00992EFE"/>
    <w:rsid w:val="00993CF5"/>
    <w:rsid w:val="00994183"/>
    <w:rsid w:val="009946DC"/>
    <w:rsid w:val="00995948"/>
    <w:rsid w:val="0099624E"/>
    <w:rsid w:val="00997BBA"/>
    <w:rsid w:val="009A1E73"/>
    <w:rsid w:val="009A21C8"/>
    <w:rsid w:val="009A4020"/>
    <w:rsid w:val="009A565E"/>
    <w:rsid w:val="009A7A7E"/>
    <w:rsid w:val="009B10EC"/>
    <w:rsid w:val="009B1763"/>
    <w:rsid w:val="009B18B0"/>
    <w:rsid w:val="009B1992"/>
    <w:rsid w:val="009B4A8F"/>
    <w:rsid w:val="009B612E"/>
    <w:rsid w:val="009C1F28"/>
    <w:rsid w:val="009C3A55"/>
    <w:rsid w:val="009C6BF5"/>
    <w:rsid w:val="009C7861"/>
    <w:rsid w:val="009D1FD8"/>
    <w:rsid w:val="009D2D23"/>
    <w:rsid w:val="009D4FA1"/>
    <w:rsid w:val="009D5A0B"/>
    <w:rsid w:val="009D5D01"/>
    <w:rsid w:val="009D5D72"/>
    <w:rsid w:val="009D63FC"/>
    <w:rsid w:val="009D6AEF"/>
    <w:rsid w:val="009D75E4"/>
    <w:rsid w:val="009E1D15"/>
    <w:rsid w:val="009E4A5C"/>
    <w:rsid w:val="009E6343"/>
    <w:rsid w:val="009E7EA3"/>
    <w:rsid w:val="009F0BF1"/>
    <w:rsid w:val="009F0F45"/>
    <w:rsid w:val="009F65DD"/>
    <w:rsid w:val="00A02BA4"/>
    <w:rsid w:val="00A02CD0"/>
    <w:rsid w:val="00A0307F"/>
    <w:rsid w:val="00A07CDB"/>
    <w:rsid w:val="00A10FA6"/>
    <w:rsid w:val="00A13577"/>
    <w:rsid w:val="00A13B7A"/>
    <w:rsid w:val="00A13C7E"/>
    <w:rsid w:val="00A16133"/>
    <w:rsid w:val="00A16E79"/>
    <w:rsid w:val="00A2191C"/>
    <w:rsid w:val="00A21E29"/>
    <w:rsid w:val="00A241C4"/>
    <w:rsid w:val="00A264B9"/>
    <w:rsid w:val="00A330FE"/>
    <w:rsid w:val="00A34D5E"/>
    <w:rsid w:val="00A35BAC"/>
    <w:rsid w:val="00A36A94"/>
    <w:rsid w:val="00A37263"/>
    <w:rsid w:val="00A446C0"/>
    <w:rsid w:val="00A44B3C"/>
    <w:rsid w:val="00A44DC5"/>
    <w:rsid w:val="00A469CD"/>
    <w:rsid w:val="00A524A5"/>
    <w:rsid w:val="00A563A2"/>
    <w:rsid w:val="00A56780"/>
    <w:rsid w:val="00A6018D"/>
    <w:rsid w:val="00A6068D"/>
    <w:rsid w:val="00A61869"/>
    <w:rsid w:val="00A62E87"/>
    <w:rsid w:val="00A6447D"/>
    <w:rsid w:val="00A66161"/>
    <w:rsid w:val="00A71809"/>
    <w:rsid w:val="00A7184B"/>
    <w:rsid w:val="00A7330F"/>
    <w:rsid w:val="00A7620D"/>
    <w:rsid w:val="00A767AA"/>
    <w:rsid w:val="00A83F71"/>
    <w:rsid w:val="00A84D44"/>
    <w:rsid w:val="00A85124"/>
    <w:rsid w:val="00A8525D"/>
    <w:rsid w:val="00A870FB"/>
    <w:rsid w:val="00A92298"/>
    <w:rsid w:val="00A940D4"/>
    <w:rsid w:val="00A95EF6"/>
    <w:rsid w:val="00A9641E"/>
    <w:rsid w:val="00AA2228"/>
    <w:rsid w:val="00AA34A0"/>
    <w:rsid w:val="00AA3FE2"/>
    <w:rsid w:val="00AB22FA"/>
    <w:rsid w:val="00AB2327"/>
    <w:rsid w:val="00AB3785"/>
    <w:rsid w:val="00AB3989"/>
    <w:rsid w:val="00AB39D3"/>
    <w:rsid w:val="00AB3F25"/>
    <w:rsid w:val="00AB4E58"/>
    <w:rsid w:val="00AB5668"/>
    <w:rsid w:val="00AB719E"/>
    <w:rsid w:val="00AB785F"/>
    <w:rsid w:val="00AB7D91"/>
    <w:rsid w:val="00AC135C"/>
    <w:rsid w:val="00AC35D0"/>
    <w:rsid w:val="00AC5969"/>
    <w:rsid w:val="00AC635B"/>
    <w:rsid w:val="00AD00A8"/>
    <w:rsid w:val="00AD1246"/>
    <w:rsid w:val="00AD1738"/>
    <w:rsid w:val="00AD455C"/>
    <w:rsid w:val="00AE0AFC"/>
    <w:rsid w:val="00AE30FF"/>
    <w:rsid w:val="00AE5F33"/>
    <w:rsid w:val="00AF3115"/>
    <w:rsid w:val="00AF3448"/>
    <w:rsid w:val="00AF4207"/>
    <w:rsid w:val="00AF5093"/>
    <w:rsid w:val="00AF5172"/>
    <w:rsid w:val="00AF57B7"/>
    <w:rsid w:val="00AF7717"/>
    <w:rsid w:val="00B0160A"/>
    <w:rsid w:val="00B01BF8"/>
    <w:rsid w:val="00B0209B"/>
    <w:rsid w:val="00B02411"/>
    <w:rsid w:val="00B04168"/>
    <w:rsid w:val="00B04A5C"/>
    <w:rsid w:val="00B05976"/>
    <w:rsid w:val="00B070B9"/>
    <w:rsid w:val="00B07895"/>
    <w:rsid w:val="00B07A31"/>
    <w:rsid w:val="00B14782"/>
    <w:rsid w:val="00B15628"/>
    <w:rsid w:val="00B168FB"/>
    <w:rsid w:val="00B177F5"/>
    <w:rsid w:val="00B2033C"/>
    <w:rsid w:val="00B20B7F"/>
    <w:rsid w:val="00B23185"/>
    <w:rsid w:val="00B23282"/>
    <w:rsid w:val="00B27AC0"/>
    <w:rsid w:val="00B27E55"/>
    <w:rsid w:val="00B30AB6"/>
    <w:rsid w:val="00B312A8"/>
    <w:rsid w:val="00B32272"/>
    <w:rsid w:val="00B3340A"/>
    <w:rsid w:val="00B336F6"/>
    <w:rsid w:val="00B34867"/>
    <w:rsid w:val="00B37FD9"/>
    <w:rsid w:val="00B41E21"/>
    <w:rsid w:val="00B4410E"/>
    <w:rsid w:val="00B44DCA"/>
    <w:rsid w:val="00B45305"/>
    <w:rsid w:val="00B457D9"/>
    <w:rsid w:val="00B45C9B"/>
    <w:rsid w:val="00B47399"/>
    <w:rsid w:val="00B53FBB"/>
    <w:rsid w:val="00B558B7"/>
    <w:rsid w:val="00B57724"/>
    <w:rsid w:val="00B616B5"/>
    <w:rsid w:val="00B61BAA"/>
    <w:rsid w:val="00B61CA1"/>
    <w:rsid w:val="00B622F9"/>
    <w:rsid w:val="00B63618"/>
    <w:rsid w:val="00B64E4A"/>
    <w:rsid w:val="00B6510E"/>
    <w:rsid w:val="00B675C1"/>
    <w:rsid w:val="00B706A7"/>
    <w:rsid w:val="00B72ADB"/>
    <w:rsid w:val="00B748B2"/>
    <w:rsid w:val="00B770FE"/>
    <w:rsid w:val="00B778FF"/>
    <w:rsid w:val="00B802B8"/>
    <w:rsid w:val="00B8164B"/>
    <w:rsid w:val="00B817CE"/>
    <w:rsid w:val="00B8544F"/>
    <w:rsid w:val="00B85A9D"/>
    <w:rsid w:val="00B864DF"/>
    <w:rsid w:val="00B866A1"/>
    <w:rsid w:val="00B86E76"/>
    <w:rsid w:val="00B9003D"/>
    <w:rsid w:val="00B90F92"/>
    <w:rsid w:val="00B91F5C"/>
    <w:rsid w:val="00B93954"/>
    <w:rsid w:val="00B948FC"/>
    <w:rsid w:val="00B954C3"/>
    <w:rsid w:val="00B970C0"/>
    <w:rsid w:val="00BA30DF"/>
    <w:rsid w:val="00BA4DB0"/>
    <w:rsid w:val="00BA4F59"/>
    <w:rsid w:val="00BA5B05"/>
    <w:rsid w:val="00BA7488"/>
    <w:rsid w:val="00BA7791"/>
    <w:rsid w:val="00BA7E86"/>
    <w:rsid w:val="00BB1269"/>
    <w:rsid w:val="00BB13A1"/>
    <w:rsid w:val="00BB2441"/>
    <w:rsid w:val="00BB2486"/>
    <w:rsid w:val="00BB3A3C"/>
    <w:rsid w:val="00BB3BDE"/>
    <w:rsid w:val="00BB74E9"/>
    <w:rsid w:val="00BC11A4"/>
    <w:rsid w:val="00BC2323"/>
    <w:rsid w:val="00BC4FE5"/>
    <w:rsid w:val="00BC5A82"/>
    <w:rsid w:val="00BD0BB9"/>
    <w:rsid w:val="00BD0F4D"/>
    <w:rsid w:val="00BD4583"/>
    <w:rsid w:val="00BD4BEB"/>
    <w:rsid w:val="00BD662C"/>
    <w:rsid w:val="00BE0EA3"/>
    <w:rsid w:val="00BE18BE"/>
    <w:rsid w:val="00BE3E24"/>
    <w:rsid w:val="00BE6418"/>
    <w:rsid w:val="00BE7F65"/>
    <w:rsid w:val="00BF09EE"/>
    <w:rsid w:val="00BF713C"/>
    <w:rsid w:val="00BF7924"/>
    <w:rsid w:val="00C019A9"/>
    <w:rsid w:val="00C02048"/>
    <w:rsid w:val="00C03933"/>
    <w:rsid w:val="00C03C2C"/>
    <w:rsid w:val="00C061C4"/>
    <w:rsid w:val="00C07B60"/>
    <w:rsid w:val="00C139EB"/>
    <w:rsid w:val="00C22071"/>
    <w:rsid w:val="00C23F34"/>
    <w:rsid w:val="00C2525C"/>
    <w:rsid w:val="00C267EB"/>
    <w:rsid w:val="00C31DB1"/>
    <w:rsid w:val="00C32EDA"/>
    <w:rsid w:val="00C33093"/>
    <w:rsid w:val="00C331A9"/>
    <w:rsid w:val="00C33944"/>
    <w:rsid w:val="00C349D8"/>
    <w:rsid w:val="00C401E5"/>
    <w:rsid w:val="00C424E5"/>
    <w:rsid w:val="00C42852"/>
    <w:rsid w:val="00C449FE"/>
    <w:rsid w:val="00C44F77"/>
    <w:rsid w:val="00C457CA"/>
    <w:rsid w:val="00C45CEE"/>
    <w:rsid w:val="00C511A1"/>
    <w:rsid w:val="00C515EB"/>
    <w:rsid w:val="00C5259D"/>
    <w:rsid w:val="00C526BF"/>
    <w:rsid w:val="00C54676"/>
    <w:rsid w:val="00C6180A"/>
    <w:rsid w:val="00C6215F"/>
    <w:rsid w:val="00C62325"/>
    <w:rsid w:val="00C62C58"/>
    <w:rsid w:val="00C63937"/>
    <w:rsid w:val="00C6455C"/>
    <w:rsid w:val="00C647DA"/>
    <w:rsid w:val="00C66440"/>
    <w:rsid w:val="00C67A2B"/>
    <w:rsid w:val="00C71BC7"/>
    <w:rsid w:val="00C71CDF"/>
    <w:rsid w:val="00C73ACF"/>
    <w:rsid w:val="00C75E24"/>
    <w:rsid w:val="00C80D8A"/>
    <w:rsid w:val="00C81525"/>
    <w:rsid w:val="00C83F16"/>
    <w:rsid w:val="00C84F56"/>
    <w:rsid w:val="00C879C7"/>
    <w:rsid w:val="00C87C86"/>
    <w:rsid w:val="00C9099E"/>
    <w:rsid w:val="00C915FD"/>
    <w:rsid w:val="00C9302F"/>
    <w:rsid w:val="00C956E1"/>
    <w:rsid w:val="00C96248"/>
    <w:rsid w:val="00C966D0"/>
    <w:rsid w:val="00CA0184"/>
    <w:rsid w:val="00CA299E"/>
    <w:rsid w:val="00CA3C4E"/>
    <w:rsid w:val="00CA4A6C"/>
    <w:rsid w:val="00CA69B0"/>
    <w:rsid w:val="00CA6C7D"/>
    <w:rsid w:val="00CA703F"/>
    <w:rsid w:val="00CB0DCE"/>
    <w:rsid w:val="00CB4FBE"/>
    <w:rsid w:val="00CB657C"/>
    <w:rsid w:val="00CC0343"/>
    <w:rsid w:val="00CC2939"/>
    <w:rsid w:val="00CC609D"/>
    <w:rsid w:val="00CD14FC"/>
    <w:rsid w:val="00CD3F40"/>
    <w:rsid w:val="00CD459F"/>
    <w:rsid w:val="00CE0B53"/>
    <w:rsid w:val="00CF02BA"/>
    <w:rsid w:val="00CF1D14"/>
    <w:rsid w:val="00CF353C"/>
    <w:rsid w:val="00CF3B4D"/>
    <w:rsid w:val="00CF4872"/>
    <w:rsid w:val="00CF5494"/>
    <w:rsid w:val="00CF7F82"/>
    <w:rsid w:val="00D01384"/>
    <w:rsid w:val="00D0156A"/>
    <w:rsid w:val="00D02B59"/>
    <w:rsid w:val="00D053B1"/>
    <w:rsid w:val="00D06D3E"/>
    <w:rsid w:val="00D07DCD"/>
    <w:rsid w:val="00D12A6A"/>
    <w:rsid w:val="00D13196"/>
    <w:rsid w:val="00D15751"/>
    <w:rsid w:val="00D16342"/>
    <w:rsid w:val="00D17E18"/>
    <w:rsid w:val="00D21E0D"/>
    <w:rsid w:val="00D225F5"/>
    <w:rsid w:val="00D22BF0"/>
    <w:rsid w:val="00D27FBF"/>
    <w:rsid w:val="00D30B77"/>
    <w:rsid w:val="00D31E7A"/>
    <w:rsid w:val="00D32A6E"/>
    <w:rsid w:val="00D377A3"/>
    <w:rsid w:val="00D42025"/>
    <w:rsid w:val="00D42D30"/>
    <w:rsid w:val="00D467B8"/>
    <w:rsid w:val="00D46E5E"/>
    <w:rsid w:val="00D50B59"/>
    <w:rsid w:val="00D5216D"/>
    <w:rsid w:val="00D5300B"/>
    <w:rsid w:val="00D5622F"/>
    <w:rsid w:val="00D572DD"/>
    <w:rsid w:val="00D63664"/>
    <w:rsid w:val="00D7068C"/>
    <w:rsid w:val="00D7475C"/>
    <w:rsid w:val="00D76778"/>
    <w:rsid w:val="00D76CDF"/>
    <w:rsid w:val="00D771E7"/>
    <w:rsid w:val="00D814F3"/>
    <w:rsid w:val="00D81FCF"/>
    <w:rsid w:val="00D82913"/>
    <w:rsid w:val="00D83F44"/>
    <w:rsid w:val="00D92DE0"/>
    <w:rsid w:val="00D95289"/>
    <w:rsid w:val="00D9667E"/>
    <w:rsid w:val="00D9786A"/>
    <w:rsid w:val="00DA049A"/>
    <w:rsid w:val="00DA08B4"/>
    <w:rsid w:val="00DA105A"/>
    <w:rsid w:val="00DA15D1"/>
    <w:rsid w:val="00DA2043"/>
    <w:rsid w:val="00DA2C61"/>
    <w:rsid w:val="00DA3600"/>
    <w:rsid w:val="00DA5F09"/>
    <w:rsid w:val="00DA645F"/>
    <w:rsid w:val="00DA6B7A"/>
    <w:rsid w:val="00DB1767"/>
    <w:rsid w:val="00DB2939"/>
    <w:rsid w:val="00DB3C4A"/>
    <w:rsid w:val="00DB3EE2"/>
    <w:rsid w:val="00DB4F18"/>
    <w:rsid w:val="00DB5988"/>
    <w:rsid w:val="00DB6691"/>
    <w:rsid w:val="00DC33E7"/>
    <w:rsid w:val="00DC40A0"/>
    <w:rsid w:val="00DC4777"/>
    <w:rsid w:val="00DC48D8"/>
    <w:rsid w:val="00DC4B1E"/>
    <w:rsid w:val="00DC58F2"/>
    <w:rsid w:val="00DC61F9"/>
    <w:rsid w:val="00DD0BD6"/>
    <w:rsid w:val="00DD2EB2"/>
    <w:rsid w:val="00DD2ECF"/>
    <w:rsid w:val="00DD4070"/>
    <w:rsid w:val="00DD5BFA"/>
    <w:rsid w:val="00DD5FEF"/>
    <w:rsid w:val="00DD63DC"/>
    <w:rsid w:val="00DD7C3B"/>
    <w:rsid w:val="00DE0972"/>
    <w:rsid w:val="00DE0C09"/>
    <w:rsid w:val="00DE1983"/>
    <w:rsid w:val="00DE1A13"/>
    <w:rsid w:val="00DE2EFD"/>
    <w:rsid w:val="00DE4177"/>
    <w:rsid w:val="00DE497E"/>
    <w:rsid w:val="00DE507D"/>
    <w:rsid w:val="00DE5240"/>
    <w:rsid w:val="00DE5FCF"/>
    <w:rsid w:val="00DE6F86"/>
    <w:rsid w:val="00DF4131"/>
    <w:rsid w:val="00DF64CE"/>
    <w:rsid w:val="00DF6BEC"/>
    <w:rsid w:val="00E00A72"/>
    <w:rsid w:val="00E02A36"/>
    <w:rsid w:val="00E03B91"/>
    <w:rsid w:val="00E04569"/>
    <w:rsid w:val="00E0569B"/>
    <w:rsid w:val="00E0586B"/>
    <w:rsid w:val="00E1146F"/>
    <w:rsid w:val="00E119C6"/>
    <w:rsid w:val="00E119E9"/>
    <w:rsid w:val="00E13063"/>
    <w:rsid w:val="00E139D8"/>
    <w:rsid w:val="00E156EA"/>
    <w:rsid w:val="00E172BD"/>
    <w:rsid w:val="00E2022A"/>
    <w:rsid w:val="00E23184"/>
    <w:rsid w:val="00E25C19"/>
    <w:rsid w:val="00E2772A"/>
    <w:rsid w:val="00E34DB2"/>
    <w:rsid w:val="00E3770A"/>
    <w:rsid w:val="00E37B65"/>
    <w:rsid w:val="00E37D5D"/>
    <w:rsid w:val="00E37E35"/>
    <w:rsid w:val="00E40B05"/>
    <w:rsid w:val="00E420C5"/>
    <w:rsid w:val="00E42763"/>
    <w:rsid w:val="00E42D18"/>
    <w:rsid w:val="00E442CA"/>
    <w:rsid w:val="00E45BA9"/>
    <w:rsid w:val="00E46559"/>
    <w:rsid w:val="00E46F1E"/>
    <w:rsid w:val="00E515B4"/>
    <w:rsid w:val="00E51B02"/>
    <w:rsid w:val="00E52A83"/>
    <w:rsid w:val="00E52DDC"/>
    <w:rsid w:val="00E53290"/>
    <w:rsid w:val="00E5354D"/>
    <w:rsid w:val="00E5384C"/>
    <w:rsid w:val="00E53DD2"/>
    <w:rsid w:val="00E54E28"/>
    <w:rsid w:val="00E574B7"/>
    <w:rsid w:val="00E6074F"/>
    <w:rsid w:val="00E625E0"/>
    <w:rsid w:val="00E6384E"/>
    <w:rsid w:val="00E6496A"/>
    <w:rsid w:val="00E6594F"/>
    <w:rsid w:val="00E65DE5"/>
    <w:rsid w:val="00E700E2"/>
    <w:rsid w:val="00E71636"/>
    <w:rsid w:val="00E729DD"/>
    <w:rsid w:val="00E73005"/>
    <w:rsid w:val="00E7314D"/>
    <w:rsid w:val="00E73448"/>
    <w:rsid w:val="00E73FC0"/>
    <w:rsid w:val="00E7457E"/>
    <w:rsid w:val="00E8018A"/>
    <w:rsid w:val="00E81112"/>
    <w:rsid w:val="00E83086"/>
    <w:rsid w:val="00E86995"/>
    <w:rsid w:val="00E86CD8"/>
    <w:rsid w:val="00E9140F"/>
    <w:rsid w:val="00E92C58"/>
    <w:rsid w:val="00E95E1C"/>
    <w:rsid w:val="00E96E2B"/>
    <w:rsid w:val="00E979D1"/>
    <w:rsid w:val="00EA0265"/>
    <w:rsid w:val="00EA0E43"/>
    <w:rsid w:val="00EA301C"/>
    <w:rsid w:val="00EA5592"/>
    <w:rsid w:val="00EB6DFD"/>
    <w:rsid w:val="00EC127B"/>
    <w:rsid w:val="00EC6572"/>
    <w:rsid w:val="00EC6B22"/>
    <w:rsid w:val="00ED0304"/>
    <w:rsid w:val="00ED3D25"/>
    <w:rsid w:val="00ED59F8"/>
    <w:rsid w:val="00EE03C3"/>
    <w:rsid w:val="00EE0E2B"/>
    <w:rsid w:val="00EE1397"/>
    <w:rsid w:val="00EE1846"/>
    <w:rsid w:val="00EE2886"/>
    <w:rsid w:val="00EE3371"/>
    <w:rsid w:val="00EE33BC"/>
    <w:rsid w:val="00EE3D50"/>
    <w:rsid w:val="00EE5919"/>
    <w:rsid w:val="00EE5B09"/>
    <w:rsid w:val="00EE5DC5"/>
    <w:rsid w:val="00EF3B05"/>
    <w:rsid w:val="00EF3E83"/>
    <w:rsid w:val="00EF7FAF"/>
    <w:rsid w:val="00F02753"/>
    <w:rsid w:val="00F03B3C"/>
    <w:rsid w:val="00F041F3"/>
    <w:rsid w:val="00F057FE"/>
    <w:rsid w:val="00F06A71"/>
    <w:rsid w:val="00F1119C"/>
    <w:rsid w:val="00F117AF"/>
    <w:rsid w:val="00F1353B"/>
    <w:rsid w:val="00F13F55"/>
    <w:rsid w:val="00F1645A"/>
    <w:rsid w:val="00F173D1"/>
    <w:rsid w:val="00F174B2"/>
    <w:rsid w:val="00F20261"/>
    <w:rsid w:val="00F21166"/>
    <w:rsid w:val="00F21DD6"/>
    <w:rsid w:val="00F2407F"/>
    <w:rsid w:val="00F304D8"/>
    <w:rsid w:val="00F30823"/>
    <w:rsid w:val="00F3092B"/>
    <w:rsid w:val="00F334D2"/>
    <w:rsid w:val="00F33CC2"/>
    <w:rsid w:val="00F33EDD"/>
    <w:rsid w:val="00F40AF5"/>
    <w:rsid w:val="00F41D9F"/>
    <w:rsid w:val="00F47901"/>
    <w:rsid w:val="00F501EB"/>
    <w:rsid w:val="00F51BFA"/>
    <w:rsid w:val="00F536BB"/>
    <w:rsid w:val="00F54BED"/>
    <w:rsid w:val="00F54FAF"/>
    <w:rsid w:val="00F55E6C"/>
    <w:rsid w:val="00F564C8"/>
    <w:rsid w:val="00F568CA"/>
    <w:rsid w:val="00F56B0C"/>
    <w:rsid w:val="00F573E0"/>
    <w:rsid w:val="00F57E19"/>
    <w:rsid w:val="00F57F4D"/>
    <w:rsid w:val="00F60743"/>
    <w:rsid w:val="00F60D1D"/>
    <w:rsid w:val="00F62546"/>
    <w:rsid w:val="00F63308"/>
    <w:rsid w:val="00F65BA0"/>
    <w:rsid w:val="00F66E88"/>
    <w:rsid w:val="00F6769A"/>
    <w:rsid w:val="00F679DF"/>
    <w:rsid w:val="00F72599"/>
    <w:rsid w:val="00F73A1D"/>
    <w:rsid w:val="00F7453E"/>
    <w:rsid w:val="00F74711"/>
    <w:rsid w:val="00F7500A"/>
    <w:rsid w:val="00F76EDB"/>
    <w:rsid w:val="00F770BC"/>
    <w:rsid w:val="00F772BE"/>
    <w:rsid w:val="00F77581"/>
    <w:rsid w:val="00F80D8B"/>
    <w:rsid w:val="00F847F8"/>
    <w:rsid w:val="00F85146"/>
    <w:rsid w:val="00F93921"/>
    <w:rsid w:val="00F94572"/>
    <w:rsid w:val="00F95D9A"/>
    <w:rsid w:val="00F970EB"/>
    <w:rsid w:val="00FA2657"/>
    <w:rsid w:val="00FA34AF"/>
    <w:rsid w:val="00FA561F"/>
    <w:rsid w:val="00FA6322"/>
    <w:rsid w:val="00FA68F7"/>
    <w:rsid w:val="00FA73C3"/>
    <w:rsid w:val="00FB45AA"/>
    <w:rsid w:val="00FB4A64"/>
    <w:rsid w:val="00FB4F6D"/>
    <w:rsid w:val="00FB760C"/>
    <w:rsid w:val="00FB76FB"/>
    <w:rsid w:val="00FB7B23"/>
    <w:rsid w:val="00FC6ABD"/>
    <w:rsid w:val="00FC73F5"/>
    <w:rsid w:val="00FD1250"/>
    <w:rsid w:val="00FD16BC"/>
    <w:rsid w:val="00FD29CD"/>
    <w:rsid w:val="00FD311B"/>
    <w:rsid w:val="00FD643F"/>
    <w:rsid w:val="00FE4E8F"/>
    <w:rsid w:val="00FE5081"/>
    <w:rsid w:val="00FE5617"/>
    <w:rsid w:val="00FE5DEB"/>
    <w:rsid w:val="00FE7398"/>
    <w:rsid w:val="00FF169E"/>
    <w:rsid w:val="00FF4026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7B12BA"/>
  <w14:defaultImageDpi w14:val="0"/>
  <w15:docId w15:val="{31019BC9-71E3-4F24-9E5F-A547AE17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C77"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"/>
    <w:basedOn w:val="Normal"/>
    <w:link w:val="ListParagraphChar"/>
    <w:uiPriority w:val="34"/>
    <w:qFormat/>
    <w:rsid w:val="002278E9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link w:val="ListParagraph"/>
    <w:uiPriority w:val="34"/>
    <w:qFormat/>
    <w:locked/>
    <w:rsid w:val="002278E9"/>
    <w:rPr>
      <w:rFonts w:asciiTheme="minorHAnsi" w:hAnsiTheme="minorHAnsi"/>
      <w:sz w:val="22"/>
      <w:lang w:val="x-none" w:eastAsia="en-US"/>
    </w:rPr>
  </w:style>
  <w:style w:type="paragraph" w:styleId="NoSpacing">
    <w:name w:val="No Spacing"/>
    <w:uiPriority w:val="1"/>
    <w:qFormat/>
    <w:rsid w:val="002278E9"/>
    <w:pPr>
      <w:spacing w:beforeAutospacing="1" w:afterAutospacing="1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6F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exs1">
    <w:name w:val="exs1"/>
    <w:basedOn w:val="DefaultParagraphFont"/>
    <w:rsid w:val="008F7276"/>
    <w:rPr>
      <w:rFonts w:cs="Times New Roman"/>
    </w:rPr>
  </w:style>
  <w:style w:type="character" w:customStyle="1" w:styleId="hy1">
    <w:name w:val="hy1"/>
    <w:basedOn w:val="DefaultParagraphFont"/>
    <w:rsid w:val="008F7276"/>
    <w:rPr>
      <w:rFonts w:cs="Times New Roman"/>
      <w:shd w:val="clear" w:color="auto" w:fill="FFFF66"/>
    </w:rPr>
  </w:style>
  <w:style w:type="character" w:styleId="CommentReference">
    <w:name w:val="annotation reference"/>
    <w:basedOn w:val="DefaultParagraphFont"/>
    <w:semiHidden/>
    <w:unhideWhenUsed/>
    <w:rsid w:val="00B72A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A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AD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AD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c.gc.ca/opendata-donneesouvertes/data/IRCC_M_TRStudy_0008_E.xls" TargetMode="External"/><Relationship Id="rId2" Type="http://schemas.openxmlformats.org/officeDocument/2006/relationships/hyperlink" Target="http://net.cbie.ca/download/World-of-Learning-2016-EN.pdf" TargetMode="External"/><Relationship Id="rId1" Type="http://schemas.openxmlformats.org/officeDocument/2006/relationships/hyperlink" Target="http://www.cic.gc.ca/opendata-donneesouvertes/data/IRCC_M_TRStudy_0009_E.xls" TargetMode="External"/><Relationship Id="rId6" Type="http://schemas.openxmlformats.org/officeDocument/2006/relationships/hyperlink" Target="https://internationaleducation.gov.au/research/research-snapshots/pages/default.aspx" TargetMode="External"/><Relationship Id="rId5" Type="http://schemas.openxmlformats.org/officeDocument/2006/relationships/hyperlink" Target="mailto:IEResearch@education.gov.au" TargetMode="External"/><Relationship Id="rId4" Type="http://schemas.openxmlformats.org/officeDocument/2006/relationships/hyperlink" Target="https://thepienews.com/news/canada-increasingly-attractive-to-mobile-students-idp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\51004302\ARCHIVE%20(OLD%20I%20DRIVE)\International%20Strategy%20Branch\ResearchAnalysis\Section%20Publications\Research%20Snapshots\2018\Canada%20v%20AUS%20international%20education\Canada%20workings%20draft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EDU\51004302\ARCHIVE%20(OLD%20I%20DRIVE)\International%20Strategy%20Branch\ResearchAnalysis\Section%20Publications\Research%20Snapshots\2018\Canada%20v%20AUS%20international%20education\Canada%20workings%20draft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sz="1200" b="0" i="0" u="none" strike="noStrike" baseline="0">
                <a:solidFill>
                  <a:sysClr val="windowText" lastClr="000000"/>
                </a:solidFill>
                <a:effectLst/>
              </a:rPr>
              <a:t>Figure 2: International students in Australia</a:t>
            </a:r>
            <a:endParaRPr lang="en-A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329083522093985"/>
          <c:y val="2.88572210682253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238967389350303"/>
          <c:y val="0.14171779141104293"/>
          <c:w val="0.79742767770467049"/>
          <c:h val="0.58633109511617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Sheet1!$L$36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Sheet1!$K$37:$K$46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Nepal</c:v>
                </c:pt>
                <c:pt idx="3">
                  <c:v>Malaysia</c:v>
                </c:pt>
                <c:pt idx="4">
                  <c:v>Brazil</c:v>
                </c:pt>
                <c:pt idx="5">
                  <c:v>Vietnam</c:v>
                </c:pt>
                <c:pt idx="6">
                  <c:v>South Korea</c:v>
                </c:pt>
                <c:pt idx="7">
                  <c:v>Thailand</c:v>
                </c:pt>
                <c:pt idx="8">
                  <c:v>Indonesia</c:v>
                </c:pt>
                <c:pt idx="9">
                  <c:v>Hong Kong</c:v>
                </c:pt>
              </c:strCache>
            </c:strRef>
          </c:cat>
          <c:val>
            <c:numRef>
              <c:f>Sheet1!$L$37:$L$46</c:f>
              <c:numCache>
                <c:formatCode>#,##0</c:formatCode>
                <c:ptCount val="10"/>
                <c:pt idx="0">
                  <c:v>156823</c:v>
                </c:pt>
                <c:pt idx="1">
                  <c:v>59834</c:v>
                </c:pt>
                <c:pt idx="2">
                  <c:v>18651</c:v>
                </c:pt>
                <c:pt idx="3">
                  <c:v>23441</c:v>
                </c:pt>
                <c:pt idx="4">
                  <c:v>19529</c:v>
                </c:pt>
                <c:pt idx="5">
                  <c:v>22433</c:v>
                </c:pt>
                <c:pt idx="6">
                  <c:v>21882</c:v>
                </c:pt>
                <c:pt idx="7">
                  <c:v>19133</c:v>
                </c:pt>
                <c:pt idx="8">
                  <c:v>14769</c:v>
                </c:pt>
                <c:pt idx="9">
                  <c:v>13960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F8-404F-A26B-4B14D4A13660}"/>
            </c:ext>
          </c:extLst>
        </c:ser>
        <c:ser>
          <c:idx val="1"/>
          <c:order val="1"/>
          <c:tx>
            <c:strRef>
              <c:f>Sheet1!$M$36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Sheet1!$K$37:$K$46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Nepal</c:v>
                </c:pt>
                <c:pt idx="3">
                  <c:v>Malaysia</c:v>
                </c:pt>
                <c:pt idx="4">
                  <c:v>Brazil</c:v>
                </c:pt>
                <c:pt idx="5">
                  <c:v>Vietnam</c:v>
                </c:pt>
                <c:pt idx="6">
                  <c:v>South Korea</c:v>
                </c:pt>
                <c:pt idx="7">
                  <c:v>Thailand</c:v>
                </c:pt>
                <c:pt idx="8">
                  <c:v>Indonesia</c:v>
                </c:pt>
                <c:pt idx="9">
                  <c:v>Hong Kong</c:v>
                </c:pt>
              </c:strCache>
            </c:strRef>
          </c:cat>
          <c:val>
            <c:numRef>
              <c:f>Sheet1!$M$37:$M$46</c:f>
              <c:numCache>
                <c:formatCode>#,##0</c:formatCode>
                <c:ptCount val="10"/>
                <c:pt idx="0">
                  <c:v>184512</c:v>
                </c:pt>
                <c:pt idx="1">
                  <c:v>68285</c:v>
                </c:pt>
                <c:pt idx="2">
                  <c:v>28595</c:v>
                </c:pt>
                <c:pt idx="3">
                  <c:v>26006</c:v>
                </c:pt>
                <c:pt idx="4">
                  <c:v>24246</c:v>
                </c:pt>
                <c:pt idx="5">
                  <c:v>23670</c:v>
                </c:pt>
                <c:pt idx="6">
                  <c:v>22382</c:v>
                </c:pt>
                <c:pt idx="7">
                  <c:v>19476</c:v>
                </c:pt>
                <c:pt idx="8">
                  <c:v>15649</c:v>
                </c:pt>
                <c:pt idx="9">
                  <c:v>14310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F8-404F-A26B-4B14D4A13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035051272"/>
        <c:axId val="1035048648"/>
      </c:barChart>
      <c:catAx>
        <c:axId val="1035051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5048648"/>
        <c:crosses val="autoZero"/>
        <c:auto val="1"/>
        <c:lblAlgn val="ctr"/>
        <c:lblOffset val="100"/>
        <c:noMultiLvlLbl val="0"/>
      </c:catAx>
      <c:valAx>
        <c:axId val="103504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5051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67055693380793"/>
          <c:y val="0.92307167125581713"/>
          <c:w val="0.30138309423650811"/>
          <c:h val="6.6176933765632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sz="1200">
                <a:solidFill>
                  <a:sysClr val="windowText" lastClr="000000"/>
                </a:solidFill>
              </a:rPr>
              <a:t>Figure 1: International students in Canada</a:t>
            </a:r>
          </a:p>
        </c:rich>
      </c:tx>
      <c:layout>
        <c:manualLayout>
          <c:xMode val="edge"/>
          <c:yMode val="edge"/>
          <c:x val="0.15477477477477478"/>
          <c:y val="3.17365837744858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019521884088814"/>
          <c:y val="0.14128440366972478"/>
          <c:w val="0.80016514151947227"/>
          <c:h val="0.58054917447245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Sheet1!$A$17:$A$26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South Korea</c:v>
                </c:pt>
                <c:pt idx="3">
                  <c:v>France</c:v>
                </c:pt>
                <c:pt idx="4">
                  <c:v>Vietnam</c:v>
                </c:pt>
                <c:pt idx="5">
                  <c:v>USA</c:v>
                </c:pt>
                <c:pt idx="6">
                  <c:v>Brazil</c:v>
                </c:pt>
                <c:pt idx="7">
                  <c:v>Nigeria</c:v>
                </c:pt>
                <c:pt idx="8">
                  <c:v>Japan</c:v>
                </c:pt>
                <c:pt idx="9">
                  <c:v>Saudi Arabia</c:v>
                </c:pt>
              </c:strCache>
            </c:strRef>
          </c:cat>
          <c:val>
            <c:numRef>
              <c:f>Sheet1!$B$17:$B$26</c:f>
              <c:numCache>
                <c:formatCode>#,##0</c:formatCode>
                <c:ptCount val="10"/>
                <c:pt idx="0">
                  <c:v>131135</c:v>
                </c:pt>
                <c:pt idx="1">
                  <c:v>76075</c:v>
                </c:pt>
                <c:pt idx="2">
                  <c:v>21175</c:v>
                </c:pt>
                <c:pt idx="3">
                  <c:v>20605</c:v>
                </c:pt>
                <c:pt idx="4">
                  <c:v>7470</c:v>
                </c:pt>
                <c:pt idx="5">
                  <c:v>12760</c:v>
                </c:pt>
                <c:pt idx="6">
                  <c:v>9200</c:v>
                </c:pt>
                <c:pt idx="7">
                  <c:v>10640</c:v>
                </c:pt>
                <c:pt idx="8">
                  <c:v>7770</c:v>
                </c:pt>
                <c:pt idx="9">
                  <c:v>9075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35-4D5D-8B9A-87DCF462B2DB}"/>
            </c:ext>
          </c:extLst>
        </c:ser>
        <c:ser>
          <c:idx val="1"/>
          <c:order val="1"/>
          <c:tx>
            <c:strRef>
              <c:f>Sheet1!$C$16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Sheet1!$A$17:$A$26</c:f>
              <c:strCache>
                <c:ptCount val="10"/>
                <c:pt idx="0">
                  <c:v>China</c:v>
                </c:pt>
                <c:pt idx="1">
                  <c:v>India</c:v>
                </c:pt>
                <c:pt idx="2">
                  <c:v>South Korea</c:v>
                </c:pt>
                <c:pt idx="3">
                  <c:v>France</c:v>
                </c:pt>
                <c:pt idx="4">
                  <c:v>Vietnam</c:v>
                </c:pt>
                <c:pt idx="5">
                  <c:v>USA</c:v>
                </c:pt>
                <c:pt idx="6">
                  <c:v>Brazil</c:v>
                </c:pt>
                <c:pt idx="7">
                  <c:v>Nigeria</c:v>
                </c:pt>
                <c:pt idx="8">
                  <c:v>Japan</c:v>
                </c:pt>
                <c:pt idx="9">
                  <c:v>Saudi Arabia</c:v>
                </c:pt>
              </c:strCache>
            </c:strRef>
          </c:cat>
          <c:val>
            <c:numRef>
              <c:f>Sheet1!$C$17:$C$26</c:f>
              <c:numCache>
                <c:formatCode>#,##0</c:formatCode>
                <c:ptCount val="10"/>
                <c:pt idx="0">
                  <c:v>140530</c:v>
                </c:pt>
                <c:pt idx="1">
                  <c:v>123940</c:v>
                </c:pt>
                <c:pt idx="2">
                  <c:v>23050</c:v>
                </c:pt>
                <c:pt idx="3">
                  <c:v>21925</c:v>
                </c:pt>
                <c:pt idx="4">
                  <c:v>14095</c:v>
                </c:pt>
                <c:pt idx="5">
                  <c:v>13975</c:v>
                </c:pt>
                <c:pt idx="6">
                  <c:v>11775</c:v>
                </c:pt>
                <c:pt idx="7">
                  <c:v>10880</c:v>
                </c:pt>
                <c:pt idx="8">
                  <c:v>7950</c:v>
                </c:pt>
                <c:pt idx="9">
                  <c:v>7640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35-4D5D-8B9A-87DCF462B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034996496"/>
        <c:axId val="1035002400"/>
      </c:barChart>
      <c:catAx>
        <c:axId val="103499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5002400"/>
        <c:crosses val="autoZero"/>
        <c:auto val="1"/>
        <c:lblAlgn val="ctr"/>
        <c:lblOffset val="100"/>
        <c:noMultiLvlLbl val="0"/>
      </c:catAx>
      <c:valAx>
        <c:axId val="103500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499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035383414910976"/>
          <c:y val="0.91544735807106681"/>
          <c:w val="0.34776080017024896"/>
          <c:h val="6.59828665111875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8B6833-9B2E-43A6-BD71-E7C99A54ABD9}"/>
</file>

<file path=customXml/itemProps2.xml><?xml version="1.0" encoding="utf-8"?>
<ds:datastoreItem xmlns:ds="http://schemas.openxmlformats.org/officeDocument/2006/customXml" ds:itemID="{468F72C9-EC87-4BF7-B454-CA16F5BFE245}"/>
</file>

<file path=customXml/itemProps3.xml><?xml version="1.0" encoding="utf-8"?>
<ds:datastoreItem xmlns:ds="http://schemas.openxmlformats.org/officeDocument/2006/customXml" ds:itemID="{BCA11DAF-DC56-4711-8335-287F0B8389A3}"/>
</file>

<file path=customXml/itemProps4.xml><?xml version="1.0" encoding="utf-8"?>
<ds:datastoreItem xmlns:ds="http://schemas.openxmlformats.org/officeDocument/2006/customXml" ds:itemID="{7F961386-4843-4634-884A-1DF08731A080}"/>
</file>

<file path=docProps/app.xml><?xml version="1.0" encoding="utf-8"?>
<Properties xmlns="http://schemas.openxmlformats.org/officeDocument/2006/extended-properties" xmlns:vt="http://schemas.openxmlformats.org/officeDocument/2006/docPropsVTypes">
  <Template>9A343F8.dotm</Template>
  <TotalTime>21</TotalTime>
  <Pages>1</Pages>
  <Words>357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NERLICH,Steve</cp:lastModifiedBy>
  <cp:revision>5</cp:revision>
  <cp:lastPrinted>2018-07-19T04:43:00Z</cp:lastPrinted>
  <dcterms:created xsi:type="dcterms:W3CDTF">2018-07-16T05:25:00Z</dcterms:created>
  <dcterms:modified xsi:type="dcterms:W3CDTF">2018-07-19T05:15:00Z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29000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