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er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header20.xml" ContentType="application/vnd.openxmlformats-officedocument.wordprocessingml.header+xml"/>
  <Override PartName="/word/header19.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header8.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1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2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54A88" w14:textId="71C284E8" w:rsidR="00B01B3A" w:rsidRDefault="00B01B3A" w:rsidP="007F39A0">
      <w:pPr>
        <w:pStyle w:val="ReportTitle"/>
        <w:framePr w:hSpace="0" w:wrap="auto" w:vAnchor="margin" w:hAnchor="text" w:yAlign="inline"/>
        <w:spacing w:before="1000"/>
        <w:ind w:left="-851" w:right="-1094"/>
        <w:suppressOverlap w:val="0"/>
        <w:rPr>
          <w:sz w:val="22"/>
          <w:szCs w:val="22"/>
        </w:rPr>
      </w:pPr>
      <w:r w:rsidRPr="001C2622">
        <w:rPr>
          <w:noProof/>
          <w:sz w:val="22"/>
          <w:szCs w:val="22"/>
          <w:lang w:eastAsia="en-AU"/>
        </w:rPr>
        <w:drawing>
          <wp:inline distT="0" distB="0" distL="0" distR="0" wp14:anchorId="7A3F169E" wp14:editId="4E71B26A">
            <wp:extent cx="2319655" cy="617855"/>
            <wp:effectExtent l="0" t="0" r="0" b="0"/>
            <wp:docPr id="6" name="Picture 1" descr="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9655" cy="617855"/>
                    </a:xfrm>
                    <a:prstGeom prst="rect">
                      <a:avLst/>
                    </a:prstGeom>
                    <a:noFill/>
                    <a:ln>
                      <a:noFill/>
                    </a:ln>
                  </pic:spPr>
                </pic:pic>
              </a:graphicData>
            </a:graphic>
          </wp:inline>
        </w:drawing>
      </w:r>
    </w:p>
    <w:p w14:paraId="473EA0D7" w14:textId="77777777" w:rsidR="00866F2A" w:rsidRDefault="00866F2A" w:rsidP="007F39A0">
      <w:pPr>
        <w:pStyle w:val="ReportTitle"/>
        <w:framePr w:hSpace="0" w:wrap="auto" w:vAnchor="margin" w:hAnchor="text" w:yAlign="inline"/>
        <w:spacing w:before="1000"/>
        <w:ind w:left="-851" w:right="-1094"/>
        <w:suppressOverlap w:val="0"/>
      </w:pPr>
      <w:r>
        <w:t>The value of international education to Australia</w:t>
      </w:r>
    </w:p>
    <w:p w14:paraId="1FE7AEF7" w14:textId="77777777" w:rsidR="00866F2A" w:rsidRDefault="00866F2A" w:rsidP="00866F2A">
      <w:pPr>
        <w:pStyle w:val="SingleLeft"/>
        <w:ind w:left="-851"/>
      </w:pPr>
    </w:p>
    <w:p w14:paraId="432551F2" w14:textId="77777777" w:rsidR="00866F2A" w:rsidRDefault="00866F2A" w:rsidP="00866F2A">
      <w:pPr>
        <w:pStyle w:val="SingleLeft"/>
        <w:ind w:left="-851"/>
        <w:rPr>
          <w:color w:val="002776" w:themeColor="text2"/>
        </w:rPr>
      </w:pPr>
    </w:p>
    <w:p w14:paraId="60879DBF" w14:textId="77777777" w:rsidR="00C54524" w:rsidRDefault="00C54524" w:rsidP="00866F2A">
      <w:pPr>
        <w:pStyle w:val="SingleLeft"/>
        <w:ind w:left="-851"/>
        <w:rPr>
          <w:color w:val="002776" w:themeColor="text2"/>
        </w:rPr>
      </w:pPr>
    </w:p>
    <w:p w14:paraId="4DBB8380" w14:textId="77777777" w:rsidR="00C54524" w:rsidRDefault="00C54524" w:rsidP="00866F2A">
      <w:pPr>
        <w:pStyle w:val="SingleLeft"/>
        <w:ind w:left="-851"/>
        <w:rPr>
          <w:color w:val="002776" w:themeColor="text2"/>
        </w:rPr>
      </w:pPr>
    </w:p>
    <w:p w14:paraId="2DB09A8C" w14:textId="77777777" w:rsidR="00C54524" w:rsidRPr="0000666C" w:rsidRDefault="00C54524" w:rsidP="00866F2A">
      <w:pPr>
        <w:pStyle w:val="SingleLeft"/>
        <w:ind w:left="-851"/>
        <w:rPr>
          <w:color w:val="002776" w:themeColor="text2"/>
        </w:rPr>
      </w:pPr>
      <w:bookmarkStart w:id="0" w:name="_GoBack"/>
      <w:bookmarkEnd w:id="0"/>
    </w:p>
    <w:p w14:paraId="0BC9053C" w14:textId="39DA8220" w:rsidR="00866F2A" w:rsidRPr="0000666C" w:rsidRDefault="00866F2A" w:rsidP="00866F2A">
      <w:pPr>
        <w:pStyle w:val="SingleLeft"/>
        <w:spacing w:before="5000"/>
        <w:ind w:left="-851"/>
        <w:jc w:val="left"/>
        <w:rPr>
          <w:color w:val="002776" w:themeColor="text2"/>
        </w:rPr>
        <w:sectPr w:rsidR="00866F2A" w:rsidRPr="0000666C" w:rsidSect="00866F2A">
          <w:headerReference w:type="even" r:id="rId10"/>
          <w:headerReference w:type="default" r:id="rId11"/>
          <w:footerReference w:type="even" r:id="rId12"/>
          <w:footerReference w:type="default" r:id="rId13"/>
          <w:headerReference w:type="first" r:id="rId14"/>
          <w:footerReference w:type="first" r:id="rId15"/>
          <w:pgSz w:w="11906" w:h="16838" w:code="9"/>
          <w:pgMar w:top="1440" w:right="2880" w:bottom="1440" w:left="2880" w:header="454" w:footer="454" w:gutter="0"/>
          <w:cols w:space="720"/>
          <w:titlePg/>
          <w:docGrid w:linePitch="360"/>
        </w:sectPr>
      </w:pPr>
      <w:r w:rsidRPr="0000666C">
        <w:rPr>
          <w:color w:val="002776" w:themeColor="text2"/>
          <w:sz w:val="36"/>
          <w:szCs w:val="36"/>
        </w:rPr>
        <w:t>Prepared by Deloitte Access Economics</w:t>
      </w:r>
    </w:p>
    <w:p w14:paraId="58A1D069" w14:textId="77777777" w:rsidR="006C4BC8" w:rsidRPr="006C4BC8" w:rsidRDefault="006C4BC8" w:rsidP="00163EA3">
      <w:pPr>
        <w:pStyle w:val="Bodycopy"/>
        <w:jc w:val="left"/>
        <w:outlineLvl w:val="0"/>
        <w:rPr>
          <w:rFonts w:ascii="Calibri" w:hAnsi="Calibri"/>
          <w:b/>
          <w:sz w:val="22"/>
          <w:szCs w:val="22"/>
        </w:rPr>
      </w:pPr>
      <w:r w:rsidRPr="006C4BC8">
        <w:rPr>
          <w:rFonts w:ascii="Calibri" w:hAnsi="Calibri"/>
          <w:b/>
          <w:sz w:val="22"/>
          <w:szCs w:val="22"/>
        </w:rPr>
        <w:lastRenderedPageBreak/>
        <w:t>About this report</w:t>
      </w:r>
    </w:p>
    <w:p w14:paraId="52C53797" w14:textId="77777777" w:rsidR="006C4BC8" w:rsidRPr="006C4BC8" w:rsidRDefault="006C4BC8" w:rsidP="006C4BC8">
      <w:pPr>
        <w:pStyle w:val="Bodycopy"/>
        <w:jc w:val="left"/>
        <w:rPr>
          <w:rFonts w:ascii="Calibri" w:hAnsi="Calibri"/>
          <w:sz w:val="22"/>
          <w:szCs w:val="22"/>
        </w:rPr>
      </w:pPr>
      <w:r w:rsidRPr="006C4BC8">
        <w:rPr>
          <w:rFonts w:ascii="Calibri" w:hAnsi="Calibri"/>
          <w:sz w:val="22"/>
          <w:szCs w:val="22"/>
        </w:rPr>
        <w:t xml:space="preserve">In 2015, the Australian Government Department of Education and Training commissioned the </w:t>
      </w:r>
      <w:r w:rsidRPr="006C4BC8">
        <w:rPr>
          <w:rFonts w:ascii="Calibri" w:hAnsi="Calibri"/>
          <w:sz w:val="22"/>
          <w:szCs w:val="22"/>
        </w:rPr>
        <w:br/>
        <w:t xml:space="preserve">Deloitte Access Economics to assess the value of international education to the Australian community. This assessment encompasses the sector’s contribution to the Australian economy and its broader economic and social impact on regional communities, tourism and the calibre and productivity of Australia’s workforce. For further information, please visit the website </w:t>
      </w:r>
      <w:r w:rsidRPr="006C4BC8">
        <w:rPr>
          <w:rFonts w:ascii="Calibri" w:hAnsi="Calibri"/>
          <w:sz w:val="22"/>
          <w:szCs w:val="22"/>
        </w:rPr>
        <w:br/>
        <w:t>www.internationaleducation.gov.au.</w:t>
      </w:r>
    </w:p>
    <w:p w14:paraId="72F287D3" w14:textId="77777777" w:rsidR="006C4BC8" w:rsidRPr="006C4BC8" w:rsidRDefault="006C4BC8" w:rsidP="00163EA3">
      <w:pPr>
        <w:pStyle w:val="Bodycopy"/>
        <w:jc w:val="left"/>
        <w:outlineLvl w:val="0"/>
        <w:rPr>
          <w:rFonts w:ascii="Calibri" w:hAnsi="Calibri"/>
          <w:b/>
          <w:sz w:val="22"/>
          <w:szCs w:val="22"/>
        </w:rPr>
      </w:pPr>
      <w:r w:rsidRPr="006C4BC8">
        <w:rPr>
          <w:rFonts w:ascii="Calibri" w:hAnsi="Calibri"/>
          <w:b/>
          <w:sz w:val="22"/>
          <w:szCs w:val="22"/>
        </w:rPr>
        <w:t>About Deloitte Access Economics</w:t>
      </w:r>
    </w:p>
    <w:p w14:paraId="5D51A00A" w14:textId="77777777" w:rsidR="006C4BC8" w:rsidRPr="006C4BC8" w:rsidRDefault="006C4BC8" w:rsidP="006C4BC8">
      <w:pPr>
        <w:pStyle w:val="Bodycopy"/>
        <w:jc w:val="left"/>
        <w:rPr>
          <w:rFonts w:ascii="Calibri" w:hAnsi="Calibri"/>
          <w:sz w:val="22"/>
          <w:szCs w:val="22"/>
        </w:rPr>
      </w:pPr>
      <w:r w:rsidRPr="006C4BC8">
        <w:rPr>
          <w:rFonts w:ascii="Calibri" w:hAnsi="Calibri"/>
          <w:sz w:val="22"/>
          <w:szCs w:val="22"/>
        </w:rPr>
        <w:t>Deloitte Access Economics (</w:t>
      </w:r>
      <w:proofErr w:type="spellStart"/>
      <w:r w:rsidRPr="006C4BC8">
        <w:rPr>
          <w:rFonts w:ascii="Calibri" w:hAnsi="Calibri"/>
          <w:sz w:val="22"/>
          <w:szCs w:val="22"/>
        </w:rPr>
        <w:t>ACN</w:t>
      </w:r>
      <w:proofErr w:type="spellEnd"/>
      <w:r w:rsidRPr="006C4BC8">
        <w:rPr>
          <w:rFonts w:ascii="Calibri" w:hAnsi="Calibri"/>
          <w:sz w:val="22"/>
          <w:szCs w:val="22"/>
        </w:rPr>
        <w:t>: 149 633 116) is Australia’s pre-eminent economics advisory practice and a member of Deloitte’s global economics group. For more information, please visit the website www.deloitteaccesseconomics.com.au.</w:t>
      </w:r>
    </w:p>
    <w:p w14:paraId="1F75792D" w14:textId="77777777" w:rsidR="006C4BC8" w:rsidRPr="006C4BC8" w:rsidRDefault="006C4BC8" w:rsidP="00163EA3">
      <w:pPr>
        <w:pStyle w:val="Bodycopy"/>
        <w:jc w:val="left"/>
        <w:outlineLvl w:val="0"/>
        <w:rPr>
          <w:rFonts w:ascii="Calibri" w:hAnsi="Calibri"/>
          <w:b/>
          <w:sz w:val="22"/>
          <w:szCs w:val="22"/>
        </w:rPr>
      </w:pPr>
      <w:r w:rsidRPr="006C4BC8">
        <w:rPr>
          <w:rFonts w:ascii="Calibri" w:hAnsi="Calibri"/>
          <w:b/>
          <w:sz w:val="22"/>
          <w:szCs w:val="22"/>
        </w:rPr>
        <w:t>Acknowledgments</w:t>
      </w:r>
    </w:p>
    <w:p w14:paraId="78B66925" w14:textId="1C2CAB78" w:rsidR="006C4BC8" w:rsidRPr="006C4BC8" w:rsidRDefault="006C4BC8" w:rsidP="006C4BC8">
      <w:pPr>
        <w:pStyle w:val="Bodycopy"/>
        <w:jc w:val="left"/>
        <w:rPr>
          <w:rFonts w:ascii="Calibri" w:hAnsi="Calibri"/>
          <w:sz w:val="22"/>
          <w:szCs w:val="22"/>
        </w:rPr>
      </w:pPr>
      <w:r w:rsidRPr="006C4BC8">
        <w:rPr>
          <w:rFonts w:ascii="Calibri" w:hAnsi="Calibri"/>
          <w:sz w:val="22"/>
          <w:szCs w:val="22"/>
        </w:rPr>
        <w:t>The Australian Government Department of Education and Training would like to thank all those individuals and organisations that contributed to the study by supplying data and info</w:t>
      </w:r>
      <w:r w:rsidR="00D72A59">
        <w:rPr>
          <w:rFonts w:ascii="Calibri" w:hAnsi="Calibri"/>
          <w:sz w:val="22"/>
          <w:szCs w:val="22"/>
        </w:rPr>
        <w:t>rmation and otherwise assisting.</w:t>
      </w:r>
    </w:p>
    <w:p w14:paraId="08EC9A52" w14:textId="77777777" w:rsidR="006C4BC8" w:rsidRPr="006C4BC8" w:rsidRDefault="006C4BC8" w:rsidP="00163EA3">
      <w:pPr>
        <w:pStyle w:val="Bodycopy"/>
        <w:jc w:val="left"/>
        <w:outlineLvl w:val="0"/>
        <w:rPr>
          <w:rFonts w:ascii="Calibri" w:hAnsi="Calibri"/>
          <w:b/>
          <w:sz w:val="22"/>
          <w:szCs w:val="22"/>
        </w:rPr>
      </w:pPr>
      <w:r w:rsidRPr="006C4BC8">
        <w:rPr>
          <w:rFonts w:ascii="Calibri" w:hAnsi="Calibri"/>
          <w:b/>
          <w:sz w:val="22"/>
          <w:szCs w:val="22"/>
        </w:rPr>
        <w:t>Disclaimer</w:t>
      </w:r>
    </w:p>
    <w:p w14:paraId="77E8E239" w14:textId="77777777" w:rsidR="006C4BC8" w:rsidRPr="006C4BC8" w:rsidRDefault="006C4BC8" w:rsidP="006C4BC8">
      <w:pPr>
        <w:pStyle w:val="Bodycopy"/>
        <w:jc w:val="left"/>
        <w:rPr>
          <w:rFonts w:ascii="Calibri" w:hAnsi="Calibri"/>
          <w:sz w:val="22"/>
          <w:szCs w:val="22"/>
        </w:rPr>
      </w:pPr>
      <w:r w:rsidRPr="006C4BC8">
        <w:rPr>
          <w:rFonts w:ascii="Calibri" w:hAnsi="Calibri"/>
          <w:sz w:val="22"/>
          <w:szCs w:val="22"/>
        </w:rPr>
        <w:t>The Commonwealth of Australia, its officers, employees or agents disclaim any responsibility for loss howsoever caused whether due to negligence or otherwise from the use of information in this publication. No representation expressed or implied is made by the Commonwealth of Australia or any of its officers, employees or agents as to the currency, accuracy or completeness of the information contained in this report. The reader should rely on their own inquiries to independently confirm the information and comment on which they intent to act.</w:t>
      </w:r>
    </w:p>
    <w:p w14:paraId="3C3BABE1" w14:textId="77777777" w:rsidR="006C4BC8" w:rsidRPr="006C4BC8" w:rsidRDefault="006C4BC8" w:rsidP="00163EA3">
      <w:pPr>
        <w:pStyle w:val="Bodycopy"/>
        <w:jc w:val="left"/>
        <w:outlineLvl w:val="0"/>
        <w:rPr>
          <w:rFonts w:ascii="Calibri" w:hAnsi="Calibri"/>
          <w:b/>
          <w:sz w:val="22"/>
          <w:szCs w:val="22"/>
        </w:rPr>
      </w:pPr>
      <w:r w:rsidRPr="006C4BC8">
        <w:rPr>
          <w:rFonts w:ascii="Calibri" w:hAnsi="Calibri"/>
          <w:b/>
          <w:sz w:val="22"/>
          <w:szCs w:val="22"/>
        </w:rPr>
        <w:t>ISBN</w:t>
      </w:r>
    </w:p>
    <w:p w14:paraId="583DA44A" w14:textId="77777777" w:rsidR="006C4BC8" w:rsidRPr="006C4BC8" w:rsidRDefault="006C4BC8" w:rsidP="00163EA3">
      <w:pPr>
        <w:pStyle w:val="Bodycopy"/>
        <w:jc w:val="left"/>
        <w:outlineLvl w:val="0"/>
        <w:rPr>
          <w:rFonts w:ascii="Calibri" w:hAnsi="Calibri"/>
          <w:sz w:val="22"/>
          <w:szCs w:val="22"/>
        </w:rPr>
      </w:pPr>
      <w:r w:rsidRPr="006C4BC8">
        <w:rPr>
          <w:rFonts w:ascii="Calibri" w:hAnsi="Calibri"/>
          <w:sz w:val="22"/>
          <w:szCs w:val="22"/>
        </w:rPr>
        <w:t xml:space="preserve">Print 978-1-76028-716-0 </w:t>
      </w:r>
    </w:p>
    <w:p w14:paraId="4FD484A5" w14:textId="77777777" w:rsidR="006C4BC8" w:rsidRPr="006C4BC8" w:rsidRDefault="006C4BC8" w:rsidP="006C4BC8">
      <w:pPr>
        <w:pStyle w:val="Bodycopy"/>
        <w:jc w:val="left"/>
        <w:rPr>
          <w:rFonts w:ascii="Calibri" w:hAnsi="Calibri"/>
          <w:sz w:val="22"/>
          <w:szCs w:val="22"/>
        </w:rPr>
      </w:pPr>
      <w:r w:rsidRPr="006C4BC8">
        <w:rPr>
          <w:rFonts w:ascii="Calibri" w:hAnsi="Calibri"/>
          <w:sz w:val="22"/>
          <w:szCs w:val="22"/>
        </w:rPr>
        <w:t xml:space="preserve">PDF 978-1-76028-685-9 </w:t>
      </w:r>
    </w:p>
    <w:p w14:paraId="26F19F03" w14:textId="77777777" w:rsidR="006C4BC8" w:rsidRPr="006C4BC8" w:rsidRDefault="006C4BC8" w:rsidP="006C4BC8">
      <w:pPr>
        <w:pStyle w:val="Bodycopy"/>
        <w:jc w:val="left"/>
        <w:rPr>
          <w:rFonts w:ascii="Calibri" w:hAnsi="Calibri"/>
          <w:sz w:val="22"/>
          <w:szCs w:val="22"/>
        </w:rPr>
      </w:pPr>
      <w:proofErr w:type="spellStart"/>
      <w:r w:rsidRPr="006C4BC8">
        <w:rPr>
          <w:rFonts w:ascii="Calibri" w:hAnsi="Calibri"/>
          <w:sz w:val="22"/>
          <w:szCs w:val="22"/>
        </w:rPr>
        <w:t>DOCX</w:t>
      </w:r>
      <w:proofErr w:type="spellEnd"/>
      <w:r w:rsidRPr="006C4BC8">
        <w:rPr>
          <w:rFonts w:ascii="Calibri" w:hAnsi="Calibri"/>
          <w:sz w:val="22"/>
          <w:szCs w:val="22"/>
        </w:rPr>
        <w:t xml:space="preserve"> 978-1-76028-690-3 </w:t>
      </w:r>
    </w:p>
    <w:p w14:paraId="7A330B02" w14:textId="0A514E72" w:rsidR="006C4BC8" w:rsidRDefault="006C4BC8" w:rsidP="00163EA3">
      <w:pPr>
        <w:pStyle w:val="Bodycopy"/>
        <w:jc w:val="left"/>
        <w:outlineLvl w:val="0"/>
        <w:rPr>
          <w:rFonts w:ascii="Calibri" w:hAnsi="Calibri"/>
          <w:b/>
          <w:sz w:val="22"/>
          <w:szCs w:val="22"/>
        </w:rPr>
      </w:pPr>
      <w:r w:rsidRPr="006C4BC8">
        <w:rPr>
          <w:rFonts w:ascii="Calibri" w:hAnsi="Calibri"/>
          <w:b/>
          <w:sz w:val="22"/>
          <w:szCs w:val="22"/>
        </w:rPr>
        <w:t>Creative Commons</w:t>
      </w:r>
    </w:p>
    <w:p w14:paraId="118EABE5" w14:textId="44E6BCB1" w:rsidR="00EE740E" w:rsidRPr="006C4BC8" w:rsidRDefault="00EE740E" w:rsidP="006C4BC8">
      <w:pPr>
        <w:pStyle w:val="Bodycopy"/>
        <w:jc w:val="left"/>
        <w:rPr>
          <w:rFonts w:ascii="Calibri" w:hAnsi="Calibri"/>
          <w:b/>
          <w:sz w:val="22"/>
          <w:szCs w:val="22"/>
        </w:rPr>
      </w:pPr>
      <w:r w:rsidRPr="00FB224E">
        <w:rPr>
          <w:noProof/>
          <w:szCs w:val="20"/>
          <w:lang w:eastAsia="en-AU"/>
        </w:rPr>
        <w:drawing>
          <wp:inline distT="0" distB="0" distL="0" distR="0" wp14:anchorId="62E1B953" wp14:editId="088F9BFE">
            <wp:extent cx="847725" cy="285750"/>
            <wp:effectExtent l="0" t="0" r="9525" b="0"/>
            <wp:docPr id="2"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33A415E" w14:textId="77777777" w:rsidR="006C4BC8" w:rsidRPr="006C4BC8" w:rsidRDefault="006C4BC8" w:rsidP="006C4BC8">
      <w:pPr>
        <w:pStyle w:val="Bodycopy"/>
        <w:jc w:val="left"/>
        <w:rPr>
          <w:rFonts w:ascii="Calibri" w:hAnsi="Calibri"/>
          <w:sz w:val="22"/>
          <w:szCs w:val="22"/>
        </w:rPr>
      </w:pPr>
      <w:r w:rsidRPr="006C4BC8">
        <w:rPr>
          <w:rFonts w:ascii="Calibri" w:hAnsi="Calibri"/>
          <w:sz w:val="22"/>
          <w:szCs w:val="22"/>
        </w:rPr>
        <w:t>With the exception of the Commonwealth Coat of Arms, the Department’s logo, any material protected by a trade mark and where otherwise noted all material presented in this document is provided under a Creative Commons Attribution 3.0 Australia (http://creativecommons.org/licenses/by/3.0/au/) licence.</w:t>
      </w:r>
    </w:p>
    <w:p w14:paraId="3CEA6D85" w14:textId="77777777" w:rsidR="006C4BC8" w:rsidRPr="006C4BC8" w:rsidRDefault="006C4BC8" w:rsidP="006C4BC8">
      <w:pPr>
        <w:pStyle w:val="Bodycopy"/>
        <w:jc w:val="left"/>
        <w:rPr>
          <w:rFonts w:ascii="Calibri" w:hAnsi="Calibri"/>
          <w:sz w:val="22"/>
          <w:szCs w:val="22"/>
        </w:rPr>
      </w:pPr>
      <w:r w:rsidRPr="006C4BC8">
        <w:rPr>
          <w:rFonts w:ascii="Calibri" w:hAnsi="Calibri"/>
          <w:sz w:val="22"/>
          <w:szCs w:val="22"/>
        </w:rPr>
        <w:t xml:space="preserve">The details of the relevant licence conditions are available on the Creative Commons website (accessible using the links provided) as is the full legal code for the CC BY 3.0 AU licence </w:t>
      </w:r>
      <w:r w:rsidRPr="006C4BC8">
        <w:rPr>
          <w:rFonts w:ascii="Calibri" w:hAnsi="Calibri"/>
          <w:sz w:val="22"/>
          <w:szCs w:val="22"/>
        </w:rPr>
        <w:br/>
        <w:t>(http://creativecommons.org/licenses/by/3.0/au/legalcode).</w:t>
      </w:r>
    </w:p>
    <w:p w14:paraId="2045605E" w14:textId="08784DE7" w:rsidR="006C4BC8" w:rsidRPr="006C4BC8" w:rsidRDefault="006C4BC8" w:rsidP="006C4BC8">
      <w:pPr>
        <w:pStyle w:val="Bodycopy"/>
        <w:jc w:val="left"/>
      </w:pPr>
      <w:r w:rsidRPr="006C4BC8">
        <w:rPr>
          <w:rFonts w:ascii="Calibri" w:hAnsi="Calibri"/>
          <w:sz w:val="22"/>
          <w:szCs w:val="22"/>
        </w:rPr>
        <w:t xml:space="preserve">The document must be attributed as the </w:t>
      </w:r>
      <w:r w:rsidRPr="006C4BC8">
        <w:rPr>
          <w:rFonts w:ascii="Calibri" w:hAnsi="Calibri"/>
          <w:i/>
          <w:sz w:val="22"/>
          <w:szCs w:val="22"/>
        </w:rPr>
        <w:t>Value of International Education to Australia.</w:t>
      </w:r>
      <w:r w:rsidRPr="006C4BC8">
        <w:br w:type="page"/>
      </w:r>
    </w:p>
    <w:p w14:paraId="6A9F578F" w14:textId="5F3C1D85" w:rsidR="00F41CBD" w:rsidRPr="00DE4E85" w:rsidRDefault="00F41CBD" w:rsidP="00163EA3">
      <w:pPr>
        <w:pStyle w:val="Contents-Major"/>
        <w:outlineLvl w:val="0"/>
      </w:pPr>
      <w:r w:rsidRPr="00306EC6">
        <w:lastRenderedPageBreak/>
        <w:t>Contents</w:t>
      </w:r>
    </w:p>
    <w:p w14:paraId="1F6D7647" w14:textId="77777777" w:rsidR="005334A6" w:rsidRDefault="00F41CBD">
      <w:pPr>
        <w:pStyle w:val="TOC1"/>
        <w:rPr>
          <w:rFonts w:asciiTheme="minorHAnsi" w:eastAsiaTheme="minorEastAsia" w:hAnsiTheme="minorHAnsi" w:cstheme="minorBidi"/>
          <w:noProof/>
          <w:lang w:eastAsia="en-AU"/>
        </w:rPr>
      </w:pPr>
      <w:r>
        <w:rPr>
          <w:b/>
          <w:caps/>
        </w:rPr>
        <w:fldChar w:fldCharType="begin"/>
      </w:r>
      <w:r>
        <w:rPr>
          <w:b/>
          <w:caps/>
        </w:rPr>
        <w:instrText xml:space="preserve"> TOC \o "1-2" \h \z \t "Major Heading,1,Appendix,1,Glossary,1,Heading A,1" </w:instrText>
      </w:r>
      <w:r>
        <w:rPr>
          <w:b/>
          <w:caps/>
        </w:rPr>
        <w:fldChar w:fldCharType="separate"/>
      </w:r>
      <w:hyperlink w:anchor="_Toc450809229" w:history="1">
        <w:r w:rsidR="005334A6" w:rsidRPr="00C9596B">
          <w:rPr>
            <w:rStyle w:val="Hyperlink"/>
            <w:noProof/>
          </w:rPr>
          <w:t>Glossary</w:t>
        </w:r>
        <w:r w:rsidR="005334A6">
          <w:rPr>
            <w:noProof/>
            <w:webHidden/>
          </w:rPr>
          <w:tab/>
        </w:r>
        <w:r w:rsidR="005334A6">
          <w:rPr>
            <w:noProof/>
            <w:webHidden/>
          </w:rPr>
          <w:fldChar w:fldCharType="begin"/>
        </w:r>
        <w:r w:rsidR="005334A6">
          <w:rPr>
            <w:noProof/>
            <w:webHidden/>
          </w:rPr>
          <w:instrText xml:space="preserve"> PAGEREF _Toc450809229 \h </w:instrText>
        </w:r>
        <w:r w:rsidR="005334A6">
          <w:rPr>
            <w:noProof/>
            <w:webHidden/>
          </w:rPr>
        </w:r>
        <w:r w:rsidR="005334A6">
          <w:rPr>
            <w:noProof/>
            <w:webHidden/>
          </w:rPr>
          <w:fldChar w:fldCharType="separate"/>
        </w:r>
        <w:r w:rsidR="005334A6">
          <w:rPr>
            <w:noProof/>
            <w:webHidden/>
          </w:rPr>
          <w:t>vi</w:t>
        </w:r>
        <w:r w:rsidR="005334A6">
          <w:rPr>
            <w:noProof/>
            <w:webHidden/>
          </w:rPr>
          <w:fldChar w:fldCharType="end"/>
        </w:r>
      </w:hyperlink>
    </w:p>
    <w:p w14:paraId="455F3618" w14:textId="77777777" w:rsidR="005334A6" w:rsidRDefault="00C54524">
      <w:pPr>
        <w:pStyle w:val="TOC1"/>
        <w:rPr>
          <w:rFonts w:asciiTheme="minorHAnsi" w:eastAsiaTheme="minorEastAsia" w:hAnsiTheme="minorHAnsi" w:cstheme="minorBidi"/>
          <w:noProof/>
          <w:lang w:eastAsia="en-AU"/>
        </w:rPr>
      </w:pPr>
      <w:hyperlink w:anchor="_Toc450809230" w:history="1">
        <w:r w:rsidR="005334A6" w:rsidRPr="00C9596B">
          <w:rPr>
            <w:rStyle w:val="Hyperlink"/>
            <w:noProof/>
          </w:rPr>
          <w:t>Executive Summary</w:t>
        </w:r>
        <w:r w:rsidR="005334A6">
          <w:rPr>
            <w:noProof/>
            <w:webHidden/>
          </w:rPr>
          <w:tab/>
        </w:r>
        <w:r w:rsidR="005334A6">
          <w:rPr>
            <w:noProof/>
            <w:webHidden/>
          </w:rPr>
          <w:fldChar w:fldCharType="begin"/>
        </w:r>
        <w:r w:rsidR="005334A6">
          <w:rPr>
            <w:noProof/>
            <w:webHidden/>
          </w:rPr>
          <w:instrText xml:space="preserve"> PAGEREF _Toc450809230 \h </w:instrText>
        </w:r>
        <w:r w:rsidR="005334A6">
          <w:rPr>
            <w:noProof/>
            <w:webHidden/>
          </w:rPr>
        </w:r>
        <w:r w:rsidR="005334A6">
          <w:rPr>
            <w:noProof/>
            <w:webHidden/>
          </w:rPr>
          <w:fldChar w:fldCharType="separate"/>
        </w:r>
        <w:r w:rsidR="005334A6">
          <w:rPr>
            <w:noProof/>
            <w:webHidden/>
          </w:rPr>
          <w:t>1</w:t>
        </w:r>
        <w:r w:rsidR="005334A6">
          <w:rPr>
            <w:noProof/>
            <w:webHidden/>
          </w:rPr>
          <w:fldChar w:fldCharType="end"/>
        </w:r>
      </w:hyperlink>
    </w:p>
    <w:p w14:paraId="70AB0850" w14:textId="77777777" w:rsidR="005334A6" w:rsidRDefault="00C54524">
      <w:pPr>
        <w:pStyle w:val="TOC1"/>
        <w:rPr>
          <w:rFonts w:asciiTheme="minorHAnsi" w:eastAsiaTheme="minorEastAsia" w:hAnsiTheme="minorHAnsi" w:cstheme="minorBidi"/>
          <w:noProof/>
          <w:lang w:eastAsia="en-AU"/>
        </w:rPr>
      </w:pPr>
      <w:hyperlink w:anchor="_Toc450809231" w:history="1">
        <w:r w:rsidR="005334A6" w:rsidRPr="00C9596B">
          <w:rPr>
            <w:rStyle w:val="Hyperlink"/>
            <w:noProof/>
          </w:rPr>
          <w:t>1</w:t>
        </w:r>
        <w:r w:rsidR="005334A6">
          <w:rPr>
            <w:rFonts w:asciiTheme="minorHAnsi" w:eastAsiaTheme="minorEastAsia" w:hAnsiTheme="minorHAnsi" w:cstheme="minorBidi"/>
            <w:noProof/>
            <w:lang w:eastAsia="en-AU"/>
          </w:rPr>
          <w:tab/>
        </w:r>
        <w:r w:rsidR="005334A6" w:rsidRPr="00C9596B">
          <w:rPr>
            <w:rStyle w:val="Hyperlink"/>
            <w:noProof/>
          </w:rPr>
          <w:t>Introduction</w:t>
        </w:r>
        <w:r w:rsidR="005334A6">
          <w:rPr>
            <w:noProof/>
            <w:webHidden/>
          </w:rPr>
          <w:tab/>
        </w:r>
        <w:r w:rsidR="005334A6">
          <w:rPr>
            <w:noProof/>
            <w:webHidden/>
          </w:rPr>
          <w:fldChar w:fldCharType="begin"/>
        </w:r>
        <w:r w:rsidR="005334A6">
          <w:rPr>
            <w:noProof/>
            <w:webHidden/>
          </w:rPr>
          <w:instrText xml:space="preserve"> PAGEREF _Toc450809231 \h </w:instrText>
        </w:r>
        <w:r w:rsidR="005334A6">
          <w:rPr>
            <w:noProof/>
            <w:webHidden/>
          </w:rPr>
        </w:r>
        <w:r w:rsidR="005334A6">
          <w:rPr>
            <w:noProof/>
            <w:webHidden/>
          </w:rPr>
          <w:fldChar w:fldCharType="separate"/>
        </w:r>
        <w:r w:rsidR="005334A6">
          <w:rPr>
            <w:noProof/>
            <w:webHidden/>
          </w:rPr>
          <w:t>0</w:t>
        </w:r>
        <w:r w:rsidR="005334A6">
          <w:rPr>
            <w:noProof/>
            <w:webHidden/>
          </w:rPr>
          <w:fldChar w:fldCharType="end"/>
        </w:r>
      </w:hyperlink>
    </w:p>
    <w:p w14:paraId="6C6ADDD8" w14:textId="77777777" w:rsidR="005334A6" w:rsidRDefault="00C54524">
      <w:pPr>
        <w:pStyle w:val="TOC1"/>
        <w:rPr>
          <w:rFonts w:asciiTheme="minorHAnsi" w:eastAsiaTheme="minorEastAsia" w:hAnsiTheme="minorHAnsi" w:cstheme="minorBidi"/>
          <w:noProof/>
          <w:lang w:eastAsia="en-AU"/>
        </w:rPr>
      </w:pPr>
      <w:hyperlink w:anchor="_Toc450809232" w:history="1">
        <w:r w:rsidR="005334A6" w:rsidRPr="00C9596B">
          <w:rPr>
            <w:rStyle w:val="Hyperlink"/>
            <w:noProof/>
            <w:lang w:eastAsia="en-AU"/>
          </w:rPr>
          <w:t>2</w:t>
        </w:r>
        <w:r w:rsidR="005334A6">
          <w:rPr>
            <w:rFonts w:asciiTheme="minorHAnsi" w:eastAsiaTheme="minorEastAsia" w:hAnsiTheme="minorHAnsi" w:cstheme="minorBidi"/>
            <w:noProof/>
            <w:lang w:eastAsia="en-AU"/>
          </w:rPr>
          <w:tab/>
        </w:r>
        <w:r w:rsidR="005334A6" w:rsidRPr="00C9596B">
          <w:rPr>
            <w:rStyle w:val="Hyperlink"/>
            <w:noProof/>
            <w:lang w:eastAsia="en-AU"/>
          </w:rPr>
          <w:t>Quantifying the value of international education exports</w:t>
        </w:r>
        <w:r w:rsidR="005334A6">
          <w:rPr>
            <w:noProof/>
            <w:webHidden/>
          </w:rPr>
          <w:tab/>
        </w:r>
        <w:r w:rsidR="005334A6">
          <w:rPr>
            <w:noProof/>
            <w:webHidden/>
          </w:rPr>
          <w:fldChar w:fldCharType="begin"/>
        </w:r>
        <w:r w:rsidR="005334A6">
          <w:rPr>
            <w:noProof/>
            <w:webHidden/>
          </w:rPr>
          <w:instrText xml:space="preserve"> PAGEREF _Toc450809232 \h </w:instrText>
        </w:r>
        <w:r w:rsidR="005334A6">
          <w:rPr>
            <w:noProof/>
            <w:webHidden/>
          </w:rPr>
        </w:r>
        <w:r w:rsidR="005334A6">
          <w:rPr>
            <w:noProof/>
            <w:webHidden/>
          </w:rPr>
          <w:fldChar w:fldCharType="separate"/>
        </w:r>
        <w:r w:rsidR="005334A6">
          <w:rPr>
            <w:noProof/>
            <w:webHidden/>
          </w:rPr>
          <w:t>3</w:t>
        </w:r>
        <w:r w:rsidR="005334A6">
          <w:rPr>
            <w:noProof/>
            <w:webHidden/>
          </w:rPr>
          <w:fldChar w:fldCharType="end"/>
        </w:r>
      </w:hyperlink>
    </w:p>
    <w:p w14:paraId="5ACDA02D" w14:textId="77777777" w:rsidR="005334A6" w:rsidRDefault="00C54524">
      <w:pPr>
        <w:pStyle w:val="TOC2"/>
        <w:rPr>
          <w:rFonts w:asciiTheme="minorHAnsi" w:eastAsiaTheme="minorEastAsia" w:hAnsiTheme="minorHAnsi" w:cstheme="minorBidi"/>
          <w:sz w:val="22"/>
          <w:szCs w:val="22"/>
          <w:lang w:eastAsia="en-AU"/>
        </w:rPr>
      </w:pPr>
      <w:hyperlink w:anchor="_Toc450809233" w:history="1">
        <w:r w:rsidR="005334A6" w:rsidRPr="00C9596B">
          <w:rPr>
            <w:rStyle w:val="Hyperlink"/>
            <w:rFonts w:cs="Arial"/>
            <w:lang w:eastAsia="en-AU"/>
          </w:rPr>
          <w:t>2.1</w:t>
        </w:r>
        <w:r w:rsidR="005334A6">
          <w:rPr>
            <w:rFonts w:asciiTheme="minorHAnsi" w:eastAsiaTheme="minorEastAsia" w:hAnsiTheme="minorHAnsi" w:cstheme="minorBidi"/>
            <w:sz w:val="22"/>
            <w:szCs w:val="22"/>
            <w:lang w:eastAsia="en-AU"/>
          </w:rPr>
          <w:tab/>
        </w:r>
        <w:r w:rsidR="005334A6" w:rsidRPr="00C9596B">
          <w:rPr>
            <w:rStyle w:val="Hyperlink"/>
            <w:lang w:eastAsia="en-AU"/>
          </w:rPr>
          <w:t>How international education is captured by the ABS</w:t>
        </w:r>
        <w:r w:rsidR="005334A6">
          <w:rPr>
            <w:webHidden/>
          </w:rPr>
          <w:tab/>
        </w:r>
        <w:r w:rsidR="005334A6">
          <w:rPr>
            <w:webHidden/>
          </w:rPr>
          <w:fldChar w:fldCharType="begin"/>
        </w:r>
        <w:r w:rsidR="005334A6">
          <w:rPr>
            <w:webHidden/>
          </w:rPr>
          <w:instrText xml:space="preserve"> PAGEREF _Toc450809233 \h </w:instrText>
        </w:r>
        <w:r w:rsidR="005334A6">
          <w:rPr>
            <w:webHidden/>
          </w:rPr>
        </w:r>
        <w:r w:rsidR="005334A6">
          <w:rPr>
            <w:webHidden/>
          </w:rPr>
          <w:fldChar w:fldCharType="separate"/>
        </w:r>
        <w:r w:rsidR="005334A6">
          <w:rPr>
            <w:webHidden/>
          </w:rPr>
          <w:t>3</w:t>
        </w:r>
        <w:r w:rsidR="005334A6">
          <w:rPr>
            <w:webHidden/>
          </w:rPr>
          <w:fldChar w:fldCharType="end"/>
        </w:r>
      </w:hyperlink>
    </w:p>
    <w:p w14:paraId="1D86D02B" w14:textId="77777777" w:rsidR="005334A6" w:rsidRDefault="00C54524">
      <w:pPr>
        <w:pStyle w:val="TOC2"/>
        <w:rPr>
          <w:rFonts w:asciiTheme="minorHAnsi" w:eastAsiaTheme="minorEastAsia" w:hAnsiTheme="minorHAnsi" w:cstheme="minorBidi"/>
          <w:sz w:val="22"/>
          <w:szCs w:val="22"/>
          <w:lang w:eastAsia="en-AU"/>
        </w:rPr>
      </w:pPr>
      <w:hyperlink w:anchor="_Toc450809234" w:history="1">
        <w:r w:rsidR="005334A6" w:rsidRPr="00C9596B">
          <w:rPr>
            <w:rStyle w:val="Hyperlink"/>
            <w:rFonts w:cs="Arial"/>
            <w:lang w:eastAsia="en-AU"/>
          </w:rPr>
          <w:t>2.2</w:t>
        </w:r>
        <w:r w:rsidR="005334A6">
          <w:rPr>
            <w:rFonts w:asciiTheme="minorHAnsi" w:eastAsiaTheme="minorEastAsia" w:hAnsiTheme="minorHAnsi" w:cstheme="minorBidi"/>
            <w:sz w:val="22"/>
            <w:szCs w:val="22"/>
            <w:lang w:eastAsia="en-AU"/>
          </w:rPr>
          <w:tab/>
        </w:r>
        <w:r w:rsidR="005334A6" w:rsidRPr="00C9596B">
          <w:rPr>
            <w:rStyle w:val="Hyperlink"/>
            <w:lang w:eastAsia="en-AU"/>
          </w:rPr>
          <w:t>ELICOS students on non-student visas</w:t>
        </w:r>
        <w:r w:rsidR="005334A6">
          <w:rPr>
            <w:webHidden/>
          </w:rPr>
          <w:tab/>
        </w:r>
        <w:r w:rsidR="005334A6">
          <w:rPr>
            <w:webHidden/>
          </w:rPr>
          <w:fldChar w:fldCharType="begin"/>
        </w:r>
        <w:r w:rsidR="005334A6">
          <w:rPr>
            <w:webHidden/>
          </w:rPr>
          <w:instrText xml:space="preserve"> PAGEREF _Toc450809234 \h </w:instrText>
        </w:r>
        <w:r w:rsidR="005334A6">
          <w:rPr>
            <w:webHidden/>
          </w:rPr>
        </w:r>
        <w:r w:rsidR="005334A6">
          <w:rPr>
            <w:webHidden/>
          </w:rPr>
          <w:fldChar w:fldCharType="separate"/>
        </w:r>
        <w:r w:rsidR="005334A6">
          <w:rPr>
            <w:webHidden/>
          </w:rPr>
          <w:t>5</w:t>
        </w:r>
        <w:r w:rsidR="005334A6">
          <w:rPr>
            <w:webHidden/>
          </w:rPr>
          <w:fldChar w:fldCharType="end"/>
        </w:r>
      </w:hyperlink>
    </w:p>
    <w:p w14:paraId="57ECB1B9" w14:textId="77777777" w:rsidR="005334A6" w:rsidRDefault="00C54524">
      <w:pPr>
        <w:pStyle w:val="TOC2"/>
        <w:rPr>
          <w:rFonts w:asciiTheme="minorHAnsi" w:eastAsiaTheme="minorEastAsia" w:hAnsiTheme="minorHAnsi" w:cstheme="minorBidi"/>
          <w:sz w:val="22"/>
          <w:szCs w:val="22"/>
          <w:lang w:eastAsia="en-AU"/>
        </w:rPr>
      </w:pPr>
      <w:hyperlink w:anchor="_Toc450809235" w:history="1">
        <w:r w:rsidR="005334A6" w:rsidRPr="00C9596B">
          <w:rPr>
            <w:rStyle w:val="Hyperlink"/>
            <w:rFonts w:cs="Arial"/>
            <w:lang w:eastAsia="en-AU"/>
          </w:rPr>
          <w:t>2.3</w:t>
        </w:r>
        <w:r w:rsidR="005334A6">
          <w:rPr>
            <w:rFonts w:asciiTheme="minorHAnsi" w:eastAsiaTheme="minorEastAsia" w:hAnsiTheme="minorHAnsi" w:cstheme="minorBidi"/>
            <w:sz w:val="22"/>
            <w:szCs w:val="22"/>
            <w:lang w:eastAsia="en-AU"/>
          </w:rPr>
          <w:tab/>
        </w:r>
        <w:r w:rsidR="005334A6" w:rsidRPr="00C9596B">
          <w:rPr>
            <w:rStyle w:val="Hyperlink"/>
            <w:lang w:eastAsia="en-AU"/>
          </w:rPr>
          <w:t>Offshore revenue</w:t>
        </w:r>
        <w:r w:rsidR="005334A6">
          <w:rPr>
            <w:webHidden/>
          </w:rPr>
          <w:tab/>
        </w:r>
        <w:r w:rsidR="005334A6">
          <w:rPr>
            <w:webHidden/>
          </w:rPr>
          <w:fldChar w:fldCharType="begin"/>
        </w:r>
        <w:r w:rsidR="005334A6">
          <w:rPr>
            <w:webHidden/>
          </w:rPr>
          <w:instrText xml:space="preserve"> PAGEREF _Toc450809235 \h </w:instrText>
        </w:r>
        <w:r w:rsidR="005334A6">
          <w:rPr>
            <w:webHidden/>
          </w:rPr>
        </w:r>
        <w:r w:rsidR="005334A6">
          <w:rPr>
            <w:webHidden/>
          </w:rPr>
          <w:fldChar w:fldCharType="separate"/>
        </w:r>
        <w:r w:rsidR="005334A6">
          <w:rPr>
            <w:webHidden/>
          </w:rPr>
          <w:t>10</w:t>
        </w:r>
        <w:r w:rsidR="005334A6">
          <w:rPr>
            <w:webHidden/>
          </w:rPr>
          <w:fldChar w:fldCharType="end"/>
        </w:r>
      </w:hyperlink>
    </w:p>
    <w:p w14:paraId="2E6AF793" w14:textId="77777777" w:rsidR="005334A6" w:rsidRDefault="00C54524">
      <w:pPr>
        <w:pStyle w:val="TOC1"/>
        <w:rPr>
          <w:rFonts w:asciiTheme="minorHAnsi" w:eastAsiaTheme="minorEastAsia" w:hAnsiTheme="minorHAnsi" w:cstheme="minorBidi"/>
          <w:noProof/>
          <w:lang w:eastAsia="en-AU"/>
        </w:rPr>
      </w:pPr>
      <w:hyperlink w:anchor="_Toc450809236" w:history="1">
        <w:r w:rsidR="005334A6" w:rsidRPr="00C9596B">
          <w:rPr>
            <w:rStyle w:val="Hyperlink"/>
            <w:noProof/>
            <w:lang w:eastAsia="en-AU"/>
          </w:rPr>
          <w:t>3</w:t>
        </w:r>
        <w:r w:rsidR="005334A6">
          <w:rPr>
            <w:rFonts w:asciiTheme="minorHAnsi" w:eastAsiaTheme="minorEastAsia" w:hAnsiTheme="minorHAnsi" w:cstheme="minorBidi"/>
            <w:noProof/>
            <w:lang w:eastAsia="en-AU"/>
          </w:rPr>
          <w:tab/>
        </w:r>
        <w:r w:rsidR="005334A6" w:rsidRPr="00C9596B">
          <w:rPr>
            <w:rStyle w:val="Hyperlink"/>
            <w:noProof/>
            <w:lang w:eastAsia="en-AU"/>
          </w:rPr>
          <w:t>The economic contribution of international education</w:t>
        </w:r>
        <w:r w:rsidR="005334A6">
          <w:rPr>
            <w:noProof/>
            <w:webHidden/>
          </w:rPr>
          <w:tab/>
        </w:r>
        <w:r w:rsidR="005334A6">
          <w:rPr>
            <w:noProof/>
            <w:webHidden/>
          </w:rPr>
          <w:fldChar w:fldCharType="begin"/>
        </w:r>
        <w:r w:rsidR="005334A6">
          <w:rPr>
            <w:noProof/>
            <w:webHidden/>
          </w:rPr>
          <w:instrText xml:space="preserve"> PAGEREF _Toc450809236 \h </w:instrText>
        </w:r>
        <w:r w:rsidR="005334A6">
          <w:rPr>
            <w:noProof/>
            <w:webHidden/>
          </w:rPr>
        </w:r>
        <w:r w:rsidR="005334A6">
          <w:rPr>
            <w:noProof/>
            <w:webHidden/>
          </w:rPr>
          <w:fldChar w:fldCharType="separate"/>
        </w:r>
        <w:r w:rsidR="005334A6">
          <w:rPr>
            <w:noProof/>
            <w:webHidden/>
          </w:rPr>
          <w:t>17</w:t>
        </w:r>
        <w:r w:rsidR="005334A6">
          <w:rPr>
            <w:noProof/>
            <w:webHidden/>
          </w:rPr>
          <w:fldChar w:fldCharType="end"/>
        </w:r>
      </w:hyperlink>
    </w:p>
    <w:p w14:paraId="58A8956C" w14:textId="77777777" w:rsidR="005334A6" w:rsidRDefault="00C54524">
      <w:pPr>
        <w:pStyle w:val="TOC2"/>
        <w:rPr>
          <w:rFonts w:asciiTheme="minorHAnsi" w:eastAsiaTheme="minorEastAsia" w:hAnsiTheme="minorHAnsi" w:cstheme="minorBidi"/>
          <w:sz w:val="22"/>
          <w:szCs w:val="22"/>
          <w:lang w:eastAsia="en-AU"/>
        </w:rPr>
      </w:pPr>
      <w:hyperlink w:anchor="_Toc450809237" w:history="1">
        <w:r w:rsidR="005334A6" w:rsidRPr="00C9596B">
          <w:rPr>
            <w:rStyle w:val="Hyperlink"/>
            <w:rFonts w:cs="Arial"/>
            <w:lang w:eastAsia="en-AU"/>
          </w:rPr>
          <w:t>3.1</w:t>
        </w:r>
        <w:r w:rsidR="005334A6">
          <w:rPr>
            <w:rFonts w:asciiTheme="minorHAnsi" w:eastAsiaTheme="minorEastAsia" w:hAnsiTheme="minorHAnsi" w:cstheme="minorBidi"/>
            <w:sz w:val="22"/>
            <w:szCs w:val="22"/>
            <w:lang w:eastAsia="en-AU"/>
          </w:rPr>
          <w:tab/>
        </w:r>
        <w:r w:rsidR="005334A6" w:rsidRPr="00C9596B">
          <w:rPr>
            <w:rStyle w:val="Hyperlink"/>
            <w:lang w:eastAsia="en-AU"/>
          </w:rPr>
          <w:t>Contribution by mode of delivery</w:t>
        </w:r>
        <w:r w:rsidR="005334A6">
          <w:rPr>
            <w:webHidden/>
          </w:rPr>
          <w:tab/>
        </w:r>
        <w:r w:rsidR="005334A6">
          <w:rPr>
            <w:webHidden/>
          </w:rPr>
          <w:fldChar w:fldCharType="begin"/>
        </w:r>
        <w:r w:rsidR="005334A6">
          <w:rPr>
            <w:webHidden/>
          </w:rPr>
          <w:instrText xml:space="preserve"> PAGEREF _Toc450809237 \h </w:instrText>
        </w:r>
        <w:r w:rsidR="005334A6">
          <w:rPr>
            <w:webHidden/>
          </w:rPr>
        </w:r>
        <w:r w:rsidR="005334A6">
          <w:rPr>
            <w:webHidden/>
          </w:rPr>
          <w:fldChar w:fldCharType="separate"/>
        </w:r>
        <w:r w:rsidR="005334A6">
          <w:rPr>
            <w:webHidden/>
          </w:rPr>
          <w:t>18</w:t>
        </w:r>
        <w:r w:rsidR="005334A6">
          <w:rPr>
            <w:webHidden/>
          </w:rPr>
          <w:fldChar w:fldCharType="end"/>
        </w:r>
      </w:hyperlink>
    </w:p>
    <w:p w14:paraId="567933F6" w14:textId="77777777" w:rsidR="005334A6" w:rsidRDefault="00C54524">
      <w:pPr>
        <w:pStyle w:val="TOC2"/>
        <w:rPr>
          <w:rFonts w:asciiTheme="minorHAnsi" w:eastAsiaTheme="minorEastAsia" w:hAnsiTheme="minorHAnsi" w:cstheme="minorBidi"/>
          <w:sz w:val="22"/>
          <w:szCs w:val="22"/>
          <w:lang w:eastAsia="en-AU"/>
        </w:rPr>
      </w:pPr>
      <w:hyperlink w:anchor="_Toc450809238" w:history="1">
        <w:r w:rsidR="005334A6" w:rsidRPr="00C9596B">
          <w:rPr>
            <w:rStyle w:val="Hyperlink"/>
            <w:rFonts w:cs="Arial"/>
          </w:rPr>
          <w:t>3.2</w:t>
        </w:r>
        <w:r w:rsidR="005334A6">
          <w:rPr>
            <w:rFonts w:asciiTheme="minorHAnsi" w:eastAsiaTheme="minorEastAsia" w:hAnsiTheme="minorHAnsi" w:cstheme="minorBidi"/>
            <w:sz w:val="22"/>
            <w:szCs w:val="22"/>
            <w:lang w:eastAsia="en-AU"/>
          </w:rPr>
          <w:tab/>
        </w:r>
        <w:r w:rsidR="005334A6" w:rsidRPr="00C9596B">
          <w:rPr>
            <w:rStyle w:val="Hyperlink"/>
          </w:rPr>
          <w:t>Contribution by sector</w:t>
        </w:r>
        <w:r w:rsidR="005334A6">
          <w:rPr>
            <w:webHidden/>
          </w:rPr>
          <w:tab/>
        </w:r>
        <w:r w:rsidR="005334A6">
          <w:rPr>
            <w:webHidden/>
          </w:rPr>
          <w:fldChar w:fldCharType="begin"/>
        </w:r>
        <w:r w:rsidR="005334A6">
          <w:rPr>
            <w:webHidden/>
          </w:rPr>
          <w:instrText xml:space="preserve"> PAGEREF _Toc450809238 \h </w:instrText>
        </w:r>
        <w:r w:rsidR="005334A6">
          <w:rPr>
            <w:webHidden/>
          </w:rPr>
        </w:r>
        <w:r w:rsidR="005334A6">
          <w:rPr>
            <w:webHidden/>
          </w:rPr>
          <w:fldChar w:fldCharType="separate"/>
        </w:r>
        <w:r w:rsidR="005334A6">
          <w:rPr>
            <w:webHidden/>
          </w:rPr>
          <w:t>21</w:t>
        </w:r>
        <w:r w:rsidR="005334A6">
          <w:rPr>
            <w:webHidden/>
          </w:rPr>
          <w:fldChar w:fldCharType="end"/>
        </w:r>
      </w:hyperlink>
    </w:p>
    <w:p w14:paraId="02CB5B82" w14:textId="77777777" w:rsidR="005334A6" w:rsidRDefault="00C54524">
      <w:pPr>
        <w:pStyle w:val="TOC2"/>
        <w:rPr>
          <w:rFonts w:asciiTheme="minorHAnsi" w:eastAsiaTheme="minorEastAsia" w:hAnsiTheme="minorHAnsi" w:cstheme="minorBidi"/>
          <w:sz w:val="22"/>
          <w:szCs w:val="22"/>
          <w:lang w:eastAsia="en-AU"/>
        </w:rPr>
      </w:pPr>
      <w:hyperlink w:anchor="_Toc450809239" w:history="1">
        <w:r w:rsidR="005334A6" w:rsidRPr="00C9596B">
          <w:rPr>
            <w:rStyle w:val="Hyperlink"/>
            <w:rFonts w:cs="Arial"/>
          </w:rPr>
          <w:t>3.3</w:t>
        </w:r>
        <w:r w:rsidR="005334A6">
          <w:rPr>
            <w:rFonts w:asciiTheme="minorHAnsi" w:eastAsiaTheme="minorEastAsia" w:hAnsiTheme="minorHAnsi" w:cstheme="minorBidi"/>
            <w:sz w:val="22"/>
            <w:szCs w:val="22"/>
            <w:lang w:eastAsia="en-AU"/>
          </w:rPr>
          <w:tab/>
        </w:r>
        <w:r w:rsidR="005334A6" w:rsidRPr="00C9596B">
          <w:rPr>
            <w:rStyle w:val="Hyperlink"/>
          </w:rPr>
          <w:t>Industries best placed to leverage off future growth in international education</w:t>
        </w:r>
        <w:r w:rsidR="005334A6">
          <w:rPr>
            <w:webHidden/>
          </w:rPr>
          <w:tab/>
        </w:r>
        <w:r w:rsidR="005334A6">
          <w:rPr>
            <w:webHidden/>
          </w:rPr>
          <w:fldChar w:fldCharType="begin"/>
        </w:r>
        <w:r w:rsidR="005334A6">
          <w:rPr>
            <w:webHidden/>
          </w:rPr>
          <w:instrText xml:space="preserve"> PAGEREF _Toc450809239 \h </w:instrText>
        </w:r>
        <w:r w:rsidR="005334A6">
          <w:rPr>
            <w:webHidden/>
          </w:rPr>
        </w:r>
        <w:r w:rsidR="005334A6">
          <w:rPr>
            <w:webHidden/>
          </w:rPr>
          <w:fldChar w:fldCharType="separate"/>
        </w:r>
        <w:r w:rsidR="005334A6">
          <w:rPr>
            <w:webHidden/>
          </w:rPr>
          <w:t>23</w:t>
        </w:r>
        <w:r w:rsidR="005334A6">
          <w:rPr>
            <w:webHidden/>
          </w:rPr>
          <w:fldChar w:fldCharType="end"/>
        </w:r>
      </w:hyperlink>
    </w:p>
    <w:p w14:paraId="4E82365C" w14:textId="77777777" w:rsidR="005334A6" w:rsidRDefault="00C54524">
      <w:pPr>
        <w:pStyle w:val="TOC1"/>
        <w:rPr>
          <w:rFonts w:asciiTheme="minorHAnsi" w:eastAsiaTheme="minorEastAsia" w:hAnsiTheme="minorHAnsi" w:cstheme="minorBidi"/>
          <w:noProof/>
          <w:lang w:eastAsia="en-AU"/>
        </w:rPr>
      </w:pPr>
      <w:hyperlink w:anchor="_Toc450809240" w:history="1">
        <w:r w:rsidR="005334A6" w:rsidRPr="00C9596B">
          <w:rPr>
            <w:rStyle w:val="Hyperlink"/>
            <w:noProof/>
            <w:lang w:eastAsia="en-AU"/>
          </w:rPr>
          <w:t>4</w:t>
        </w:r>
        <w:r w:rsidR="005334A6">
          <w:rPr>
            <w:rFonts w:asciiTheme="minorHAnsi" w:eastAsiaTheme="minorEastAsia" w:hAnsiTheme="minorHAnsi" w:cstheme="minorBidi"/>
            <w:noProof/>
            <w:lang w:eastAsia="en-AU"/>
          </w:rPr>
          <w:tab/>
        </w:r>
        <w:r w:rsidR="005334A6" w:rsidRPr="00C9596B">
          <w:rPr>
            <w:rStyle w:val="Hyperlink"/>
            <w:noProof/>
            <w:lang w:eastAsia="en-AU"/>
          </w:rPr>
          <w:t>The regional contribution of international education</w:t>
        </w:r>
        <w:r w:rsidR="005334A6">
          <w:rPr>
            <w:noProof/>
            <w:webHidden/>
          </w:rPr>
          <w:tab/>
        </w:r>
        <w:r w:rsidR="005334A6">
          <w:rPr>
            <w:noProof/>
            <w:webHidden/>
          </w:rPr>
          <w:fldChar w:fldCharType="begin"/>
        </w:r>
        <w:r w:rsidR="005334A6">
          <w:rPr>
            <w:noProof/>
            <w:webHidden/>
          </w:rPr>
          <w:instrText xml:space="preserve"> PAGEREF _Toc450809240 \h </w:instrText>
        </w:r>
        <w:r w:rsidR="005334A6">
          <w:rPr>
            <w:noProof/>
            <w:webHidden/>
          </w:rPr>
        </w:r>
        <w:r w:rsidR="005334A6">
          <w:rPr>
            <w:noProof/>
            <w:webHidden/>
          </w:rPr>
          <w:fldChar w:fldCharType="separate"/>
        </w:r>
        <w:r w:rsidR="005334A6">
          <w:rPr>
            <w:noProof/>
            <w:webHidden/>
          </w:rPr>
          <w:t>28</w:t>
        </w:r>
        <w:r w:rsidR="005334A6">
          <w:rPr>
            <w:noProof/>
            <w:webHidden/>
          </w:rPr>
          <w:fldChar w:fldCharType="end"/>
        </w:r>
      </w:hyperlink>
    </w:p>
    <w:p w14:paraId="746C40BC" w14:textId="77777777" w:rsidR="005334A6" w:rsidRDefault="00C54524">
      <w:pPr>
        <w:pStyle w:val="TOC2"/>
        <w:rPr>
          <w:rFonts w:asciiTheme="minorHAnsi" w:eastAsiaTheme="minorEastAsia" w:hAnsiTheme="minorHAnsi" w:cstheme="minorBidi"/>
          <w:sz w:val="22"/>
          <w:szCs w:val="22"/>
          <w:lang w:eastAsia="en-AU"/>
        </w:rPr>
      </w:pPr>
      <w:hyperlink w:anchor="_Toc450809241" w:history="1">
        <w:r w:rsidR="005334A6" w:rsidRPr="00C9596B">
          <w:rPr>
            <w:rStyle w:val="Hyperlink"/>
            <w:rFonts w:cs="Arial"/>
            <w:lang w:eastAsia="en-AU"/>
          </w:rPr>
          <w:t>4.1</w:t>
        </w:r>
        <w:r w:rsidR="005334A6">
          <w:rPr>
            <w:rFonts w:asciiTheme="minorHAnsi" w:eastAsiaTheme="minorEastAsia" w:hAnsiTheme="minorHAnsi" w:cstheme="minorBidi"/>
            <w:sz w:val="22"/>
            <w:szCs w:val="22"/>
            <w:lang w:eastAsia="en-AU"/>
          </w:rPr>
          <w:tab/>
        </w:r>
        <w:r w:rsidR="005334A6" w:rsidRPr="00C9596B">
          <w:rPr>
            <w:rStyle w:val="Hyperlink"/>
            <w:lang w:eastAsia="en-AU"/>
          </w:rPr>
          <w:t>Contribution by state</w:t>
        </w:r>
        <w:r w:rsidR="005334A6">
          <w:rPr>
            <w:webHidden/>
          </w:rPr>
          <w:tab/>
        </w:r>
        <w:r w:rsidR="005334A6">
          <w:rPr>
            <w:webHidden/>
          </w:rPr>
          <w:fldChar w:fldCharType="begin"/>
        </w:r>
        <w:r w:rsidR="005334A6">
          <w:rPr>
            <w:webHidden/>
          </w:rPr>
          <w:instrText xml:space="preserve"> PAGEREF _Toc450809241 \h </w:instrText>
        </w:r>
        <w:r w:rsidR="005334A6">
          <w:rPr>
            <w:webHidden/>
          </w:rPr>
        </w:r>
        <w:r w:rsidR="005334A6">
          <w:rPr>
            <w:webHidden/>
          </w:rPr>
          <w:fldChar w:fldCharType="separate"/>
        </w:r>
        <w:r w:rsidR="005334A6">
          <w:rPr>
            <w:webHidden/>
          </w:rPr>
          <w:t>28</w:t>
        </w:r>
        <w:r w:rsidR="005334A6">
          <w:rPr>
            <w:webHidden/>
          </w:rPr>
          <w:fldChar w:fldCharType="end"/>
        </w:r>
      </w:hyperlink>
    </w:p>
    <w:p w14:paraId="77FC70EB" w14:textId="77777777" w:rsidR="005334A6" w:rsidRDefault="00C54524">
      <w:pPr>
        <w:pStyle w:val="TOC2"/>
        <w:rPr>
          <w:rFonts w:asciiTheme="minorHAnsi" w:eastAsiaTheme="minorEastAsia" w:hAnsiTheme="minorHAnsi" w:cstheme="minorBidi"/>
          <w:sz w:val="22"/>
          <w:szCs w:val="22"/>
          <w:lang w:eastAsia="en-AU"/>
        </w:rPr>
      </w:pPr>
      <w:hyperlink w:anchor="_Toc450809242" w:history="1">
        <w:r w:rsidR="005334A6" w:rsidRPr="00C9596B">
          <w:rPr>
            <w:rStyle w:val="Hyperlink"/>
            <w:rFonts w:cs="Arial"/>
            <w:lang w:eastAsia="en-AU"/>
          </w:rPr>
          <w:t>4.2</w:t>
        </w:r>
        <w:r w:rsidR="005334A6">
          <w:rPr>
            <w:rFonts w:asciiTheme="minorHAnsi" w:eastAsiaTheme="minorEastAsia" w:hAnsiTheme="minorHAnsi" w:cstheme="minorBidi"/>
            <w:sz w:val="22"/>
            <w:szCs w:val="22"/>
            <w:lang w:eastAsia="en-AU"/>
          </w:rPr>
          <w:tab/>
        </w:r>
        <w:r w:rsidR="005334A6" w:rsidRPr="00C9596B">
          <w:rPr>
            <w:rStyle w:val="Hyperlink"/>
            <w:lang w:eastAsia="en-AU"/>
          </w:rPr>
          <w:t>Regional distribution of international students</w:t>
        </w:r>
        <w:r w:rsidR="005334A6">
          <w:rPr>
            <w:webHidden/>
          </w:rPr>
          <w:tab/>
        </w:r>
        <w:r w:rsidR="005334A6">
          <w:rPr>
            <w:webHidden/>
          </w:rPr>
          <w:fldChar w:fldCharType="begin"/>
        </w:r>
        <w:r w:rsidR="005334A6">
          <w:rPr>
            <w:webHidden/>
          </w:rPr>
          <w:instrText xml:space="preserve"> PAGEREF _Toc450809242 \h </w:instrText>
        </w:r>
        <w:r w:rsidR="005334A6">
          <w:rPr>
            <w:webHidden/>
          </w:rPr>
        </w:r>
        <w:r w:rsidR="005334A6">
          <w:rPr>
            <w:webHidden/>
          </w:rPr>
          <w:fldChar w:fldCharType="separate"/>
        </w:r>
        <w:r w:rsidR="005334A6">
          <w:rPr>
            <w:webHidden/>
          </w:rPr>
          <w:t>30</w:t>
        </w:r>
        <w:r w:rsidR="005334A6">
          <w:rPr>
            <w:webHidden/>
          </w:rPr>
          <w:fldChar w:fldCharType="end"/>
        </w:r>
      </w:hyperlink>
    </w:p>
    <w:p w14:paraId="2A84D4B1" w14:textId="77777777" w:rsidR="005334A6" w:rsidRDefault="00C54524">
      <w:pPr>
        <w:pStyle w:val="TOC2"/>
        <w:rPr>
          <w:rFonts w:asciiTheme="minorHAnsi" w:eastAsiaTheme="minorEastAsia" w:hAnsiTheme="minorHAnsi" w:cstheme="minorBidi"/>
          <w:sz w:val="22"/>
          <w:szCs w:val="22"/>
          <w:lang w:eastAsia="en-AU"/>
        </w:rPr>
      </w:pPr>
      <w:hyperlink w:anchor="_Toc450809243" w:history="1">
        <w:r w:rsidR="005334A6" w:rsidRPr="00C9596B">
          <w:rPr>
            <w:rStyle w:val="Hyperlink"/>
            <w:rFonts w:cs="Arial"/>
            <w:lang w:eastAsia="en-AU"/>
          </w:rPr>
          <w:t>4.3</w:t>
        </w:r>
        <w:r w:rsidR="005334A6">
          <w:rPr>
            <w:rFonts w:asciiTheme="minorHAnsi" w:eastAsiaTheme="minorEastAsia" w:hAnsiTheme="minorHAnsi" w:cstheme="minorBidi"/>
            <w:sz w:val="22"/>
            <w:szCs w:val="22"/>
            <w:lang w:eastAsia="en-AU"/>
          </w:rPr>
          <w:tab/>
        </w:r>
        <w:r w:rsidR="005334A6" w:rsidRPr="00C9596B">
          <w:rPr>
            <w:rStyle w:val="Hyperlink"/>
            <w:lang w:eastAsia="en-AU"/>
          </w:rPr>
          <w:t>Impact of international education on regional areas</w:t>
        </w:r>
        <w:r w:rsidR="005334A6">
          <w:rPr>
            <w:webHidden/>
          </w:rPr>
          <w:tab/>
        </w:r>
        <w:r w:rsidR="005334A6">
          <w:rPr>
            <w:webHidden/>
          </w:rPr>
          <w:fldChar w:fldCharType="begin"/>
        </w:r>
        <w:r w:rsidR="005334A6">
          <w:rPr>
            <w:webHidden/>
          </w:rPr>
          <w:instrText xml:space="preserve"> PAGEREF _Toc450809243 \h </w:instrText>
        </w:r>
        <w:r w:rsidR="005334A6">
          <w:rPr>
            <w:webHidden/>
          </w:rPr>
        </w:r>
        <w:r w:rsidR="005334A6">
          <w:rPr>
            <w:webHidden/>
          </w:rPr>
          <w:fldChar w:fldCharType="separate"/>
        </w:r>
        <w:r w:rsidR="005334A6">
          <w:rPr>
            <w:webHidden/>
          </w:rPr>
          <w:t>33</w:t>
        </w:r>
        <w:r w:rsidR="005334A6">
          <w:rPr>
            <w:webHidden/>
          </w:rPr>
          <w:fldChar w:fldCharType="end"/>
        </w:r>
      </w:hyperlink>
    </w:p>
    <w:p w14:paraId="44E064BD" w14:textId="77777777" w:rsidR="005334A6" w:rsidRDefault="00C54524">
      <w:pPr>
        <w:pStyle w:val="TOC1"/>
        <w:rPr>
          <w:rFonts w:asciiTheme="minorHAnsi" w:eastAsiaTheme="minorEastAsia" w:hAnsiTheme="minorHAnsi" w:cstheme="minorBidi"/>
          <w:noProof/>
          <w:lang w:eastAsia="en-AU"/>
        </w:rPr>
      </w:pPr>
      <w:hyperlink w:anchor="_Toc450809244" w:history="1">
        <w:r w:rsidR="005334A6" w:rsidRPr="00C9596B">
          <w:rPr>
            <w:rStyle w:val="Hyperlink"/>
            <w:noProof/>
            <w:lang w:eastAsia="en-AU"/>
          </w:rPr>
          <w:t>5</w:t>
        </w:r>
        <w:r w:rsidR="005334A6">
          <w:rPr>
            <w:rFonts w:asciiTheme="minorHAnsi" w:eastAsiaTheme="minorEastAsia" w:hAnsiTheme="minorHAnsi" w:cstheme="minorBidi"/>
            <w:noProof/>
            <w:lang w:eastAsia="en-AU"/>
          </w:rPr>
          <w:tab/>
        </w:r>
        <w:r w:rsidR="005334A6" w:rsidRPr="00C9596B">
          <w:rPr>
            <w:rStyle w:val="Hyperlink"/>
            <w:noProof/>
            <w:lang w:eastAsia="en-AU"/>
          </w:rPr>
          <w:t>Flow-on effects: visiting friends and relatives</w:t>
        </w:r>
        <w:r w:rsidR="005334A6">
          <w:rPr>
            <w:noProof/>
            <w:webHidden/>
          </w:rPr>
          <w:tab/>
        </w:r>
        <w:r w:rsidR="005334A6">
          <w:rPr>
            <w:noProof/>
            <w:webHidden/>
          </w:rPr>
          <w:fldChar w:fldCharType="begin"/>
        </w:r>
        <w:r w:rsidR="005334A6">
          <w:rPr>
            <w:noProof/>
            <w:webHidden/>
          </w:rPr>
          <w:instrText xml:space="preserve"> PAGEREF _Toc450809244 \h </w:instrText>
        </w:r>
        <w:r w:rsidR="005334A6">
          <w:rPr>
            <w:noProof/>
            <w:webHidden/>
          </w:rPr>
        </w:r>
        <w:r w:rsidR="005334A6">
          <w:rPr>
            <w:noProof/>
            <w:webHidden/>
          </w:rPr>
          <w:fldChar w:fldCharType="separate"/>
        </w:r>
        <w:r w:rsidR="005334A6">
          <w:rPr>
            <w:noProof/>
            <w:webHidden/>
          </w:rPr>
          <w:t>37</w:t>
        </w:r>
        <w:r w:rsidR="005334A6">
          <w:rPr>
            <w:noProof/>
            <w:webHidden/>
          </w:rPr>
          <w:fldChar w:fldCharType="end"/>
        </w:r>
      </w:hyperlink>
    </w:p>
    <w:p w14:paraId="6F8589B6" w14:textId="77777777" w:rsidR="005334A6" w:rsidRDefault="00C54524">
      <w:pPr>
        <w:pStyle w:val="TOC2"/>
        <w:rPr>
          <w:rFonts w:asciiTheme="minorHAnsi" w:eastAsiaTheme="minorEastAsia" w:hAnsiTheme="minorHAnsi" w:cstheme="minorBidi"/>
          <w:sz w:val="22"/>
          <w:szCs w:val="22"/>
          <w:lang w:eastAsia="en-AU"/>
        </w:rPr>
      </w:pPr>
      <w:hyperlink w:anchor="_Toc450809245" w:history="1">
        <w:r w:rsidR="005334A6" w:rsidRPr="00C9596B">
          <w:rPr>
            <w:rStyle w:val="Hyperlink"/>
            <w:rFonts w:cs="Arial"/>
          </w:rPr>
          <w:t>5.1</w:t>
        </w:r>
        <w:r w:rsidR="005334A6">
          <w:rPr>
            <w:rFonts w:asciiTheme="minorHAnsi" w:eastAsiaTheme="minorEastAsia" w:hAnsiTheme="minorHAnsi" w:cstheme="minorBidi"/>
            <w:sz w:val="22"/>
            <w:szCs w:val="22"/>
            <w:lang w:eastAsia="en-AU"/>
          </w:rPr>
          <w:tab/>
        </w:r>
        <w:r w:rsidR="005334A6" w:rsidRPr="00C9596B">
          <w:rPr>
            <w:rStyle w:val="Hyperlink"/>
          </w:rPr>
          <w:t>Quantifying the links between international students and visiting friends and relatives</w:t>
        </w:r>
        <w:r w:rsidR="005334A6">
          <w:rPr>
            <w:webHidden/>
          </w:rPr>
          <w:tab/>
        </w:r>
        <w:r w:rsidR="005334A6">
          <w:rPr>
            <w:webHidden/>
          </w:rPr>
          <w:fldChar w:fldCharType="begin"/>
        </w:r>
        <w:r w:rsidR="005334A6">
          <w:rPr>
            <w:webHidden/>
          </w:rPr>
          <w:instrText xml:space="preserve"> PAGEREF _Toc450809245 \h </w:instrText>
        </w:r>
        <w:r w:rsidR="005334A6">
          <w:rPr>
            <w:webHidden/>
          </w:rPr>
        </w:r>
        <w:r w:rsidR="005334A6">
          <w:rPr>
            <w:webHidden/>
          </w:rPr>
          <w:fldChar w:fldCharType="separate"/>
        </w:r>
        <w:r w:rsidR="005334A6">
          <w:rPr>
            <w:webHidden/>
          </w:rPr>
          <w:t>37</w:t>
        </w:r>
        <w:r w:rsidR="005334A6">
          <w:rPr>
            <w:webHidden/>
          </w:rPr>
          <w:fldChar w:fldCharType="end"/>
        </w:r>
      </w:hyperlink>
    </w:p>
    <w:p w14:paraId="71011043" w14:textId="77777777" w:rsidR="005334A6" w:rsidRDefault="00C54524">
      <w:pPr>
        <w:pStyle w:val="TOC2"/>
        <w:rPr>
          <w:rFonts w:asciiTheme="minorHAnsi" w:eastAsiaTheme="minorEastAsia" w:hAnsiTheme="minorHAnsi" w:cstheme="minorBidi"/>
          <w:sz w:val="22"/>
          <w:szCs w:val="22"/>
          <w:lang w:eastAsia="en-AU"/>
        </w:rPr>
      </w:pPr>
      <w:hyperlink w:anchor="_Toc450809246" w:history="1">
        <w:r w:rsidR="005334A6" w:rsidRPr="00C9596B">
          <w:rPr>
            <w:rStyle w:val="Hyperlink"/>
            <w:rFonts w:cs="Arial"/>
          </w:rPr>
          <w:t>5.2</w:t>
        </w:r>
        <w:r w:rsidR="005334A6">
          <w:rPr>
            <w:rFonts w:asciiTheme="minorHAnsi" w:eastAsiaTheme="minorEastAsia" w:hAnsiTheme="minorHAnsi" w:cstheme="minorBidi"/>
            <w:sz w:val="22"/>
            <w:szCs w:val="22"/>
            <w:lang w:eastAsia="en-AU"/>
          </w:rPr>
          <w:tab/>
        </w:r>
        <w:r w:rsidR="005334A6" w:rsidRPr="00C9596B">
          <w:rPr>
            <w:rStyle w:val="Hyperlink"/>
          </w:rPr>
          <w:t>The economic contribution of visiting friends and relatives</w:t>
        </w:r>
        <w:r w:rsidR="005334A6">
          <w:rPr>
            <w:webHidden/>
          </w:rPr>
          <w:tab/>
        </w:r>
        <w:r w:rsidR="005334A6">
          <w:rPr>
            <w:webHidden/>
          </w:rPr>
          <w:fldChar w:fldCharType="begin"/>
        </w:r>
        <w:r w:rsidR="005334A6">
          <w:rPr>
            <w:webHidden/>
          </w:rPr>
          <w:instrText xml:space="preserve"> PAGEREF _Toc450809246 \h </w:instrText>
        </w:r>
        <w:r w:rsidR="005334A6">
          <w:rPr>
            <w:webHidden/>
          </w:rPr>
        </w:r>
        <w:r w:rsidR="005334A6">
          <w:rPr>
            <w:webHidden/>
          </w:rPr>
          <w:fldChar w:fldCharType="separate"/>
        </w:r>
        <w:r w:rsidR="005334A6">
          <w:rPr>
            <w:webHidden/>
          </w:rPr>
          <w:t>39</w:t>
        </w:r>
        <w:r w:rsidR="005334A6">
          <w:rPr>
            <w:webHidden/>
          </w:rPr>
          <w:fldChar w:fldCharType="end"/>
        </w:r>
      </w:hyperlink>
    </w:p>
    <w:p w14:paraId="50D9D200" w14:textId="77777777" w:rsidR="005334A6" w:rsidRDefault="00C54524">
      <w:pPr>
        <w:pStyle w:val="TOC1"/>
        <w:rPr>
          <w:rFonts w:asciiTheme="minorHAnsi" w:eastAsiaTheme="minorEastAsia" w:hAnsiTheme="minorHAnsi" w:cstheme="minorBidi"/>
          <w:noProof/>
          <w:lang w:eastAsia="en-AU"/>
        </w:rPr>
      </w:pPr>
      <w:hyperlink w:anchor="_Toc450809247" w:history="1">
        <w:r w:rsidR="005334A6" w:rsidRPr="00C9596B">
          <w:rPr>
            <w:rStyle w:val="Hyperlink"/>
            <w:noProof/>
            <w:lang w:eastAsia="en-AU"/>
          </w:rPr>
          <w:t>6</w:t>
        </w:r>
        <w:r w:rsidR="005334A6">
          <w:rPr>
            <w:rFonts w:asciiTheme="minorHAnsi" w:eastAsiaTheme="minorEastAsia" w:hAnsiTheme="minorHAnsi" w:cstheme="minorBidi"/>
            <w:noProof/>
            <w:lang w:eastAsia="en-AU"/>
          </w:rPr>
          <w:tab/>
        </w:r>
        <w:r w:rsidR="005334A6" w:rsidRPr="00C9596B">
          <w:rPr>
            <w:rStyle w:val="Hyperlink"/>
            <w:noProof/>
            <w:lang w:eastAsia="en-AU"/>
          </w:rPr>
          <w:t>The role of international education in developing a skilled workforce</w:t>
        </w:r>
        <w:r w:rsidR="005334A6">
          <w:rPr>
            <w:noProof/>
            <w:webHidden/>
          </w:rPr>
          <w:tab/>
        </w:r>
        <w:r w:rsidR="005334A6">
          <w:rPr>
            <w:noProof/>
            <w:webHidden/>
          </w:rPr>
          <w:fldChar w:fldCharType="begin"/>
        </w:r>
        <w:r w:rsidR="005334A6">
          <w:rPr>
            <w:noProof/>
            <w:webHidden/>
          </w:rPr>
          <w:instrText xml:space="preserve"> PAGEREF _Toc450809247 \h </w:instrText>
        </w:r>
        <w:r w:rsidR="005334A6">
          <w:rPr>
            <w:noProof/>
            <w:webHidden/>
          </w:rPr>
        </w:r>
        <w:r w:rsidR="005334A6">
          <w:rPr>
            <w:noProof/>
            <w:webHidden/>
          </w:rPr>
          <w:fldChar w:fldCharType="separate"/>
        </w:r>
        <w:r w:rsidR="005334A6">
          <w:rPr>
            <w:noProof/>
            <w:webHidden/>
          </w:rPr>
          <w:t>42</w:t>
        </w:r>
        <w:r w:rsidR="005334A6">
          <w:rPr>
            <w:noProof/>
            <w:webHidden/>
          </w:rPr>
          <w:fldChar w:fldCharType="end"/>
        </w:r>
      </w:hyperlink>
    </w:p>
    <w:p w14:paraId="4F5A26FC" w14:textId="77777777" w:rsidR="005334A6" w:rsidRDefault="00C54524">
      <w:pPr>
        <w:pStyle w:val="TOC2"/>
        <w:rPr>
          <w:rFonts w:asciiTheme="minorHAnsi" w:eastAsiaTheme="minorEastAsia" w:hAnsiTheme="minorHAnsi" w:cstheme="minorBidi"/>
          <w:sz w:val="22"/>
          <w:szCs w:val="22"/>
          <w:lang w:eastAsia="en-AU"/>
        </w:rPr>
      </w:pPr>
      <w:hyperlink w:anchor="_Toc450809248" w:history="1">
        <w:r w:rsidR="005334A6" w:rsidRPr="00C9596B">
          <w:rPr>
            <w:rStyle w:val="Hyperlink"/>
            <w:rFonts w:cs="Arial"/>
          </w:rPr>
          <w:t>6.1</w:t>
        </w:r>
        <w:r w:rsidR="005334A6">
          <w:rPr>
            <w:rFonts w:asciiTheme="minorHAnsi" w:eastAsiaTheme="minorEastAsia" w:hAnsiTheme="minorHAnsi" w:cstheme="minorBidi"/>
            <w:sz w:val="22"/>
            <w:szCs w:val="22"/>
            <w:lang w:eastAsia="en-AU"/>
          </w:rPr>
          <w:tab/>
        </w:r>
        <w:r w:rsidR="005334A6" w:rsidRPr="00C9596B">
          <w:rPr>
            <w:rStyle w:val="Hyperlink"/>
          </w:rPr>
          <w:t>The contribution of international students’ human capital to the Australian economy</w:t>
        </w:r>
        <w:r w:rsidR="005334A6">
          <w:rPr>
            <w:webHidden/>
          </w:rPr>
          <w:tab/>
        </w:r>
        <w:r w:rsidR="005334A6">
          <w:rPr>
            <w:webHidden/>
          </w:rPr>
          <w:fldChar w:fldCharType="begin"/>
        </w:r>
        <w:r w:rsidR="005334A6">
          <w:rPr>
            <w:webHidden/>
          </w:rPr>
          <w:instrText xml:space="preserve"> PAGEREF _Toc450809248 \h </w:instrText>
        </w:r>
        <w:r w:rsidR="005334A6">
          <w:rPr>
            <w:webHidden/>
          </w:rPr>
        </w:r>
        <w:r w:rsidR="005334A6">
          <w:rPr>
            <w:webHidden/>
          </w:rPr>
          <w:fldChar w:fldCharType="separate"/>
        </w:r>
        <w:r w:rsidR="005334A6">
          <w:rPr>
            <w:webHidden/>
          </w:rPr>
          <w:t>43</w:t>
        </w:r>
        <w:r w:rsidR="005334A6">
          <w:rPr>
            <w:webHidden/>
          </w:rPr>
          <w:fldChar w:fldCharType="end"/>
        </w:r>
      </w:hyperlink>
    </w:p>
    <w:p w14:paraId="50967B58" w14:textId="77777777" w:rsidR="005334A6" w:rsidRDefault="00C54524">
      <w:pPr>
        <w:pStyle w:val="TOC2"/>
        <w:rPr>
          <w:rFonts w:asciiTheme="minorHAnsi" w:eastAsiaTheme="minorEastAsia" w:hAnsiTheme="minorHAnsi" w:cstheme="minorBidi"/>
          <w:sz w:val="22"/>
          <w:szCs w:val="22"/>
          <w:lang w:eastAsia="en-AU"/>
        </w:rPr>
      </w:pPr>
      <w:hyperlink w:anchor="_Toc450809249" w:history="1">
        <w:r w:rsidR="005334A6" w:rsidRPr="00C9596B">
          <w:rPr>
            <w:rStyle w:val="Hyperlink"/>
            <w:rFonts w:cs="Arial"/>
          </w:rPr>
          <w:t>6.2</w:t>
        </w:r>
        <w:r w:rsidR="005334A6">
          <w:rPr>
            <w:rFonts w:asciiTheme="minorHAnsi" w:eastAsiaTheme="minorEastAsia" w:hAnsiTheme="minorHAnsi" w:cstheme="minorBidi"/>
            <w:sz w:val="22"/>
            <w:szCs w:val="22"/>
            <w:lang w:eastAsia="en-AU"/>
          </w:rPr>
          <w:tab/>
        </w:r>
        <w:r w:rsidR="005334A6" w:rsidRPr="00C9596B">
          <w:rPr>
            <w:rStyle w:val="Hyperlink"/>
          </w:rPr>
          <w:t>The relative value of Australian international education</w:t>
        </w:r>
        <w:r w:rsidR="005334A6">
          <w:rPr>
            <w:webHidden/>
          </w:rPr>
          <w:tab/>
        </w:r>
        <w:r w:rsidR="005334A6">
          <w:rPr>
            <w:webHidden/>
          </w:rPr>
          <w:fldChar w:fldCharType="begin"/>
        </w:r>
        <w:r w:rsidR="005334A6">
          <w:rPr>
            <w:webHidden/>
          </w:rPr>
          <w:instrText xml:space="preserve"> PAGEREF _Toc450809249 \h </w:instrText>
        </w:r>
        <w:r w:rsidR="005334A6">
          <w:rPr>
            <w:webHidden/>
          </w:rPr>
        </w:r>
        <w:r w:rsidR="005334A6">
          <w:rPr>
            <w:webHidden/>
          </w:rPr>
          <w:fldChar w:fldCharType="separate"/>
        </w:r>
        <w:r w:rsidR="005334A6">
          <w:rPr>
            <w:webHidden/>
          </w:rPr>
          <w:t>45</w:t>
        </w:r>
        <w:r w:rsidR="005334A6">
          <w:rPr>
            <w:webHidden/>
          </w:rPr>
          <w:fldChar w:fldCharType="end"/>
        </w:r>
      </w:hyperlink>
    </w:p>
    <w:p w14:paraId="3806CB17" w14:textId="77777777" w:rsidR="005334A6" w:rsidRDefault="00C54524">
      <w:pPr>
        <w:pStyle w:val="TOC2"/>
        <w:rPr>
          <w:rFonts w:asciiTheme="minorHAnsi" w:eastAsiaTheme="minorEastAsia" w:hAnsiTheme="minorHAnsi" w:cstheme="minorBidi"/>
          <w:sz w:val="22"/>
          <w:szCs w:val="22"/>
          <w:lang w:eastAsia="en-AU"/>
        </w:rPr>
      </w:pPr>
      <w:hyperlink w:anchor="_Toc450809250" w:history="1">
        <w:r w:rsidR="005334A6" w:rsidRPr="00C9596B">
          <w:rPr>
            <w:rStyle w:val="Hyperlink"/>
            <w:rFonts w:cs="Arial"/>
            <w:lang w:eastAsia="en-AU"/>
          </w:rPr>
          <w:t>6.3</w:t>
        </w:r>
        <w:r w:rsidR="005334A6">
          <w:rPr>
            <w:rFonts w:asciiTheme="minorHAnsi" w:eastAsiaTheme="minorEastAsia" w:hAnsiTheme="minorHAnsi" w:cstheme="minorBidi"/>
            <w:sz w:val="22"/>
            <w:szCs w:val="22"/>
            <w:lang w:eastAsia="en-AU"/>
          </w:rPr>
          <w:tab/>
        </w:r>
        <w:r w:rsidR="005334A6" w:rsidRPr="00C9596B">
          <w:rPr>
            <w:rStyle w:val="Hyperlink"/>
            <w:lang w:eastAsia="en-AU"/>
          </w:rPr>
          <w:t>Building industry links and opening up new markets for Australian businesses</w:t>
        </w:r>
        <w:r w:rsidR="005334A6">
          <w:rPr>
            <w:webHidden/>
          </w:rPr>
          <w:tab/>
        </w:r>
        <w:r w:rsidR="005334A6">
          <w:rPr>
            <w:webHidden/>
          </w:rPr>
          <w:fldChar w:fldCharType="begin"/>
        </w:r>
        <w:r w:rsidR="005334A6">
          <w:rPr>
            <w:webHidden/>
          </w:rPr>
          <w:instrText xml:space="preserve"> PAGEREF _Toc450809250 \h </w:instrText>
        </w:r>
        <w:r w:rsidR="005334A6">
          <w:rPr>
            <w:webHidden/>
          </w:rPr>
        </w:r>
        <w:r w:rsidR="005334A6">
          <w:rPr>
            <w:webHidden/>
          </w:rPr>
          <w:fldChar w:fldCharType="separate"/>
        </w:r>
        <w:r w:rsidR="005334A6">
          <w:rPr>
            <w:webHidden/>
          </w:rPr>
          <w:t>46</w:t>
        </w:r>
        <w:r w:rsidR="005334A6">
          <w:rPr>
            <w:webHidden/>
          </w:rPr>
          <w:fldChar w:fldCharType="end"/>
        </w:r>
      </w:hyperlink>
    </w:p>
    <w:p w14:paraId="77AA0F50" w14:textId="77777777" w:rsidR="005334A6" w:rsidRDefault="00C54524">
      <w:pPr>
        <w:pStyle w:val="TOC1"/>
        <w:rPr>
          <w:rFonts w:asciiTheme="minorHAnsi" w:eastAsiaTheme="minorEastAsia" w:hAnsiTheme="minorHAnsi" w:cstheme="minorBidi"/>
          <w:noProof/>
          <w:lang w:eastAsia="en-AU"/>
        </w:rPr>
      </w:pPr>
      <w:hyperlink w:anchor="_Toc450809251" w:history="1">
        <w:r w:rsidR="005334A6" w:rsidRPr="00C9596B">
          <w:rPr>
            <w:rStyle w:val="Hyperlink"/>
            <w:noProof/>
            <w:lang w:eastAsia="en-AU"/>
          </w:rPr>
          <w:t>7</w:t>
        </w:r>
        <w:r w:rsidR="005334A6">
          <w:rPr>
            <w:rFonts w:asciiTheme="minorHAnsi" w:eastAsiaTheme="minorEastAsia" w:hAnsiTheme="minorHAnsi" w:cstheme="minorBidi"/>
            <w:noProof/>
            <w:lang w:eastAsia="en-AU"/>
          </w:rPr>
          <w:tab/>
        </w:r>
        <w:r w:rsidR="005334A6" w:rsidRPr="00C9596B">
          <w:rPr>
            <w:rStyle w:val="Hyperlink"/>
            <w:noProof/>
            <w:lang w:eastAsia="en-AU"/>
          </w:rPr>
          <w:t>The broader benefits of international education to Australian communities</w:t>
        </w:r>
        <w:r w:rsidR="005334A6">
          <w:rPr>
            <w:noProof/>
            <w:webHidden/>
          </w:rPr>
          <w:tab/>
        </w:r>
        <w:r w:rsidR="005334A6">
          <w:rPr>
            <w:noProof/>
            <w:webHidden/>
          </w:rPr>
          <w:fldChar w:fldCharType="begin"/>
        </w:r>
        <w:r w:rsidR="005334A6">
          <w:rPr>
            <w:noProof/>
            <w:webHidden/>
          </w:rPr>
          <w:instrText xml:space="preserve"> PAGEREF _Toc450809251 \h </w:instrText>
        </w:r>
        <w:r w:rsidR="005334A6">
          <w:rPr>
            <w:noProof/>
            <w:webHidden/>
          </w:rPr>
        </w:r>
        <w:r w:rsidR="005334A6">
          <w:rPr>
            <w:noProof/>
            <w:webHidden/>
          </w:rPr>
          <w:fldChar w:fldCharType="separate"/>
        </w:r>
        <w:r w:rsidR="005334A6">
          <w:rPr>
            <w:noProof/>
            <w:webHidden/>
          </w:rPr>
          <w:t>48</w:t>
        </w:r>
        <w:r w:rsidR="005334A6">
          <w:rPr>
            <w:noProof/>
            <w:webHidden/>
          </w:rPr>
          <w:fldChar w:fldCharType="end"/>
        </w:r>
      </w:hyperlink>
    </w:p>
    <w:p w14:paraId="521A67B9" w14:textId="77777777" w:rsidR="005334A6" w:rsidRDefault="00C54524">
      <w:pPr>
        <w:pStyle w:val="TOC2"/>
        <w:rPr>
          <w:rFonts w:asciiTheme="minorHAnsi" w:eastAsiaTheme="minorEastAsia" w:hAnsiTheme="minorHAnsi" w:cstheme="minorBidi"/>
          <w:sz w:val="22"/>
          <w:szCs w:val="22"/>
          <w:lang w:eastAsia="en-AU"/>
        </w:rPr>
      </w:pPr>
      <w:hyperlink w:anchor="_Toc450809252" w:history="1">
        <w:r w:rsidR="005334A6" w:rsidRPr="00C9596B">
          <w:rPr>
            <w:rStyle w:val="Hyperlink"/>
            <w:rFonts w:cs="Arial"/>
            <w:lang w:eastAsia="en-AU"/>
          </w:rPr>
          <w:t>7.1</w:t>
        </w:r>
        <w:r w:rsidR="005334A6">
          <w:rPr>
            <w:rFonts w:asciiTheme="minorHAnsi" w:eastAsiaTheme="minorEastAsia" w:hAnsiTheme="minorHAnsi" w:cstheme="minorBidi"/>
            <w:sz w:val="22"/>
            <w:szCs w:val="22"/>
            <w:lang w:eastAsia="en-AU"/>
          </w:rPr>
          <w:tab/>
        </w:r>
        <w:r w:rsidR="005334A6" w:rsidRPr="00C9596B">
          <w:rPr>
            <w:rStyle w:val="Hyperlink"/>
            <w:lang w:eastAsia="en-AU"/>
          </w:rPr>
          <w:t>Broader economic and social benefits</w:t>
        </w:r>
        <w:r w:rsidR="005334A6">
          <w:rPr>
            <w:webHidden/>
          </w:rPr>
          <w:tab/>
        </w:r>
        <w:r w:rsidR="005334A6">
          <w:rPr>
            <w:webHidden/>
          </w:rPr>
          <w:fldChar w:fldCharType="begin"/>
        </w:r>
        <w:r w:rsidR="005334A6">
          <w:rPr>
            <w:webHidden/>
          </w:rPr>
          <w:instrText xml:space="preserve"> PAGEREF _Toc450809252 \h </w:instrText>
        </w:r>
        <w:r w:rsidR="005334A6">
          <w:rPr>
            <w:webHidden/>
          </w:rPr>
        </w:r>
        <w:r w:rsidR="005334A6">
          <w:rPr>
            <w:webHidden/>
          </w:rPr>
          <w:fldChar w:fldCharType="separate"/>
        </w:r>
        <w:r w:rsidR="005334A6">
          <w:rPr>
            <w:webHidden/>
          </w:rPr>
          <w:t>48</w:t>
        </w:r>
        <w:r w:rsidR="005334A6">
          <w:rPr>
            <w:webHidden/>
          </w:rPr>
          <w:fldChar w:fldCharType="end"/>
        </w:r>
      </w:hyperlink>
    </w:p>
    <w:p w14:paraId="5A0A0131" w14:textId="77777777" w:rsidR="005334A6" w:rsidRDefault="00C54524">
      <w:pPr>
        <w:pStyle w:val="TOC2"/>
        <w:rPr>
          <w:rFonts w:asciiTheme="minorHAnsi" w:eastAsiaTheme="minorEastAsia" w:hAnsiTheme="minorHAnsi" w:cstheme="minorBidi"/>
          <w:sz w:val="22"/>
          <w:szCs w:val="22"/>
          <w:lang w:eastAsia="en-AU"/>
        </w:rPr>
      </w:pPr>
      <w:hyperlink w:anchor="_Toc450809253" w:history="1">
        <w:r w:rsidR="005334A6" w:rsidRPr="00C9596B">
          <w:rPr>
            <w:rStyle w:val="Hyperlink"/>
            <w:rFonts w:cs="Arial"/>
            <w:lang w:eastAsia="en-AU"/>
          </w:rPr>
          <w:t>7.2</w:t>
        </w:r>
        <w:r w:rsidR="005334A6">
          <w:rPr>
            <w:rFonts w:asciiTheme="minorHAnsi" w:eastAsiaTheme="minorEastAsia" w:hAnsiTheme="minorHAnsi" w:cstheme="minorBidi"/>
            <w:sz w:val="22"/>
            <w:szCs w:val="22"/>
            <w:lang w:eastAsia="en-AU"/>
          </w:rPr>
          <w:tab/>
        </w:r>
        <w:r w:rsidR="005334A6" w:rsidRPr="00C9596B">
          <w:rPr>
            <w:rStyle w:val="Hyperlink"/>
            <w:lang w:eastAsia="en-AU"/>
          </w:rPr>
          <w:t>Raising community awareness</w:t>
        </w:r>
        <w:r w:rsidR="005334A6">
          <w:rPr>
            <w:webHidden/>
          </w:rPr>
          <w:tab/>
        </w:r>
        <w:r w:rsidR="005334A6">
          <w:rPr>
            <w:webHidden/>
          </w:rPr>
          <w:fldChar w:fldCharType="begin"/>
        </w:r>
        <w:r w:rsidR="005334A6">
          <w:rPr>
            <w:webHidden/>
          </w:rPr>
          <w:instrText xml:space="preserve"> PAGEREF _Toc450809253 \h </w:instrText>
        </w:r>
        <w:r w:rsidR="005334A6">
          <w:rPr>
            <w:webHidden/>
          </w:rPr>
        </w:r>
        <w:r w:rsidR="005334A6">
          <w:rPr>
            <w:webHidden/>
          </w:rPr>
          <w:fldChar w:fldCharType="separate"/>
        </w:r>
        <w:r w:rsidR="005334A6">
          <w:rPr>
            <w:webHidden/>
          </w:rPr>
          <w:t>52</w:t>
        </w:r>
        <w:r w:rsidR="005334A6">
          <w:rPr>
            <w:webHidden/>
          </w:rPr>
          <w:fldChar w:fldCharType="end"/>
        </w:r>
      </w:hyperlink>
    </w:p>
    <w:p w14:paraId="4CDC9E99" w14:textId="77777777" w:rsidR="005334A6" w:rsidRDefault="00C54524">
      <w:pPr>
        <w:pStyle w:val="TOC1"/>
        <w:rPr>
          <w:rFonts w:asciiTheme="minorHAnsi" w:eastAsiaTheme="minorEastAsia" w:hAnsiTheme="minorHAnsi" w:cstheme="minorBidi"/>
          <w:noProof/>
          <w:lang w:eastAsia="en-AU"/>
        </w:rPr>
      </w:pPr>
      <w:hyperlink w:anchor="_Toc450809254" w:history="1">
        <w:r w:rsidR="005334A6" w:rsidRPr="00C9596B">
          <w:rPr>
            <w:rStyle w:val="Hyperlink"/>
            <w:noProof/>
          </w:rPr>
          <w:t>References</w:t>
        </w:r>
        <w:r w:rsidR="005334A6">
          <w:rPr>
            <w:noProof/>
            <w:webHidden/>
          </w:rPr>
          <w:tab/>
        </w:r>
        <w:r w:rsidR="005334A6">
          <w:rPr>
            <w:noProof/>
            <w:webHidden/>
          </w:rPr>
          <w:fldChar w:fldCharType="begin"/>
        </w:r>
        <w:r w:rsidR="005334A6">
          <w:rPr>
            <w:noProof/>
            <w:webHidden/>
          </w:rPr>
          <w:instrText xml:space="preserve"> PAGEREF _Toc450809254 \h </w:instrText>
        </w:r>
        <w:r w:rsidR="005334A6">
          <w:rPr>
            <w:noProof/>
            <w:webHidden/>
          </w:rPr>
        </w:r>
        <w:r w:rsidR="005334A6">
          <w:rPr>
            <w:noProof/>
            <w:webHidden/>
          </w:rPr>
          <w:fldChar w:fldCharType="separate"/>
        </w:r>
        <w:r w:rsidR="005334A6">
          <w:rPr>
            <w:noProof/>
            <w:webHidden/>
          </w:rPr>
          <w:t>56</w:t>
        </w:r>
        <w:r w:rsidR="005334A6">
          <w:rPr>
            <w:noProof/>
            <w:webHidden/>
          </w:rPr>
          <w:fldChar w:fldCharType="end"/>
        </w:r>
      </w:hyperlink>
    </w:p>
    <w:p w14:paraId="46BD3FB4" w14:textId="77777777" w:rsidR="005334A6" w:rsidRDefault="00C54524">
      <w:pPr>
        <w:pStyle w:val="TOC1"/>
        <w:rPr>
          <w:rFonts w:asciiTheme="minorHAnsi" w:eastAsiaTheme="minorEastAsia" w:hAnsiTheme="minorHAnsi" w:cstheme="minorBidi"/>
          <w:noProof/>
          <w:lang w:eastAsia="en-AU"/>
        </w:rPr>
      </w:pPr>
      <w:hyperlink w:anchor="_Toc450809255" w:history="1">
        <w:r w:rsidR="005334A6" w:rsidRPr="00C9596B">
          <w:rPr>
            <w:rStyle w:val="Hyperlink"/>
            <w:noProof/>
          </w:rPr>
          <w:t>Appendix A : ABS treatment of international education services</w:t>
        </w:r>
        <w:r w:rsidR="005334A6">
          <w:rPr>
            <w:noProof/>
            <w:webHidden/>
          </w:rPr>
          <w:tab/>
        </w:r>
        <w:r w:rsidR="005334A6">
          <w:rPr>
            <w:noProof/>
            <w:webHidden/>
          </w:rPr>
          <w:fldChar w:fldCharType="begin"/>
        </w:r>
        <w:r w:rsidR="005334A6">
          <w:rPr>
            <w:noProof/>
            <w:webHidden/>
          </w:rPr>
          <w:instrText xml:space="preserve"> PAGEREF _Toc450809255 \h </w:instrText>
        </w:r>
        <w:r w:rsidR="005334A6">
          <w:rPr>
            <w:noProof/>
            <w:webHidden/>
          </w:rPr>
        </w:r>
        <w:r w:rsidR="005334A6">
          <w:rPr>
            <w:noProof/>
            <w:webHidden/>
          </w:rPr>
          <w:fldChar w:fldCharType="separate"/>
        </w:r>
        <w:r w:rsidR="005334A6">
          <w:rPr>
            <w:noProof/>
            <w:webHidden/>
          </w:rPr>
          <w:t>61</w:t>
        </w:r>
        <w:r w:rsidR="005334A6">
          <w:rPr>
            <w:noProof/>
            <w:webHidden/>
          </w:rPr>
          <w:fldChar w:fldCharType="end"/>
        </w:r>
      </w:hyperlink>
    </w:p>
    <w:p w14:paraId="6541BA59" w14:textId="77777777" w:rsidR="005334A6" w:rsidRDefault="00C54524">
      <w:pPr>
        <w:pStyle w:val="TOC1"/>
        <w:rPr>
          <w:rFonts w:asciiTheme="minorHAnsi" w:eastAsiaTheme="minorEastAsia" w:hAnsiTheme="minorHAnsi" w:cstheme="minorBidi"/>
          <w:noProof/>
          <w:lang w:eastAsia="en-AU"/>
        </w:rPr>
      </w:pPr>
      <w:hyperlink w:anchor="_Toc450809256" w:history="1">
        <w:r w:rsidR="005334A6" w:rsidRPr="00C9596B">
          <w:rPr>
            <w:rStyle w:val="Hyperlink"/>
            <w:noProof/>
          </w:rPr>
          <w:t>Appendix B : Non-student visa ELICOS student revenue</w:t>
        </w:r>
        <w:r w:rsidR="005334A6">
          <w:rPr>
            <w:noProof/>
            <w:webHidden/>
          </w:rPr>
          <w:tab/>
        </w:r>
        <w:r w:rsidR="005334A6">
          <w:rPr>
            <w:noProof/>
            <w:webHidden/>
          </w:rPr>
          <w:fldChar w:fldCharType="begin"/>
        </w:r>
        <w:r w:rsidR="005334A6">
          <w:rPr>
            <w:noProof/>
            <w:webHidden/>
          </w:rPr>
          <w:instrText xml:space="preserve"> PAGEREF _Toc450809256 \h </w:instrText>
        </w:r>
        <w:r w:rsidR="005334A6">
          <w:rPr>
            <w:noProof/>
            <w:webHidden/>
          </w:rPr>
        </w:r>
        <w:r w:rsidR="005334A6">
          <w:rPr>
            <w:noProof/>
            <w:webHidden/>
          </w:rPr>
          <w:fldChar w:fldCharType="separate"/>
        </w:r>
        <w:r w:rsidR="005334A6">
          <w:rPr>
            <w:noProof/>
            <w:webHidden/>
          </w:rPr>
          <w:t>63</w:t>
        </w:r>
        <w:r w:rsidR="005334A6">
          <w:rPr>
            <w:noProof/>
            <w:webHidden/>
          </w:rPr>
          <w:fldChar w:fldCharType="end"/>
        </w:r>
      </w:hyperlink>
    </w:p>
    <w:p w14:paraId="2596DFFF" w14:textId="77777777" w:rsidR="005334A6" w:rsidRDefault="00C54524">
      <w:pPr>
        <w:pStyle w:val="TOC1"/>
        <w:rPr>
          <w:rFonts w:asciiTheme="minorHAnsi" w:eastAsiaTheme="minorEastAsia" w:hAnsiTheme="minorHAnsi" w:cstheme="minorBidi"/>
          <w:noProof/>
          <w:lang w:eastAsia="en-AU"/>
        </w:rPr>
      </w:pPr>
      <w:hyperlink w:anchor="_Toc450809257" w:history="1">
        <w:r w:rsidR="005334A6" w:rsidRPr="00C9596B">
          <w:rPr>
            <w:rStyle w:val="Hyperlink"/>
            <w:noProof/>
          </w:rPr>
          <w:t>Appendix C : Economic contribution modelling framework</w:t>
        </w:r>
        <w:r w:rsidR="005334A6">
          <w:rPr>
            <w:noProof/>
            <w:webHidden/>
          </w:rPr>
          <w:tab/>
        </w:r>
        <w:r w:rsidR="005334A6">
          <w:rPr>
            <w:noProof/>
            <w:webHidden/>
          </w:rPr>
          <w:fldChar w:fldCharType="begin"/>
        </w:r>
        <w:r w:rsidR="005334A6">
          <w:rPr>
            <w:noProof/>
            <w:webHidden/>
          </w:rPr>
          <w:instrText xml:space="preserve"> PAGEREF _Toc450809257 \h </w:instrText>
        </w:r>
        <w:r w:rsidR="005334A6">
          <w:rPr>
            <w:noProof/>
            <w:webHidden/>
          </w:rPr>
        </w:r>
        <w:r w:rsidR="005334A6">
          <w:rPr>
            <w:noProof/>
            <w:webHidden/>
          </w:rPr>
          <w:fldChar w:fldCharType="separate"/>
        </w:r>
        <w:r w:rsidR="005334A6">
          <w:rPr>
            <w:noProof/>
            <w:webHidden/>
          </w:rPr>
          <w:t>66</w:t>
        </w:r>
        <w:r w:rsidR="005334A6">
          <w:rPr>
            <w:noProof/>
            <w:webHidden/>
          </w:rPr>
          <w:fldChar w:fldCharType="end"/>
        </w:r>
      </w:hyperlink>
    </w:p>
    <w:p w14:paraId="281BF030" w14:textId="77777777" w:rsidR="005334A6" w:rsidRDefault="00C54524">
      <w:pPr>
        <w:pStyle w:val="TOC1"/>
        <w:rPr>
          <w:rFonts w:asciiTheme="minorHAnsi" w:eastAsiaTheme="minorEastAsia" w:hAnsiTheme="minorHAnsi" w:cstheme="minorBidi"/>
          <w:noProof/>
          <w:lang w:eastAsia="en-AU"/>
        </w:rPr>
      </w:pPr>
      <w:hyperlink w:anchor="_Toc450809258" w:history="1">
        <w:r w:rsidR="005334A6" w:rsidRPr="00C9596B">
          <w:rPr>
            <w:rStyle w:val="Hyperlink"/>
            <w:noProof/>
          </w:rPr>
          <w:t>Appendix D : Student contribution estimation methodology</w:t>
        </w:r>
        <w:r w:rsidR="005334A6">
          <w:rPr>
            <w:noProof/>
            <w:webHidden/>
          </w:rPr>
          <w:tab/>
        </w:r>
        <w:r w:rsidR="005334A6">
          <w:rPr>
            <w:noProof/>
            <w:webHidden/>
          </w:rPr>
          <w:fldChar w:fldCharType="begin"/>
        </w:r>
        <w:r w:rsidR="005334A6">
          <w:rPr>
            <w:noProof/>
            <w:webHidden/>
          </w:rPr>
          <w:instrText xml:space="preserve"> PAGEREF _Toc450809258 \h </w:instrText>
        </w:r>
        <w:r w:rsidR="005334A6">
          <w:rPr>
            <w:noProof/>
            <w:webHidden/>
          </w:rPr>
        </w:r>
        <w:r w:rsidR="005334A6">
          <w:rPr>
            <w:noProof/>
            <w:webHidden/>
          </w:rPr>
          <w:fldChar w:fldCharType="separate"/>
        </w:r>
        <w:r w:rsidR="005334A6">
          <w:rPr>
            <w:noProof/>
            <w:webHidden/>
          </w:rPr>
          <w:t>69</w:t>
        </w:r>
        <w:r w:rsidR="005334A6">
          <w:rPr>
            <w:noProof/>
            <w:webHidden/>
          </w:rPr>
          <w:fldChar w:fldCharType="end"/>
        </w:r>
      </w:hyperlink>
    </w:p>
    <w:p w14:paraId="52DA1DE7" w14:textId="77777777" w:rsidR="005334A6" w:rsidRDefault="00C54524">
      <w:pPr>
        <w:pStyle w:val="TOC1"/>
        <w:rPr>
          <w:rFonts w:asciiTheme="minorHAnsi" w:eastAsiaTheme="minorEastAsia" w:hAnsiTheme="minorHAnsi" w:cstheme="minorBidi"/>
          <w:noProof/>
          <w:lang w:eastAsia="en-AU"/>
        </w:rPr>
      </w:pPr>
      <w:hyperlink w:anchor="_Toc450809259" w:history="1">
        <w:r w:rsidR="005334A6" w:rsidRPr="00C9596B">
          <w:rPr>
            <w:rStyle w:val="Hyperlink"/>
            <w:noProof/>
          </w:rPr>
          <w:t>Appendix E : Regional contribution</w:t>
        </w:r>
        <w:r w:rsidR="005334A6">
          <w:rPr>
            <w:noProof/>
            <w:webHidden/>
          </w:rPr>
          <w:tab/>
        </w:r>
        <w:r w:rsidR="005334A6">
          <w:rPr>
            <w:noProof/>
            <w:webHidden/>
          </w:rPr>
          <w:fldChar w:fldCharType="begin"/>
        </w:r>
        <w:r w:rsidR="005334A6">
          <w:rPr>
            <w:noProof/>
            <w:webHidden/>
          </w:rPr>
          <w:instrText xml:space="preserve"> PAGEREF _Toc450809259 \h </w:instrText>
        </w:r>
        <w:r w:rsidR="005334A6">
          <w:rPr>
            <w:noProof/>
            <w:webHidden/>
          </w:rPr>
        </w:r>
        <w:r w:rsidR="005334A6">
          <w:rPr>
            <w:noProof/>
            <w:webHidden/>
          </w:rPr>
          <w:fldChar w:fldCharType="separate"/>
        </w:r>
        <w:r w:rsidR="005334A6">
          <w:rPr>
            <w:noProof/>
            <w:webHidden/>
          </w:rPr>
          <w:t>73</w:t>
        </w:r>
        <w:r w:rsidR="005334A6">
          <w:rPr>
            <w:noProof/>
            <w:webHidden/>
          </w:rPr>
          <w:fldChar w:fldCharType="end"/>
        </w:r>
      </w:hyperlink>
    </w:p>
    <w:p w14:paraId="14BA172A" w14:textId="77777777" w:rsidR="005334A6" w:rsidRDefault="00C54524">
      <w:pPr>
        <w:pStyle w:val="TOC1"/>
        <w:rPr>
          <w:rFonts w:asciiTheme="minorHAnsi" w:eastAsiaTheme="minorEastAsia" w:hAnsiTheme="minorHAnsi" w:cstheme="minorBidi"/>
          <w:noProof/>
          <w:lang w:eastAsia="en-AU"/>
        </w:rPr>
      </w:pPr>
      <w:hyperlink w:anchor="_Toc450809260" w:history="1">
        <w:r w:rsidR="005334A6" w:rsidRPr="00C9596B">
          <w:rPr>
            <w:rStyle w:val="Hyperlink"/>
            <w:noProof/>
          </w:rPr>
          <w:t>Case study 1: Armidale</w:t>
        </w:r>
        <w:r w:rsidR="005334A6">
          <w:rPr>
            <w:noProof/>
            <w:webHidden/>
          </w:rPr>
          <w:tab/>
        </w:r>
        <w:r w:rsidR="005334A6">
          <w:rPr>
            <w:noProof/>
            <w:webHidden/>
          </w:rPr>
          <w:fldChar w:fldCharType="begin"/>
        </w:r>
        <w:r w:rsidR="005334A6">
          <w:rPr>
            <w:noProof/>
            <w:webHidden/>
          </w:rPr>
          <w:instrText xml:space="preserve"> PAGEREF _Toc450809260 \h </w:instrText>
        </w:r>
        <w:r w:rsidR="005334A6">
          <w:rPr>
            <w:noProof/>
            <w:webHidden/>
          </w:rPr>
        </w:r>
        <w:r w:rsidR="005334A6">
          <w:rPr>
            <w:noProof/>
            <w:webHidden/>
          </w:rPr>
          <w:fldChar w:fldCharType="separate"/>
        </w:r>
        <w:r w:rsidR="005334A6">
          <w:rPr>
            <w:noProof/>
            <w:webHidden/>
          </w:rPr>
          <w:t>73</w:t>
        </w:r>
        <w:r w:rsidR="005334A6">
          <w:rPr>
            <w:noProof/>
            <w:webHidden/>
          </w:rPr>
          <w:fldChar w:fldCharType="end"/>
        </w:r>
      </w:hyperlink>
    </w:p>
    <w:p w14:paraId="42175D7B" w14:textId="77777777" w:rsidR="005334A6" w:rsidRDefault="00C54524">
      <w:pPr>
        <w:pStyle w:val="TOC1"/>
        <w:rPr>
          <w:rFonts w:asciiTheme="minorHAnsi" w:eastAsiaTheme="minorEastAsia" w:hAnsiTheme="minorHAnsi" w:cstheme="minorBidi"/>
          <w:noProof/>
          <w:lang w:eastAsia="en-AU"/>
        </w:rPr>
      </w:pPr>
      <w:hyperlink w:anchor="_Toc450809261" w:history="1">
        <w:r w:rsidR="005334A6" w:rsidRPr="00C9596B">
          <w:rPr>
            <w:rStyle w:val="Hyperlink"/>
            <w:noProof/>
          </w:rPr>
          <w:t>Case study 2: Impact of international economic activity on regional Victoria</w:t>
        </w:r>
        <w:r w:rsidR="005334A6">
          <w:rPr>
            <w:noProof/>
            <w:webHidden/>
          </w:rPr>
          <w:tab/>
        </w:r>
        <w:r w:rsidR="005334A6">
          <w:rPr>
            <w:noProof/>
            <w:webHidden/>
          </w:rPr>
          <w:fldChar w:fldCharType="begin"/>
        </w:r>
        <w:r w:rsidR="005334A6">
          <w:rPr>
            <w:noProof/>
            <w:webHidden/>
          </w:rPr>
          <w:instrText xml:space="preserve"> PAGEREF _Toc450809261 \h </w:instrText>
        </w:r>
        <w:r w:rsidR="005334A6">
          <w:rPr>
            <w:noProof/>
            <w:webHidden/>
          </w:rPr>
        </w:r>
        <w:r w:rsidR="005334A6">
          <w:rPr>
            <w:noProof/>
            <w:webHidden/>
          </w:rPr>
          <w:fldChar w:fldCharType="separate"/>
        </w:r>
        <w:r w:rsidR="005334A6">
          <w:rPr>
            <w:noProof/>
            <w:webHidden/>
          </w:rPr>
          <w:t>76</w:t>
        </w:r>
        <w:r w:rsidR="005334A6">
          <w:rPr>
            <w:noProof/>
            <w:webHidden/>
          </w:rPr>
          <w:fldChar w:fldCharType="end"/>
        </w:r>
      </w:hyperlink>
    </w:p>
    <w:p w14:paraId="156A0C81" w14:textId="77777777" w:rsidR="005334A6" w:rsidRDefault="00C54524">
      <w:pPr>
        <w:pStyle w:val="TOC1"/>
        <w:rPr>
          <w:rFonts w:asciiTheme="minorHAnsi" w:eastAsiaTheme="minorEastAsia" w:hAnsiTheme="minorHAnsi" w:cstheme="minorBidi"/>
          <w:noProof/>
          <w:lang w:eastAsia="en-AU"/>
        </w:rPr>
      </w:pPr>
      <w:hyperlink w:anchor="_Toc450809262" w:history="1">
        <w:r w:rsidR="005334A6" w:rsidRPr="00C9596B">
          <w:rPr>
            <w:rStyle w:val="Hyperlink"/>
            <w:noProof/>
          </w:rPr>
          <w:t>Appendix F : VFR contribution estimation</w:t>
        </w:r>
        <w:r w:rsidR="005334A6">
          <w:rPr>
            <w:noProof/>
            <w:webHidden/>
          </w:rPr>
          <w:tab/>
        </w:r>
        <w:r w:rsidR="005334A6">
          <w:rPr>
            <w:noProof/>
            <w:webHidden/>
          </w:rPr>
          <w:fldChar w:fldCharType="begin"/>
        </w:r>
        <w:r w:rsidR="005334A6">
          <w:rPr>
            <w:noProof/>
            <w:webHidden/>
          </w:rPr>
          <w:instrText xml:space="preserve"> PAGEREF _Toc450809262 \h </w:instrText>
        </w:r>
        <w:r w:rsidR="005334A6">
          <w:rPr>
            <w:noProof/>
            <w:webHidden/>
          </w:rPr>
        </w:r>
        <w:r w:rsidR="005334A6">
          <w:rPr>
            <w:noProof/>
            <w:webHidden/>
          </w:rPr>
          <w:fldChar w:fldCharType="separate"/>
        </w:r>
        <w:r w:rsidR="005334A6">
          <w:rPr>
            <w:noProof/>
            <w:webHidden/>
          </w:rPr>
          <w:t>77</w:t>
        </w:r>
        <w:r w:rsidR="005334A6">
          <w:rPr>
            <w:noProof/>
            <w:webHidden/>
          </w:rPr>
          <w:fldChar w:fldCharType="end"/>
        </w:r>
      </w:hyperlink>
    </w:p>
    <w:p w14:paraId="206E7C05" w14:textId="77777777" w:rsidR="005334A6" w:rsidRDefault="00C54524">
      <w:pPr>
        <w:pStyle w:val="TOC2"/>
        <w:rPr>
          <w:rFonts w:asciiTheme="minorHAnsi" w:eastAsiaTheme="minorEastAsia" w:hAnsiTheme="minorHAnsi" w:cstheme="minorBidi"/>
          <w:sz w:val="22"/>
          <w:szCs w:val="22"/>
          <w:lang w:eastAsia="en-AU"/>
        </w:rPr>
      </w:pPr>
      <w:hyperlink w:anchor="_Toc450809263" w:history="1">
        <w:r w:rsidR="005334A6" w:rsidRPr="00C9596B">
          <w:rPr>
            <w:rStyle w:val="Hyperlink"/>
          </w:rPr>
          <w:t>Limitation of our work (Deloitte Access Economics)</w:t>
        </w:r>
        <w:r w:rsidR="005334A6">
          <w:rPr>
            <w:webHidden/>
          </w:rPr>
          <w:tab/>
        </w:r>
        <w:r w:rsidR="005334A6">
          <w:rPr>
            <w:webHidden/>
          </w:rPr>
          <w:fldChar w:fldCharType="begin"/>
        </w:r>
        <w:r w:rsidR="005334A6">
          <w:rPr>
            <w:webHidden/>
          </w:rPr>
          <w:instrText xml:space="preserve"> PAGEREF _Toc450809263 \h </w:instrText>
        </w:r>
        <w:r w:rsidR="005334A6">
          <w:rPr>
            <w:webHidden/>
          </w:rPr>
        </w:r>
        <w:r w:rsidR="005334A6">
          <w:rPr>
            <w:webHidden/>
          </w:rPr>
          <w:fldChar w:fldCharType="separate"/>
        </w:r>
        <w:r w:rsidR="005334A6">
          <w:rPr>
            <w:webHidden/>
          </w:rPr>
          <w:t>80</w:t>
        </w:r>
        <w:r w:rsidR="005334A6">
          <w:rPr>
            <w:webHidden/>
          </w:rPr>
          <w:fldChar w:fldCharType="end"/>
        </w:r>
      </w:hyperlink>
    </w:p>
    <w:p w14:paraId="34F2A63E" w14:textId="77777777" w:rsidR="00F41CBD" w:rsidRPr="00DE4E85" w:rsidRDefault="00F41CBD" w:rsidP="00163EA3">
      <w:pPr>
        <w:pStyle w:val="Contents-Minor"/>
        <w:outlineLvl w:val="0"/>
      </w:pPr>
      <w:r>
        <w:rPr>
          <w:rFonts w:cs="Arial"/>
          <w:b/>
          <w:caps/>
          <w:color w:val="auto"/>
          <w:sz w:val="22"/>
          <w:szCs w:val="22"/>
        </w:rPr>
        <w:lastRenderedPageBreak/>
        <w:fldChar w:fldCharType="end"/>
      </w:r>
      <w:r w:rsidRPr="00306EC6">
        <w:t>Charts</w:t>
      </w:r>
    </w:p>
    <w:p w14:paraId="6583979F" w14:textId="77777777" w:rsidR="005334A6" w:rsidRDefault="00F41CBD">
      <w:pPr>
        <w:pStyle w:val="TOC1"/>
        <w:rPr>
          <w:rFonts w:asciiTheme="minorHAnsi" w:eastAsiaTheme="minorEastAsia" w:hAnsiTheme="minorHAnsi" w:cstheme="minorBidi"/>
          <w:noProof/>
          <w:lang w:eastAsia="en-AU"/>
        </w:rPr>
      </w:pPr>
      <w:r>
        <w:rPr>
          <w:sz w:val="24"/>
          <w:szCs w:val="20"/>
        </w:rPr>
        <w:fldChar w:fldCharType="begin"/>
      </w:r>
      <w:r>
        <w:rPr>
          <w:sz w:val="24"/>
          <w:szCs w:val="20"/>
        </w:rPr>
        <w:instrText xml:space="preserve"> TOC \h \z \t "Appendix Chart Caption,1,Caption_Chart,1" </w:instrText>
      </w:r>
      <w:r>
        <w:rPr>
          <w:sz w:val="24"/>
          <w:szCs w:val="20"/>
        </w:rPr>
        <w:fldChar w:fldCharType="separate"/>
      </w:r>
      <w:hyperlink w:anchor="_Toc450809264" w:history="1">
        <w:r w:rsidR="005334A6" w:rsidRPr="00A111BC">
          <w:rPr>
            <w:rStyle w:val="Hyperlink"/>
            <w:noProof/>
          </w:rPr>
          <w:t>Chart 1.1 : International student enrolments over time</w:t>
        </w:r>
        <w:r w:rsidR="005334A6">
          <w:rPr>
            <w:noProof/>
            <w:webHidden/>
          </w:rPr>
          <w:tab/>
        </w:r>
        <w:r w:rsidR="005334A6">
          <w:rPr>
            <w:noProof/>
            <w:webHidden/>
          </w:rPr>
          <w:fldChar w:fldCharType="begin"/>
        </w:r>
        <w:r w:rsidR="005334A6">
          <w:rPr>
            <w:noProof/>
            <w:webHidden/>
          </w:rPr>
          <w:instrText xml:space="preserve"> PAGEREF _Toc450809264 \h </w:instrText>
        </w:r>
        <w:r w:rsidR="005334A6">
          <w:rPr>
            <w:noProof/>
            <w:webHidden/>
          </w:rPr>
        </w:r>
        <w:r w:rsidR="005334A6">
          <w:rPr>
            <w:noProof/>
            <w:webHidden/>
          </w:rPr>
          <w:fldChar w:fldCharType="separate"/>
        </w:r>
        <w:r w:rsidR="005334A6">
          <w:rPr>
            <w:noProof/>
            <w:webHidden/>
          </w:rPr>
          <w:t>1</w:t>
        </w:r>
        <w:r w:rsidR="005334A6">
          <w:rPr>
            <w:noProof/>
            <w:webHidden/>
          </w:rPr>
          <w:fldChar w:fldCharType="end"/>
        </w:r>
      </w:hyperlink>
    </w:p>
    <w:p w14:paraId="045C94BE" w14:textId="77777777" w:rsidR="005334A6" w:rsidRDefault="00C54524">
      <w:pPr>
        <w:pStyle w:val="TOC1"/>
        <w:rPr>
          <w:rFonts w:asciiTheme="minorHAnsi" w:eastAsiaTheme="minorEastAsia" w:hAnsiTheme="minorHAnsi" w:cstheme="minorBidi"/>
          <w:noProof/>
          <w:lang w:eastAsia="en-AU"/>
        </w:rPr>
      </w:pPr>
      <w:hyperlink w:anchor="_Toc450809265" w:history="1">
        <w:r w:rsidR="005334A6" w:rsidRPr="00A111BC">
          <w:rPr>
            <w:rStyle w:val="Hyperlink"/>
            <w:noProof/>
          </w:rPr>
          <w:t>Chart 1.2 : Trends in student enrolments by nationality</w:t>
        </w:r>
        <w:r w:rsidR="005334A6">
          <w:rPr>
            <w:noProof/>
            <w:webHidden/>
          </w:rPr>
          <w:tab/>
        </w:r>
        <w:r w:rsidR="005334A6">
          <w:rPr>
            <w:noProof/>
            <w:webHidden/>
          </w:rPr>
          <w:fldChar w:fldCharType="begin"/>
        </w:r>
        <w:r w:rsidR="005334A6">
          <w:rPr>
            <w:noProof/>
            <w:webHidden/>
          </w:rPr>
          <w:instrText xml:space="preserve"> PAGEREF _Toc450809265 \h </w:instrText>
        </w:r>
        <w:r w:rsidR="005334A6">
          <w:rPr>
            <w:noProof/>
            <w:webHidden/>
          </w:rPr>
        </w:r>
        <w:r w:rsidR="005334A6">
          <w:rPr>
            <w:noProof/>
            <w:webHidden/>
          </w:rPr>
          <w:fldChar w:fldCharType="separate"/>
        </w:r>
        <w:r w:rsidR="005334A6">
          <w:rPr>
            <w:noProof/>
            <w:webHidden/>
          </w:rPr>
          <w:t>2</w:t>
        </w:r>
        <w:r w:rsidR="005334A6">
          <w:rPr>
            <w:noProof/>
            <w:webHidden/>
          </w:rPr>
          <w:fldChar w:fldCharType="end"/>
        </w:r>
      </w:hyperlink>
    </w:p>
    <w:p w14:paraId="6EC2F8AA" w14:textId="77777777" w:rsidR="005334A6" w:rsidRDefault="00C54524">
      <w:pPr>
        <w:pStyle w:val="TOC1"/>
        <w:rPr>
          <w:rFonts w:asciiTheme="minorHAnsi" w:eastAsiaTheme="minorEastAsia" w:hAnsiTheme="minorHAnsi" w:cstheme="minorBidi"/>
          <w:noProof/>
          <w:lang w:eastAsia="en-AU"/>
        </w:rPr>
      </w:pPr>
      <w:hyperlink w:anchor="_Toc450809266" w:history="1">
        <w:r w:rsidR="005334A6" w:rsidRPr="00A111BC">
          <w:rPr>
            <w:rStyle w:val="Hyperlink"/>
            <w:noProof/>
          </w:rPr>
          <w:t>Chart 2.1 : ELICOS enrolments by visa type, 2014</w:t>
        </w:r>
        <w:r w:rsidR="005334A6">
          <w:rPr>
            <w:noProof/>
            <w:webHidden/>
          </w:rPr>
          <w:tab/>
        </w:r>
        <w:r w:rsidR="005334A6">
          <w:rPr>
            <w:noProof/>
            <w:webHidden/>
          </w:rPr>
          <w:fldChar w:fldCharType="begin"/>
        </w:r>
        <w:r w:rsidR="005334A6">
          <w:rPr>
            <w:noProof/>
            <w:webHidden/>
          </w:rPr>
          <w:instrText xml:space="preserve"> PAGEREF _Toc450809266 \h </w:instrText>
        </w:r>
        <w:r w:rsidR="005334A6">
          <w:rPr>
            <w:noProof/>
            <w:webHidden/>
          </w:rPr>
        </w:r>
        <w:r w:rsidR="005334A6">
          <w:rPr>
            <w:noProof/>
            <w:webHidden/>
          </w:rPr>
          <w:fldChar w:fldCharType="separate"/>
        </w:r>
        <w:r w:rsidR="005334A6">
          <w:rPr>
            <w:noProof/>
            <w:webHidden/>
          </w:rPr>
          <w:t>7</w:t>
        </w:r>
        <w:r w:rsidR="005334A6">
          <w:rPr>
            <w:noProof/>
            <w:webHidden/>
          </w:rPr>
          <w:fldChar w:fldCharType="end"/>
        </w:r>
      </w:hyperlink>
    </w:p>
    <w:p w14:paraId="48CA8213" w14:textId="77777777" w:rsidR="005334A6" w:rsidRDefault="00C54524">
      <w:pPr>
        <w:pStyle w:val="TOC1"/>
        <w:rPr>
          <w:rFonts w:asciiTheme="minorHAnsi" w:eastAsiaTheme="minorEastAsia" w:hAnsiTheme="minorHAnsi" w:cstheme="minorBidi"/>
          <w:noProof/>
          <w:lang w:eastAsia="en-AU"/>
        </w:rPr>
      </w:pPr>
      <w:hyperlink w:anchor="_Toc450809267" w:history="1">
        <w:r w:rsidR="005334A6" w:rsidRPr="00A111BC">
          <w:rPr>
            <w:rStyle w:val="Hyperlink"/>
            <w:noProof/>
          </w:rPr>
          <w:t>Chart 2.2 : ELICOS average course study length by visa type, 2014</w:t>
        </w:r>
        <w:r w:rsidR="005334A6">
          <w:rPr>
            <w:noProof/>
            <w:webHidden/>
          </w:rPr>
          <w:tab/>
        </w:r>
        <w:r w:rsidR="005334A6">
          <w:rPr>
            <w:noProof/>
            <w:webHidden/>
          </w:rPr>
          <w:fldChar w:fldCharType="begin"/>
        </w:r>
        <w:r w:rsidR="005334A6">
          <w:rPr>
            <w:noProof/>
            <w:webHidden/>
          </w:rPr>
          <w:instrText xml:space="preserve"> PAGEREF _Toc450809267 \h </w:instrText>
        </w:r>
        <w:r w:rsidR="005334A6">
          <w:rPr>
            <w:noProof/>
            <w:webHidden/>
          </w:rPr>
        </w:r>
        <w:r w:rsidR="005334A6">
          <w:rPr>
            <w:noProof/>
            <w:webHidden/>
          </w:rPr>
          <w:fldChar w:fldCharType="separate"/>
        </w:r>
        <w:r w:rsidR="005334A6">
          <w:rPr>
            <w:noProof/>
            <w:webHidden/>
          </w:rPr>
          <w:t>8</w:t>
        </w:r>
        <w:r w:rsidR="005334A6">
          <w:rPr>
            <w:noProof/>
            <w:webHidden/>
          </w:rPr>
          <w:fldChar w:fldCharType="end"/>
        </w:r>
      </w:hyperlink>
    </w:p>
    <w:p w14:paraId="1BECF789" w14:textId="77777777" w:rsidR="005334A6" w:rsidRDefault="00C54524">
      <w:pPr>
        <w:pStyle w:val="TOC1"/>
        <w:rPr>
          <w:rFonts w:asciiTheme="minorHAnsi" w:eastAsiaTheme="minorEastAsia" w:hAnsiTheme="minorHAnsi" w:cstheme="minorBidi"/>
          <w:noProof/>
          <w:lang w:eastAsia="en-AU"/>
        </w:rPr>
      </w:pPr>
      <w:hyperlink w:anchor="_Toc450809268" w:history="1">
        <w:r w:rsidR="005334A6" w:rsidRPr="00A111BC">
          <w:rPr>
            <w:rStyle w:val="Hyperlink"/>
            <w:noProof/>
          </w:rPr>
          <w:t>Chart 2.3 : ELICOS export revenue by source, 2014-15</w:t>
        </w:r>
        <w:r w:rsidR="005334A6">
          <w:rPr>
            <w:noProof/>
            <w:webHidden/>
          </w:rPr>
          <w:tab/>
        </w:r>
        <w:r w:rsidR="005334A6">
          <w:rPr>
            <w:noProof/>
            <w:webHidden/>
          </w:rPr>
          <w:fldChar w:fldCharType="begin"/>
        </w:r>
        <w:r w:rsidR="005334A6">
          <w:rPr>
            <w:noProof/>
            <w:webHidden/>
          </w:rPr>
          <w:instrText xml:space="preserve"> PAGEREF _Toc450809268 \h </w:instrText>
        </w:r>
        <w:r w:rsidR="005334A6">
          <w:rPr>
            <w:noProof/>
            <w:webHidden/>
          </w:rPr>
        </w:r>
        <w:r w:rsidR="005334A6">
          <w:rPr>
            <w:noProof/>
            <w:webHidden/>
          </w:rPr>
          <w:fldChar w:fldCharType="separate"/>
        </w:r>
        <w:r w:rsidR="005334A6">
          <w:rPr>
            <w:noProof/>
            <w:webHidden/>
          </w:rPr>
          <w:t>9</w:t>
        </w:r>
        <w:r w:rsidR="005334A6">
          <w:rPr>
            <w:noProof/>
            <w:webHidden/>
          </w:rPr>
          <w:fldChar w:fldCharType="end"/>
        </w:r>
      </w:hyperlink>
    </w:p>
    <w:p w14:paraId="6CE0F412" w14:textId="77777777" w:rsidR="005334A6" w:rsidRDefault="00C54524">
      <w:pPr>
        <w:pStyle w:val="TOC1"/>
        <w:rPr>
          <w:rFonts w:asciiTheme="minorHAnsi" w:eastAsiaTheme="minorEastAsia" w:hAnsiTheme="minorHAnsi" w:cstheme="minorBidi"/>
          <w:noProof/>
          <w:lang w:eastAsia="en-AU"/>
        </w:rPr>
      </w:pPr>
      <w:hyperlink w:anchor="_Toc450809269" w:history="1">
        <w:r w:rsidR="005334A6" w:rsidRPr="00A111BC">
          <w:rPr>
            <w:rStyle w:val="Hyperlink"/>
            <w:noProof/>
            <w:lang w:eastAsia="en-AU"/>
          </w:rPr>
          <w:t>Chart 2.4 : Offshore higher education student numbers, 2012-2014</w:t>
        </w:r>
        <w:r w:rsidR="005334A6">
          <w:rPr>
            <w:noProof/>
            <w:webHidden/>
          </w:rPr>
          <w:tab/>
        </w:r>
        <w:r w:rsidR="005334A6">
          <w:rPr>
            <w:noProof/>
            <w:webHidden/>
          </w:rPr>
          <w:fldChar w:fldCharType="begin"/>
        </w:r>
        <w:r w:rsidR="005334A6">
          <w:rPr>
            <w:noProof/>
            <w:webHidden/>
          </w:rPr>
          <w:instrText xml:space="preserve"> PAGEREF _Toc450809269 \h </w:instrText>
        </w:r>
        <w:r w:rsidR="005334A6">
          <w:rPr>
            <w:noProof/>
            <w:webHidden/>
          </w:rPr>
        </w:r>
        <w:r w:rsidR="005334A6">
          <w:rPr>
            <w:noProof/>
            <w:webHidden/>
          </w:rPr>
          <w:fldChar w:fldCharType="separate"/>
        </w:r>
        <w:r w:rsidR="005334A6">
          <w:rPr>
            <w:noProof/>
            <w:webHidden/>
          </w:rPr>
          <w:t>12</w:t>
        </w:r>
        <w:r w:rsidR="005334A6">
          <w:rPr>
            <w:noProof/>
            <w:webHidden/>
          </w:rPr>
          <w:fldChar w:fldCharType="end"/>
        </w:r>
      </w:hyperlink>
    </w:p>
    <w:p w14:paraId="0D004450" w14:textId="77777777" w:rsidR="005334A6" w:rsidRDefault="00C54524">
      <w:pPr>
        <w:pStyle w:val="TOC1"/>
        <w:rPr>
          <w:rFonts w:asciiTheme="minorHAnsi" w:eastAsiaTheme="minorEastAsia" w:hAnsiTheme="minorHAnsi" w:cstheme="minorBidi"/>
          <w:noProof/>
          <w:lang w:eastAsia="en-AU"/>
        </w:rPr>
      </w:pPr>
      <w:hyperlink w:anchor="_Toc450809270" w:history="1">
        <w:r w:rsidR="005334A6" w:rsidRPr="00A111BC">
          <w:rPr>
            <w:rStyle w:val="Hyperlink"/>
            <w:noProof/>
          </w:rPr>
          <w:t>Chart 2.5 : Offshore VET student enrolments, 2011-2013</w:t>
        </w:r>
        <w:r w:rsidR="005334A6">
          <w:rPr>
            <w:noProof/>
            <w:webHidden/>
          </w:rPr>
          <w:tab/>
        </w:r>
        <w:r w:rsidR="005334A6">
          <w:rPr>
            <w:noProof/>
            <w:webHidden/>
          </w:rPr>
          <w:fldChar w:fldCharType="begin"/>
        </w:r>
        <w:r w:rsidR="005334A6">
          <w:rPr>
            <w:noProof/>
            <w:webHidden/>
          </w:rPr>
          <w:instrText xml:space="preserve"> PAGEREF _Toc450809270 \h </w:instrText>
        </w:r>
        <w:r w:rsidR="005334A6">
          <w:rPr>
            <w:noProof/>
            <w:webHidden/>
          </w:rPr>
        </w:r>
        <w:r w:rsidR="005334A6">
          <w:rPr>
            <w:noProof/>
            <w:webHidden/>
          </w:rPr>
          <w:fldChar w:fldCharType="separate"/>
        </w:r>
        <w:r w:rsidR="005334A6">
          <w:rPr>
            <w:noProof/>
            <w:webHidden/>
          </w:rPr>
          <w:t>13</w:t>
        </w:r>
        <w:r w:rsidR="005334A6">
          <w:rPr>
            <w:noProof/>
            <w:webHidden/>
          </w:rPr>
          <w:fldChar w:fldCharType="end"/>
        </w:r>
      </w:hyperlink>
    </w:p>
    <w:p w14:paraId="5E496895" w14:textId="77777777" w:rsidR="005334A6" w:rsidRDefault="00C54524">
      <w:pPr>
        <w:pStyle w:val="TOC1"/>
        <w:rPr>
          <w:rFonts w:asciiTheme="minorHAnsi" w:eastAsiaTheme="minorEastAsia" w:hAnsiTheme="minorHAnsi" w:cstheme="minorBidi"/>
          <w:noProof/>
          <w:lang w:eastAsia="en-AU"/>
        </w:rPr>
      </w:pPr>
      <w:hyperlink w:anchor="_Toc450809271" w:history="1">
        <w:r w:rsidR="005334A6" w:rsidRPr="00A111BC">
          <w:rPr>
            <w:rStyle w:val="Hyperlink"/>
            <w:noProof/>
            <w:lang w:eastAsia="en-AU"/>
          </w:rPr>
          <w:t xml:space="preserve">Chart 3.1 : </w:t>
        </w:r>
        <w:r w:rsidR="005334A6" w:rsidRPr="00A111BC">
          <w:rPr>
            <w:rStyle w:val="Hyperlink"/>
            <w:noProof/>
          </w:rPr>
          <w:t>Total value added  by education sector, 2014-15</w:t>
        </w:r>
        <w:r w:rsidR="005334A6">
          <w:rPr>
            <w:noProof/>
            <w:webHidden/>
          </w:rPr>
          <w:tab/>
        </w:r>
        <w:r w:rsidR="005334A6">
          <w:rPr>
            <w:noProof/>
            <w:webHidden/>
          </w:rPr>
          <w:fldChar w:fldCharType="begin"/>
        </w:r>
        <w:r w:rsidR="005334A6">
          <w:rPr>
            <w:noProof/>
            <w:webHidden/>
          </w:rPr>
          <w:instrText xml:space="preserve"> PAGEREF _Toc450809271 \h </w:instrText>
        </w:r>
        <w:r w:rsidR="005334A6">
          <w:rPr>
            <w:noProof/>
            <w:webHidden/>
          </w:rPr>
        </w:r>
        <w:r w:rsidR="005334A6">
          <w:rPr>
            <w:noProof/>
            <w:webHidden/>
          </w:rPr>
          <w:fldChar w:fldCharType="separate"/>
        </w:r>
        <w:r w:rsidR="005334A6">
          <w:rPr>
            <w:noProof/>
            <w:webHidden/>
          </w:rPr>
          <w:t>22</w:t>
        </w:r>
        <w:r w:rsidR="005334A6">
          <w:rPr>
            <w:noProof/>
            <w:webHidden/>
          </w:rPr>
          <w:fldChar w:fldCharType="end"/>
        </w:r>
      </w:hyperlink>
    </w:p>
    <w:p w14:paraId="413E0CD2" w14:textId="77777777" w:rsidR="005334A6" w:rsidRDefault="00C54524">
      <w:pPr>
        <w:pStyle w:val="TOC1"/>
        <w:rPr>
          <w:rFonts w:asciiTheme="minorHAnsi" w:eastAsiaTheme="minorEastAsia" w:hAnsiTheme="minorHAnsi" w:cstheme="minorBidi"/>
          <w:noProof/>
          <w:lang w:eastAsia="en-AU"/>
        </w:rPr>
      </w:pPr>
      <w:hyperlink w:anchor="_Toc450809272" w:history="1">
        <w:r w:rsidR="005334A6" w:rsidRPr="00A111BC">
          <w:rPr>
            <w:rStyle w:val="Hyperlink"/>
            <w:noProof/>
          </w:rPr>
          <w:t>Chart 3.2 : Indirect value added to GDP from international education fees, 2014-15</w:t>
        </w:r>
        <w:r w:rsidR="005334A6">
          <w:rPr>
            <w:noProof/>
            <w:webHidden/>
          </w:rPr>
          <w:tab/>
        </w:r>
        <w:r w:rsidR="005334A6">
          <w:rPr>
            <w:noProof/>
            <w:webHidden/>
          </w:rPr>
          <w:fldChar w:fldCharType="begin"/>
        </w:r>
        <w:r w:rsidR="005334A6">
          <w:rPr>
            <w:noProof/>
            <w:webHidden/>
          </w:rPr>
          <w:instrText xml:space="preserve"> PAGEREF _Toc450809272 \h </w:instrText>
        </w:r>
        <w:r w:rsidR="005334A6">
          <w:rPr>
            <w:noProof/>
            <w:webHidden/>
          </w:rPr>
        </w:r>
        <w:r w:rsidR="005334A6">
          <w:rPr>
            <w:noProof/>
            <w:webHidden/>
          </w:rPr>
          <w:fldChar w:fldCharType="separate"/>
        </w:r>
        <w:r w:rsidR="005334A6">
          <w:rPr>
            <w:noProof/>
            <w:webHidden/>
          </w:rPr>
          <w:t>24</w:t>
        </w:r>
        <w:r w:rsidR="005334A6">
          <w:rPr>
            <w:noProof/>
            <w:webHidden/>
          </w:rPr>
          <w:fldChar w:fldCharType="end"/>
        </w:r>
      </w:hyperlink>
    </w:p>
    <w:p w14:paraId="047EB553" w14:textId="77777777" w:rsidR="005334A6" w:rsidRDefault="00C54524">
      <w:pPr>
        <w:pStyle w:val="TOC1"/>
        <w:rPr>
          <w:rFonts w:asciiTheme="minorHAnsi" w:eastAsiaTheme="minorEastAsia" w:hAnsiTheme="minorHAnsi" w:cstheme="minorBidi"/>
          <w:noProof/>
          <w:lang w:eastAsia="en-AU"/>
        </w:rPr>
      </w:pPr>
      <w:hyperlink w:anchor="_Toc450809273" w:history="1">
        <w:r w:rsidR="005334A6" w:rsidRPr="00A111BC">
          <w:rPr>
            <w:rStyle w:val="Hyperlink"/>
            <w:noProof/>
          </w:rPr>
          <w:t>Chart 3.3 : Direct value added to GDP from living expenses, 2014-15</w:t>
        </w:r>
        <w:r w:rsidR="005334A6">
          <w:rPr>
            <w:noProof/>
            <w:webHidden/>
          </w:rPr>
          <w:tab/>
        </w:r>
        <w:r w:rsidR="005334A6">
          <w:rPr>
            <w:noProof/>
            <w:webHidden/>
          </w:rPr>
          <w:fldChar w:fldCharType="begin"/>
        </w:r>
        <w:r w:rsidR="005334A6">
          <w:rPr>
            <w:noProof/>
            <w:webHidden/>
          </w:rPr>
          <w:instrText xml:space="preserve"> PAGEREF _Toc450809273 \h </w:instrText>
        </w:r>
        <w:r w:rsidR="005334A6">
          <w:rPr>
            <w:noProof/>
            <w:webHidden/>
          </w:rPr>
        </w:r>
        <w:r w:rsidR="005334A6">
          <w:rPr>
            <w:noProof/>
            <w:webHidden/>
          </w:rPr>
          <w:fldChar w:fldCharType="separate"/>
        </w:r>
        <w:r w:rsidR="005334A6">
          <w:rPr>
            <w:noProof/>
            <w:webHidden/>
          </w:rPr>
          <w:t>25</w:t>
        </w:r>
        <w:r w:rsidR="005334A6">
          <w:rPr>
            <w:noProof/>
            <w:webHidden/>
          </w:rPr>
          <w:fldChar w:fldCharType="end"/>
        </w:r>
      </w:hyperlink>
    </w:p>
    <w:p w14:paraId="0BFEED40" w14:textId="77777777" w:rsidR="005334A6" w:rsidRDefault="00C54524">
      <w:pPr>
        <w:pStyle w:val="TOC1"/>
        <w:rPr>
          <w:rFonts w:asciiTheme="minorHAnsi" w:eastAsiaTheme="minorEastAsia" w:hAnsiTheme="minorHAnsi" w:cstheme="minorBidi"/>
          <w:noProof/>
          <w:lang w:eastAsia="en-AU"/>
        </w:rPr>
      </w:pPr>
      <w:hyperlink w:anchor="_Toc450809274" w:history="1">
        <w:r w:rsidR="005334A6" w:rsidRPr="00A111BC">
          <w:rPr>
            <w:rStyle w:val="Hyperlink"/>
            <w:noProof/>
          </w:rPr>
          <w:t>Chart 3.4 : Indirect value added to GDP from living expenses, 2014-15</w:t>
        </w:r>
        <w:r w:rsidR="005334A6">
          <w:rPr>
            <w:noProof/>
            <w:webHidden/>
          </w:rPr>
          <w:tab/>
        </w:r>
        <w:r w:rsidR="005334A6">
          <w:rPr>
            <w:noProof/>
            <w:webHidden/>
          </w:rPr>
          <w:fldChar w:fldCharType="begin"/>
        </w:r>
        <w:r w:rsidR="005334A6">
          <w:rPr>
            <w:noProof/>
            <w:webHidden/>
          </w:rPr>
          <w:instrText xml:space="preserve"> PAGEREF _Toc450809274 \h </w:instrText>
        </w:r>
        <w:r w:rsidR="005334A6">
          <w:rPr>
            <w:noProof/>
            <w:webHidden/>
          </w:rPr>
        </w:r>
        <w:r w:rsidR="005334A6">
          <w:rPr>
            <w:noProof/>
            <w:webHidden/>
          </w:rPr>
          <w:fldChar w:fldCharType="separate"/>
        </w:r>
        <w:r w:rsidR="005334A6">
          <w:rPr>
            <w:noProof/>
            <w:webHidden/>
          </w:rPr>
          <w:t>26</w:t>
        </w:r>
        <w:r w:rsidR="005334A6">
          <w:rPr>
            <w:noProof/>
            <w:webHidden/>
          </w:rPr>
          <w:fldChar w:fldCharType="end"/>
        </w:r>
      </w:hyperlink>
    </w:p>
    <w:p w14:paraId="4DE0574A" w14:textId="77777777" w:rsidR="005334A6" w:rsidRDefault="00C54524">
      <w:pPr>
        <w:pStyle w:val="TOC1"/>
        <w:rPr>
          <w:rFonts w:asciiTheme="minorHAnsi" w:eastAsiaTheme="minorEastAsia" w:hAnsiTheme="minorHAnsi" w:cstheme="minorBidi"/>
          <w:noProof/>
          <w:lang w:eastAsia="en-AU"/>
        </w:rPr>
      </w:pPr>
      <w:hyperlink w:anchor="_Toc450809275" w:history="1">
        <w:r w:rsidR="005334A6" w:rsidRPr="00A111BC">
          <w:rPr>
            <w:rStyle w:val="Hyperlink"/>
            <w:noProof/>
            <w:lang w:eastAsia="en-AU"/>
          </w:rPr>
          <w:t>Chart 4.1 : Relative total international education contribution to states, 2014-15</w:t>
        </w:r>
        <w:r w:rsidR="005334A6">
          <w:rPr>
            <w:noProof/>
            <w:webHidden/>
          </w:rPr>
          <w:tab/>
        </w:r>
        <w:r w:rsidR="005334A6">
          <w:rPr>
            <w:noProof/>
            <w:webHidden/>
          </w:rPr>
          <w:fldChar w:fldCharType="begin"/>
        </w:r>
        <w:r w:rsidR="005334A6">
          <w:rPr>
            <w:noProof/>
            <w:webHidden/>
          </w:rPr>
          <w:instrText xml:space="preserve"> PAGEREF _Toc450809275 \h </w:instrText>
        </w:r>
        <w:r w:rsidR="005334A6">
          <w:rPr>
            <w:noProof/>
            <w:webHidden/>
          </w:rPr>
        </w:r>
        <w:r w:rsidR="005334A6">
          <w:rPr>
            <w:noProof/>
            <w:webHidden/>
          </w:rPr>
          <w:fldChar w:fldCharType="separate"/>
        </w:r>
        <w:r w:rsidR="005334A6">
          <w:rPr>
            <w:noProof/>
            <w:webHidden/>
          </w:rPr>
          <w:t>29</w:t>
        </w:r>
        <w:r w:rsidR="005334A6">
          <w:rPr>
            <w:noProof/>
            <w:webHidden/>
          </w:rPr>
          <w:fldChar w:fldCharType="end"/>
        </w:r>
      </w:hyperlink>
    </w:p>
    <w:p w14:paraId="32817DB6" w14:textId="77777777" w:rsidR="005334A6" w:rsidRDefault="00C54524">
      <w:pPr>
        <w:pStyle w:val="TOC1"/>
        <w:rPr>
          <w:rFonts w:asciiTheme="minorHAnsi" w:eastAsiaTheme="minorEastAsia" w:hAnsiTheme="minorHAnsi" w:cstheme="minorBidi"/>
          <w:noProof/>
          <w:lang w:eastAsia="en-AU"/>
        </w:rPr>
      </w:pPr>
      <w:hyperlink w:anchor="_Toc450809276" w:history="1">
        <w:r w:rsidR="005334A6" w:rsidRPr="00A111BC">
          <w:rPr>
            <w:rStyle w:val="Hyperlink"/>
            <w:noProof/>
          </w:rPr>
          <w:t>Chart 5.1 : Indirect value added from tourism activity, 2014-15</w:t>
        </w:r>
        <w:r w:rsidR="005334A6">
          <w:rPr>
            <w:noProof/>
            <w:webHidden/>
          </w:rPr>
          <w:tab/>
        </w:r>
        <w:r w:rsidR="005334A6">
          <w:rPr>
            <w:noProof/>
            <w:webHidden/>
          </w:rPr>
          <w:fldChar w:fldCharType="begin"/>
        </w:r>
        <w:r w:rsidR="005334A6">
          <w:rPr>
            <w:noProof/>
            <w:webHidden/>
          </w:rPr>
          <w:instrText xml:space="preserve"> PAGEREF _Toc450809276 \h </w:instrText>
        </w:r>
        <w:r w:rsidR="005334A6">
          <w:rPr>
            <w:noProof/>
            <w:webHidden/>
          </w:rPr>
        </w:r>
        <w:r w:rsidR="005334A6">
          <w:rPr>
            <w:noProof/>
            <w:webHidden/>
          </w:rPr>
          <w:fldChar w:fldCharType="separate"/>
        </w:r>
        <w:r w:rsidR="005334A6">
          <w:rPr>
            <w:noProof/>
            <w:webHidden/>
          </w:rPr>
          <w:t>40</w:t>
        </w:r>
        <w:r w:rsidR="005334A6">
          <w:rPr>
            <w:noProof/>
            <w:webHidden/>
          </w:rPr>
          <w:fldChar w:fldCharType="end"/>
        </w:r>
      </w:hyperlink>
    </w:p>
    <w:p w14:paraId="2CC08210" w14:textId="77777777" w:rsidR="005334A6" w:rsidRDefault="00C54524">
      <w:pPr>
        <w:pStyle w:val="TOC1"/>
        <w:rPr>
          <w:rFonts w:asciiTheme="minorHAnsi" w:eastAsiaTheme="minorEastAsia" w:hAnsiTheme="minorHAnsi" w:cstheme="minorBidi"/>
          <w:noProof/>
          <w:lang w:eastAsia="en-AU"/>
        </w:rPr>
      </w:pPr>
      <w:hyperlink w:anchor="_Toc450809277" w:history="1">
        <w:r w:rsidR="005334A6" w:rsidRPr="00A111BC">
          <w:rPr>
            <w:rStyle w:val="Hyperlink"/>
            <w:noProof/>
          </w:rPr>
          <w:t>Chart E.1 : International student enrolments by broad level of course, 2014</w:t>
        </w:r>
        <w:r w:rsidR="005334A6">
          <w:rPr>
            <w:noProof/>
            <w:webHidden/>
          </w:rPr>
          <w:tab/>
        </w:r>
        <w:r w:rsidR="005334A6">
          <w:rPr>
            <w:noProof/>
            <w:webHidden/>
          </w:rPr>
          <w:fldChar w:fldCharType="begin"/>
        </w:r>
        <w:r w:rsidR="005334A6">
          <w:rPr>
            <w:noProof/>
            <w:webHidden/>
          </w:rPr>
          <w:instrText xml:space="preserve"> PAGEREF _Toc450809277 \h </w:instrText>
        </w:r>
        <w:r w:rsidR="005334A6">
          <w:rPr>
            <w:noProof/>
            <w:webHidden/>
          </w:rPr>
        </w:r>
        <w:r w:rsidR="005334A6">
          <w:rPr>
            <w:noProof/>
            <w:webHidden/>
          </w:rPr>
          <w:fldChar w:fldCharType="separate"/>
        </w:r>
        <w:r w:rsidR="005334A6">
          <w:rPr>
            <w:noProof/>
            <w:webHidden/>
          </w:rPr>
          <w:t>75</w:t>
        </w:r>
        <w:r w:rsidR="005334A6">
          <w:rPr>
            <w:noProof/>
            <w:webHidden/>
          </w:rPr>
          <w:fldChar w:fldCharType="end"/>
        </w:r>
      </w:hyperlink>
    </w:p>
    <w:p w14:paraId="0D090D47" w14:textId="77777777" w:rsidR="00F41CBD" w:rsidRPr="00DE4E85" w:rsidRDefault="00F41CBD" w:rsidP="00163EA3">
      <w:pPr>
        <w:pStyle w:val="Contents-Minor"/>
        <w:outlineLvl w:val="0"/>
      </w:pPr>
      <w:r>
        <w:rPr>
          <w:rFonts w:cs="Arial"/>
          <w:sz w:val="24"/>
          <w:szCs w:val="20"/>
        </w:rPr>
        <w:fldChar w:fldCharType="end"/>
      </w:r>
      <w:r w:rsidRPr="00E267C5">
        <w:t>Tables</w:t>
      </w:r>
    </w:p>
    <w:p w14:paraId="37C9EF3E" w14:textId="77777777" w:rsidR="005334A6" w:rsidRDefault="00161B44">
      <w:pPr>
        <w:pStyle w:val="TOC1"/>
        <w:rPr>
          <w:rFonts w:asciiTheme="minorHAnsi" w:eastAsiaTheme="minorEastAsia" w:hAnsiTheme="minorHAnsi" w:cstheme="minorBidi"/>
          <w:noProof/>
          <w:lang w:eastAsia="en-AU"/>
        </w:rPr>
      </w:pPr>
      <w:r>
        <w:rPr>
          <w:sz w:val="24"/>
          <w:szCs w:val="20"/>
        </w:rPr>
        <w:fldChar w:fldCharType="begin"/>
      </w:r>
      <w:r>
        <w:rPr>
          <w:sz w:val="24"/>
          <w:szCs w:val="20"/>
        </w:rPr>
        <w:instrText xml:space="preserve"> TOC \t "Appendix Table Caption,1,Caption_Table,1,Exec Table Caption,1" </w:instrText>
      </w:r>
      <w:r>
        <w:rPr>
          <w:sz w:val="24"/>
          <w:szCs w:val="20"/>
        </w:rPr>
        <w:fldChar w:fldCharType="separate"/>
      </w:r>
      <w:r w:rsidR="005334A6">
        <w:rPr>
          <w:noProof/>
          <w:lang w:eastAsia="en-AU"/>
        </w:rPr>
        <w:t>Table 1 : Contribution of international education to employment, 2014-15</w:t>
      </w:r>
      <w:r w:rsidR="005334A6">
        <w:rPr>
          <w:noProof/>
        </w:rPr>
        <w:tab/>
      </w:r>
      <w:r w:rsidR="005334A6">
        <w:rPr>
          <w:noProof/>
        </w:rPr>
        <w:fldChar w:fldCharType="begin"/>
      </w:r>
      <w:r w:rsidR="005334A6">
        <w:rPr>
          <w:noProof/>
        </w:rPr>
        <w:instrText xml:space="preserve"> PAGEREF _Toc450809278 \h </w:instrText>
      </w:r>
      <w:r w:rsidR="005334A6">
        <w:rPr>
          <w:noProof/>
        </w:rPr>
      </w:r>
      <w:r w:rsidR="005334A6">
        <w:rPr>
          <w:noProof/>
        </w:rPr>
        <w:fldChar w:fldCharType="separate"/>
      </w:r>
      <w:r w:rsidR="005334A6">
        <w:rPr>
          <w:noProof/>
        </w:rPr>
        <w:t>2</w:t>
      </w:r>
      <w:r w:rsidR="005334A6">
        <w:rPr>
          <w:noProof/>
        </w:rPr>
        <w:fldChar w:fldCharType="end"/>
      </w:r>
    </w:p>
    <w:p w14:paraId="58EC00F4" w14:textId="77777777" w:rsidR="005334A6" w:rsidRDefault="005334A6">
      <w:pPr>
        <w:pStyle w:val="TOC1"/>
        <w:rPr>
          <w:rFonts w:asciiTheme="minorHAnsi" w:eastAsiaTheme="minorEastAsia" w:hAnsiTheme="minorHAnsi" w:cstheme="minorBidi"/>
          <w:noProof/>
          <w:lang w:eastAsia="en-AU"/>
        </w:rPr>
      </w:pPr>
      <w:r w:rsidRPr="00704FF3">
        <w:rPr>
          <w:noProof/>
        </w:rPr>
        <w:t>Table 2.1</w:t>
      </w:r>
      <w:r>
        <w:rPr>
          <w:noProof/>
        </w:rPr>
        <w:t xml:space="preserve"> : Export value of international education captured by ABS, 2014-15</w:t>
      </w:r>
      <w:r>
        <w:rPr>
          <w:noProof/>
        </w:rPr>
        <w:tab/>
      </w:r>
      <w:r>
        <w:rPr>
          <w:noProof/>
        </w:rPr>
        <w:fldChar w:fldCharType="begin"/>
      </w:r>
      <w:r>
        <w:rPr>
          <w:noProof/>
        </w:rPr>
        <w:instrText xml:space="preserve"> PAGEREF _Toc450809279 \h </w:instrText>
      </w:r>
      <w:r>
        <w:rPr>
          <w:noProof/>
        </w:rPr>
      </w:r>
      <w:r>
        <w:rPr>
          <w:noProof/>
        </w:rPr>
        <w:fldChar w:fldCharType="separate"/>
      </w:r>
      <w:r>
        <w:rPr>
          <w:noProof/>
        </w:rPr>
        <w:t>4</w:t>
      </w:r>
      <w:r>
        <w:rPr>
          <w:noProof/>
        </w:rPr>
        <w:fldChar w:fldCharType="end"/>
      </w:r>
    </w:p>
    <w:p w14:paraId="70ED6BE7" w14:textId="77777777" w:rsidR="005334A6" w:rsidRDefault="005334A6">
      <w:pPr>
        <w:pStyle w:val="TOC1"/>
        <w:rPr>
          <w:rFonts w:asciiTheme="minorHAnsi" w:eastAsiaTheme="minorEastAsia" w:hAnsiTheme="minorHAnsi" w:cstheme="minorBidi"/>
          <w:noProof/>
          <w:lang w:eastAsia="en-AU"/>
        </w:rPr>
      </w:pPr>
      <w:r w:rsidRPr="00704FF3">
        <w:rPr>
          <w:noProof/>
        </w:rPr>
        <w:t>Table 2.2</w:t>
      </w:r>
      <w:r>
        <w:rPr>
          <w:noProof/>
        </w:rPr>
        <w:t xml:space="preserve"> : Export value of NSV ELICOS enrolments, 2014-15</w:t>
      </w:r>
      <w:r>
        <w:rPr>
          <w:noProof/>
        </w:rPr>
        <w:tab/>
      </w:r>
      <w:r>
        <w:rPr>
          <w:noProof/>
        </w:rPr>
        <w:fldChar w:fldCharType="begin"/>
      </w:r>
      <w:r>
        <w:rPr>
          <w:noProof/>
        </w:rPr>
        <w:instrText xml:space="preserve"> PAGEREF _Toc450809280 \h </w:instrText>
      </w:r>
      <w:r>
        <w:rPr>
          <w:noProof/>
        </w:rPr>
      </w:r>
      <w:r>
        <w:rPr>
          <w:noProof/>
        </w:rPr>
        <w:fldChar w:fldCharType="separate"/>
      </w:r>
      <w:r>
        <w:rPr>
          <w:noProof/>
        </w:rPr>
        <w:t>9</w:t>
      </w:r>
      <w:r>
        <w:rPr>
          <w:noProof/>
        </w:rPr>
        <w:fldChar w:fldCharType="end"/>
      </w:r>
    </w:p>
    <w:p w14:paraId="5F515FE6" w14:textId="77777777" w:rsidR="005334A6" w:rsidRDefault="005334A6">
      <w:pPr>
        <w:pStyle w:val="TOC1"/>
        <w:rPr>
          <w:rFonts w:asciiTheme="minorHAnsi" w:eastAsiaTheme="minorEastAsia" w:hAnsiTheme="minorHAnsi" w:cstheme="minorBidi"/>
          <w:noProof/>
          <w:lang w:eastAsia="en-AU"/>
        </w:rPr>
      </w:pPr>
      <w:r w:rsidRPr="00704FF3">
        <w:rPr>
          <w:noProof/>
          <w:lang w:eastAsia="en-AU"/>
        </w:rPr>
        <w:t>Table 2.3</w:t>
      </w:r>
      <w:r>
        <w:rPr>
          <w:noProof/>
          <w:lang w:eastAsia="en-AU"/>
        </w:rPr>
        <w:t xml:space="preserve"> : Students at overseas delivery locations by provider type, 2014</w:t>
      </w:r>
      <w:r>
        <w:rPr>
          <w:noProof/>
        </w:rPr>
        <w:tab/>
      </w:r>
      <w:r>
        <w:rPr>
          <w:noProof/>
        </w:rPr>
        <w:fldChar w:fldCharType="begin"/>
      </w:r>
      <w:r>
        <w:rPr>
          <w:noProof/>
        </w:rPr>
        <w:instrText xml:space="preserve"> PAGEREF _Toc450809281 \h </w:instrText>
      </w:r>
      <w:r>
        <w:rPr>
          <w:noProof/>
        </w:rPr>
      </w:r>
      <w:r>
        <w:rPr>
          <w:noProof/>
        </w:rPr>
        <w:fldChar w:fldCharType="separate"/>
      </w:r>
      <w:r>
        <w:rPr>
          <w:noProof/>
        </w:rPr>
        <w:t>13</w:t>
      </w:r>
      <w:r>
        <w:rPr>
          <w:noProof/>
        </w:rPr>
        <w:fldChar w:fldCharType="end"/>
      </w:r>
    </w:p>
    <w:p w14:paraId="4FD8D272" w14:textId="77777777" w:rsidR="005334A6" w:rsidRDefault="005334A6">
      <w:pPr>
        <w:pStyle w:val="TOC1"/>
        <w:rPr>
          <w:rFonts w:asciiTheme="minorHAnsi" w:eastAsiaTheme="minorEastAsia" w:hAnsiTheme="minorHAnsi" w:cstheme="minorBidi"/>
          <w:noProof/>
          <w:lang w:eastAsia="en-AU"/>
        </w:rPr>
      </w:pPr>
      <w:r w:rsidRPr="00704FF3">
        <w:rPr>
          <w:noProof/>
        </w:rPr>
        <w:t>Table 3.1</w:t>
      </w:r>
      <w:r>
        <w:rPr>
          <w:noProof/>
        </w:rPr>
        <w:t xml:space="preserve"> : Contribution summary of international education services, 2014-15</w:t>
      </w:r>
      <w:r>
        <w:rPr>
          <w:noProof/>
        </w:rPr>
        <w:tab/>
      </w:r>
      <w:r>
        <w:rPr>
          <w:noProof/>
        </w:rPr>
        <w:fldChar w:fldCharType="begin"/>
      </w:r>
      <w:r>
        <w:rPr>
          <w:noProof/>
        </w:rPr>
        <w:instrText xml:space="preserve"> PAGEREF _Toc450809282 \h </w:instrText>
      </w:r>
      <w:r>
        <w:rPr>
          <w:noProof/>
        </w:rPr>
      </w:r>
      <w:r>
        <w:rPr>
          <w:noProof/>
        </w:rPr>
        <w:fldChar w:fldCharType="separate"/>
      </w:r>
      <w:r>
        <w:rPr>
          <w:noProof/>
        </w:rPr>
        <w:t>19</w:t>
      </w:r>
      <w:r>
        <w:rPr>
          <w:noProof/>
        </w:rPr>
        <w:fldChar w:fldCharType="end"/>
      </w:r>
    </w:p>
    <w:p w14:paraId="4C0E3BBA" w14:textId="77777777" w:rsidR="005334A6" w:rsidRDefault="005334A6">
      <w:pPr>
        <w:pStyle w:val="TOC1"/>
        <w:rPr>
          <w:rFonts w:asciiTheme="minorHAnsi" w:eastAsiaTheme="minorEastAsia" w:hAnsiTheme="minorHAnsi" w:cstheme="minorBidi"/>
          <w:noProof/>
          <w:lang w:eastAsia="en-AU"/>
        </w:rPr>
      </w:pPr>
      <w:r w:rsidRPr="00704FF3">
        <w:rPr>
          <w:noProof/>
        </w:rPr>
        <w:t>Table 3.2</w:t>
      </w:r>
      <w:r>
        <w:rPr>
          <w:noProof/>
        </w:rPr>
        <w:t xml:space="preserve"> : Illustration of how $1 of revenue translates to value added for onshore and offshore university operations</w:t>
      </w:r>
      <w:r>
        <w:rPr>
          <w:noProof/>
        </w:rPr>
        <w:tab/>
      </w:r>
      <w:r>
        <w:rPr>
          <w:noProof/>
        </w:rPr>
        <w:fldChar w:fldCharType="begin"/>
      </w:r>
      <w:r>
        <w:rPr>
          <w:noProof/>
        </w:rPr>
        <w:instrText xml:space="preserve"> PAGEREF _Toc450809283 \h </w:instrText>
      </w:r>
      <w:r>
        <w:rPr>
          <w:noProof/>
        </w:rPr>
      </w:r>
      <w:r>
        <w:rPr>
          <w:noProof/>
        </w:rPr>
        <w:fldChar w:fldCharType="separate"/>
      </w:r>
      <w:r>
        <w:rPr>
          <w:noProof/>
        </w:rPr>
        <w:t>21</w:t>
      </w:r>
      <w:r>
        <w:rPr>
          <w:noProof/>
        </w:rPr>
        <w:fldChar w:fldCharType="end"/>
      </w:r>
    </w:p>
    <w:p w14:paraId="59162004" w14:textId="77777777" w:rsidR="005334A6" w:rsidRDefault="005334A6">
      <w:pPr>
        <w:pStyle w:val="TOC1"/>
        <w:rPr>
          <w:rFonts w:asciiTheme="minorHAnsi" w:eastAsiaTheme="minorEastAsia" w:hAnsiTheme="minorHAnsi" w:cstheme="minorBidi"/>
          <w:noProof/>
          <w:lang w:eastAsia="en-AU"/>
        </w:rPr>
      </w:pPr>
      <w:r w:rsidRPr="00704FF3">
        <w:rPr>
          <w:noProof/>
        </w:rPr>
        <w:t>Table 3.3</w:t>
      </w:r>
      <w:r>
        <w:rPr>
          <w:noProof/>
        </w:rPr>
        <w:t xml:space="preserve"> : Contribution summary by sector, 2014-15</w:t>
      </w:r>
      <w:r>
        <w:rPr>
          <w:noProof/>
        </w:rPr>
        <w:tab/>
      </w:r>
      <w:r>
        <w:rPr>
          <w:noProof/>
        </w:rPr>
        <w:fldChar w:fldCharType="begin"/>
      </w:r>
      <w:r>
        <w:rPr>
          <w:noProof/>
        </w:rPr>
        <w:instrText xml:space="preserve"> PAGEREF _Toc450809284 \h </w:instrText>
      </w:r>
      <w:r>
        <w:rPr>
          <w:noProof/>
        </w:rPr>
      </w:r>
      <w:r>
        <w:rPr>
          <w:noProof/>
        </w:rPr>
        <w:fldChar w:fldCharType="separate"/>
      </w:r>
      <w:r>
        <w:rPr>
          <w:noProof/>
        </w:rPr>
        <w:t>23</w:t>
      </w:r>
      <w:r>
        <w:rPr>
          <w:noProof/>
        </w:rPr>
        <w:fldChar w:fldCharType="end"/>
      </w:r>
    </w:p>
    <w:p w14:paraId="40D7244D" w14:textId="77777777" w:rsidR="005334A6" w:rsidRDefault="005334A6">
      <w:pPr>
        <w:pStyle w:val="TOC1"/>
        <w:rPr>
          <w:rFonts w:asciiTheme="minorHAnsi" w:eastAsiaTheme="minorEastAsia" w:hAnsiTheme="minorHAnsi" w:cstheme="minorBidi"/>
          <w:noProof/>
          <w:lang w:eastAsia="en-AU"/>
        </w:rPr>
      </w:pPr>
      <w:r w:rsidRPr="00704FF3">
        <w:rPr>
          <w:noProof/>
          <w:lang w:eastAsia="en-AU"/>
        </w:rPr>
        <w:t>Table 4.1</w:t>
      </w:r>
      <w:r>
        <w:rPr>
          <w:noProof/>
          <w:lang w:eastAsia="en-AU"/>
        </w:rPr>
        <w:t xml:space="preserve"> : International education export revenue by category and state, 2014-15</w:t>
      </w:r>
      <w:r>
        <w:rPr>
          <w:noProof/>
        </w:rPr>
        <w:tab/>
      </w:r>
      <w:r>
        <w:rPr>
          <w:noProof/>
        </w:rPr>
        <w:fldChar w:fldCharType="begin"/>
      </w:r>
      <w:r>
        <w:rPr>
          <w:noProof/>
        </w:rPr>
        <w:instrText xml:space="preserve"> PAGEREF _Toc450809285 \h </w:instrText>
      </w:r>
      <w:r>
        <w:rPr>
          <w:noProof/>
        </w:rPr>
      </w:r>
      <w:r>
        <w:rPr>
          <w:noProof/>
        </w:rPr>
        <w:fldChar w:fldCharType="separate"/>
      </w:r>
      <w:r>
        <w:rPr>
          <w:noProof/>
        </w:rPr>
        <w:t>29</w:t>
      </w:r>
      <w:r>
        <w:rPr>
          <w:noProof/>
        </w:rPr>
        <w:fldChar w:fldCharType="end"/>
      </w:r>
    </w:p>
    <w:p w14:paraId="18987890" w14:textId="77777777" w:rsidR="005334A6" w:rsidRDefault="005334A6">
      <w:pPr>
        <w:pStyle w:val="TOC1"/>
        <w:rPr>
          <w:rFonts w:asciiTheme="minorHAnsi" w:eastAsiaTheme="minorEastAsia" w:hAnsiTheme="minorHAnsi" w:cstheme="minorBidi"/>
          <w:noProof/>
          <w:lang w:eastAsia="en-AU"/>
        </w:rPr>
      </w:pPr>
      <w:r w:rsidRPr="00704FF3">
        <w:rPr>
          <w:noProof/>
          <w:lang w:eastAsia="en-AU"/>
        </w:rPr>
        <w:t>Table 4.2</w:t>
      </w:r>
      <w:r>
        <w:rPr>
          <w:noProof/>
          <w:lang w:eastAsia="en-AU"/>
        </w:rPr>
        <w:t xml:space="preserve"> : Contribution of international education by state, 2014-15</w:t>
      </w:r>
      <w:r>
        <w:rPr>
          <w:noProof/>
        </w:rPr>
        <w:tab/>
      </w:r>
      <w:r>
        <w:rPr>
          <w:noProof/>
        </w:rPr>
        <w:fldChar w:fldCharType="begin"/>
      </w:r>
      <w:r>
        <w:rPr>
          <w:noProof/>
        </w:rPr>
        <w:instrText xml:space="preserve"> PAGEREF _Toc450809286 \h </w:instrText>
      </w:r>
      <w:r>
        <w:rPr>
          <w:noProof/>
        </w:rPr>
      </w:r>
      <w:r>
        <w:rPr>
          <w:noProof/>
        </w:rPr>
        <w:fldChar w:fldCharType="separate"/>
      </w:r>
      <w:r>
        <w:rPr>
          <w:noProof/>
        </w:rPr>
        <w:t>30</w:t>
      </w:r>
      <w:r>
        <w:rPr>
          <w:noProof/>
        </w:rPr>
        <w:fldChar w:fldCharType="end"/>
      </w:r>
    </w:p>
    <w:p w14:paraId="2C55F6F1" w14:textId="77777777" w:rsidR="005334A6" w:rsidRDefault="005334A6">
      <w:pPr>
        <w:pStyle w:val="TOC1"/>
        <w:rPr>
          <w:rFonts w:asciiTheme="minorHAnsi" w:eastAsiaTheme="minorEastAsia" w:hAnsiTheme="minorHAnsi" w:cstheme="minorBidi"/>
          <w:noProof/>
          <w:lang w:eastAsia="en-AU"/>
        </w:rPr>
      </w:pPr>
      <w:r w:rsidRPr="00704FF3">
        <w:rPr>
          <w:noProof/>
        </w:rPr>
        <w:t>Table 4.3</w:t>
      </w:r>
      <w:r>
        <w:rPr>
          <w:noProof/>
        </w:rPr>
        <w:t xml:space="preserve"> : International Higher Education contribution to LGA, 2014-15</w:t>
      </w:r>
      <w:r>
        <w:rPr>
          <w:noProof/>
        </w:rPr>
        <w:tab/>
      </w:r>
      <w:r>
        <w:rPr>
          <w:noProof/>
        </w:rPr>
        <w:fldChar w:fldCharType="begin"/>
      </w:r>
      <w:r>
        <w:rPr>
          <w:noProof/>
        </w:rPr>
        <w:instrText xml:space="preserve"> PAGEREF _Toc450809287 \h </w:instrText>
      </w:r>
      <w:r>
        <w:rPr>
          <w:noProof/>
        </w:rPr>
      </w:r>
      <w:r>
        <w:rPr>
          <w:noProof/>
        </w:rPr>
        <w:fldChar w:fldCharType="separate"/>
      </w:r>
      <w:r>
        <w:rPr>
          <w:noProof/>
        </w:rPr>
        <w:t>34</w:t>
      </w:r>
      <w:r>
        <w:rPr>
          <w:noProof/>
        </w:rPr>
        <w:fldChar w:fldCharType="end"/>
      </w:r>
    </w:p>
    <w:p w14:paraId="78EF5217" w14:textId="77777777" w:rsidR="005334A6" w:rsidRDefault="005334A6">
      <w:pPr>
        <w:pStyle w:val="TOC1"/>
        <w:rPr>
          <w:rFonts w:asciiTheme="minorHAnsi" w:eastAsiaTheme="minorEastAsia" w:hAnsiTheme="minorHAnsi" w:cstheme="minorBidi"/>
          <w:noProof/>
          <w:lang w:eastAsia="en-AU"/>
        </w:rPr>
      </w:pPr>
      <w:r w:rsidRPr="00704FF3">
        <w:rPr>
          <w:noProof/>
          <w:lang w:eastAsia="en-AU"/>
        </w:rPr>
        <w:t>Table 4.4</w:t>
      </w:r>
      <w:r>
        <w:rPr>
          <w:noProof/>
          <w:lang w:eastAsia="en-AU"/>
        </w:rPr>
        <w:t xml:space="preserve"> : Contribution of Melbourne international student spending, 2014-15</w:t>
      </w:r>
      <w:r>
        <w:rPr>
          <w:noProof/>
        </w:rPr>
        <w:tab/>
      </w:r>
      <w:r>
        <w:rPr>
          <w:noProof/>
        </w:rPr>
        <w:fldChar w:fldCharType="begin"/>
      </w:r>
      <w:r>
        <w:rPr>
          <w:noProof/>
        </w:rPr>
        <w:instrText xml:space="preserve"> PAGEREF _Toc450809288 \h </w:instrText>
      </w:r>
      <w:r>
        <w:rPr>
          <w:noProof/>
        </w:rPr>
      </w:r>
      <w:r>
        <w:rPr>
          <w:noProof/>
        </w:rPr>
        <w:fldChar w:fldCharType="separate"/>
      </w:r>
      <w:r>
        <w:rPr>
          <w:noProof/>
        </w:rPr>
        <w:t>36</w:t>
      </w:r>
      <w:r>
        <w:rPr>
          <w:noProof/>
        </w:rPr>
        <w:fldChar w:fldCharType="end"/>
      </w:r>
    </w:p>
    <w:p w14:paraId="102D34B2" w14:textId="77777777" w:rsidR="005334A6" w:rsidRDefault="005334A6">
      <w:pPr>
        <w:pStyle w:val="TOC1"/>
        <w:rPr>
          <w:rFonts w:asciiTheme="minorHAnsi" w:eastAsiaTheme="minorEastAsia" w:hAnsiTheme="minorHAnsi" w:cstheme="minorBidi"/>
          <w:noProof/>
          <w:lang w:eastAsia="en-AU"/>
        </w:rPr>
      </w:pPr>
      <w:r w:rsidRPr="00704FF3">
        <w:rPr>
          <w:noProof/>
        </w:rPr>
        <w:t>Table 5.1</w:t>
      </w:r>
      <w:r>
        <w:rPr>
          <w:noProof/>
        </w:rPr>
        <w:t xml:space="preserve"> : Contribution of friends and relatives visiting international students, 2014-15</w:t>
      </w:r>
      <w:r>
        <w:rPr>
          <w:noProof/>
        </w:rPr>
        <w:tab/>
      </w:r>
      <w:r>
        <w:rPr>
          <w:noProof/>
        </w:rPr>
        <w:fldChar w:fldCharType="begin"/>
      </w:r>
      <w:r>
        <w:rPr>
          <w:noProof/>
        </w:rPr>
        <w:instrText xml:space="preserve"> PAGEREF _Toc450809289 \h </w:instrText>
      </w:r>
      <w:r>
        <w:rPr>
          <w:noProof/>
        </w:rPr>
      </w:r>
      <w:r>
        <w:rPr>
          <w:noProof/>
        </w:rPr>
        <w:fldChar w:fldCharType="separate"/>
      </w:r>
      <w:r>
        <w:rPr>
          <w:noProof/>
        </w:rPr>
        <w:t>39</w:t>
      </w:r>
      <w:r>
        <w:rPr>
          <w:noProof/>
        </w:rPr>
        <w:fldChar w:fldCharType="end"/>
      </w:r>
    </w:p>
    <w:p w14:paraId="314B395A" w14:textId="77777777" w:rsidR="005334A6" w:rsidRDefault="005334A6">
      <w:pPr>
        <w:pStyle w:val="TOC1"/>
        <w:rPr>
          <w:rFonts w:asciiTheme="minorHAnsi" w:eastAsiaTheme="minorEastAsia" w:hAnsiTheme="minorHAnsi" w:cstheme="minorBidi"/>
          <w:noProof/>
          <w:lang w:eastAsia="en-AU"/>
        </w:rPr>
      </w:pPr>
      <w:r w:rsidRPr="00704FF3">
        <w:rPr>
          <w:noProof/>
        </w:rPr>
        <w:t>Table 5.2</w:t>
      </w:r>
      <w:r>
        <w:rPr>
          <w:noProof/>
        </w:rPr>
        <w:t xml:space="preserve"> : Contribution of friends and relatives visiting students by state, 2014-15</w:t>
      </w:r>
      <w:r>
        <w:rPr>
          <w:noProof/>
        </w:rPr>
        <w:tab/>
      </w:r>
      <w:r>
        <w:rPr>
          <w:noProof/>
        </w:rPr>
        <w:fldChar w:fldCharType="begin"/>
      </w:r>
      <w:r>
        <w:rPr>
          <w:noProof/>
        </w:rPr>
        <w:instrText xml:space="preserve"> PAGEREF _Toc450809290 \h </w:instrText>
      </w:r>
      <w:r>
        <w:rPr>
          <w:noProof/>
        </w:rPr>
      </w:r>
      <w:r>
        <w:rPr>
          <w:noProof/>
        </w:rPr>
        <w:fldChar w:fldCharType="separate"/>
      </w:r>
      <w:r>
        <w:rPr>
          <w:noProof/>
        </w:rPr>
        <w:t>41</w:t>
      </w:r>
      <w:r>
        <w:rPr>
          <w:noProof/>
        </w:rPr>
        <w:fldChar w:fldCharType="end"/>
      </w:r>
    </w:p>
    <w:p w14:paraId="2DE3FD60" w14:textId="77777777" w:rsidR="005334A6" w:rsidRDefault="005334A6">
      <w:pPr>
        <w:pStyle w:val="TOC1"/>
        <w:rPr>
          <w:rFonts w:asciiTheme="minorHAnsi" w:eastAsiaTheme="minorEastAsia" w:hAnsiTheme="minorHAnsi" w:cstheme="minorBidi"/>
          <w:noProof/>
          <w:lang w:eastAsia="en-AU"/>
        </w:rPr>
      </w:pPr>
      <w:r w:rsidRPr="00704FF3">
        <w:rPr>
          <w:noProof/>
        </w:rPr>
        <w:t>Table D.1</w:t>
      </w:r>
      <w:r>
        <w:rPr>
          <w:noProof/>
        </w:rPr>
        <w:t xml:space="preserve"> : IO categorisation by education provider mode and sector</w:t>
      </w:r>
      <w:r>
        <w:rPr>
          <w:noProof/>
        </w:rPr>
        <w:tab/>
      </w:r>
      <w:r>
        <w:rPr>
          <w:noProof/>
        </w:rPr>
        <w:fldChar w:fldCharType="begin"/>
      </w:r>
      <w:r>
        <w:rPr>
          <w:noProof/>
        </w:rPr>
        <w:instrText xml:space="preserve"> PAGEREF _Toc450809291 \h </w:instrText>
      </w:r>
      <w:r>
        <w:rPr>
          <w:noProof/>
        </w:rPr>
      </w:r>
      <w:r>
        <w:rPr>
          <w:noProof/>
        </w:rPr>
        <w:fldChar w:fldCharType="separate"/>
      </w:r>
      <w:r>
        <w:rPr>
          <w:noProof/>
        </w:rPr>
        <w:t>70</w:t>
      </w:r>
      <w:r>
        <w:rPr>
          <w:noProof/>
        </w:rPr>
        <w:fldChar w:fldCharType="end"/>
      </w:r>
    </w:p>
    <w:p w14:paraId="1E7C10E3" w14:textId="77777777" w:rsidR="005334A6" w:rsidRDefault="005334A6">
      <w:pPr>
        <w:pStyle w:val="TOC1"/>
        <w:rPr>
          <w:rFonts w:asciiTheme="minorHAnsi" w:eastAsiaTheme="minorEastAsia" w:hAnsiTheme="minorHAnsi" w:cstheme="minorBidi"/>
          <w:noProof/>
          <w:lang w:eastAsia="en-AU"/>
        </w:rPr>
      </w:pPr>
      <w:r w:rsidRPr="00704FF3">
        <w:rPr>
          <w:noProof/>
        </w:rPr>
        <w:lastRenderedPageBreak/>
        <w:t>Table D.2</w:t>
      </w:r>
      <w:r>
        <w:rPr>
          <w:noProof/>
        </w:rPr>
        <w:t xml:space="preserve"> : Contribution multipliers for international students, 2014-15</w:t>
      </w:r>
      <w:r>
        <w:rPr>
          <w:noProof/>
        </w:rPr>
        <w:tab/>
      </w:r>
      <w:r>
        <w:rPr>
          <w:noProof/>
        </w:rPr>
        <w:fldChar w:fldCharType="begin"/>
      </w:r>
      <w:r>
        <w:rPr>
          <w:noProof/>
        </w:rPr>
        <w:instrText xml:space="preserve"> PAGEREF _Toc450809292 \h </w:instrText>
      </w:r>
      <w:r>
        <w:rPr>
          <w:noProof/>
        </w:rPr>
      </w:r>
      <w:r>
        <w:rPr>
          <w:noProof/>
        </w:rPr>
        <w:fldChar w:fldCharType="separate"/>
      </w:r>
      <w:r>
        <w:rPr>
          <w:noProof/>
        </w:rPr>
        <w:t>72</w:t>
      </w:r>
      <w:r>
        <w:rPr>
          <w:noProof/>
        </w:rPr>
        <w:fldChar w:fldCharType="end"/>
      </w:r>
    </w:p>
    <w:p w14:paraId="18A0931C" w14:textId="77777777" w:rsidR="005334A6" w:rsidRDefault="005334A6">
      <w:pPr>
        <w:pStyle w:val="TOC1"/>
        <w:rPr>
          <w:rFonts w:asciiTheme="minorHAnsi" w:eastAsiaTheme="minorEastAsia" w:hAnsiTheme="minorHAnsi" w:cstheme="minorBidi"/>
          <w:noProof/>
          <w:lang w:eastAsia="en-AU"/>
        </w:rPr>
      </w:pPr>
      <w:r w:rsidRPr="00704FF3">
        <w:rPr>
          <w:noProof/>
        </w:rPr>
        <w:t>Table E.1</w:t>
      </w:r>
      <w:r>
        <w:rPr>
          <w:noProof/>
        </w:rPr>
        <w:t xml:space="preserve"> : Share of employment by industry, 2011</w:t>
      </w:r>
      <w:r>
        <w:rPr>
          <w:noProof/>
        </w:rPr>
        <w:tab/>
      </w:r>
      <w:r>
        <w:rPr>
          <w:noProof/>
        </w:rPr>
        <w:fldChar w:fldCharType="begin"/>
      </w:r>
      <w:r>
        <w:rPr>
          <w:noProof/>
        </w:rPr>
        <w:instrText xml:space="preserve"> PAGEREF _Toc450809293 \h </w:instrText>
      </w:r>
      <w:r>
        <w:rPr>
          <w:noProof/>
        </w:rPr>
      </w:r>
      <w:r>
        <w:rPr>
          <w:noProof/>
        </w:rPr>
        <w:fldChar w:fldCharType="separate"/>
      </w:r>
      <w:r>
        <w:rPr>
          <w:noProof/>
        </w:rPr>
        <w:t>73</w:t>
      </w:r>
      <w:r>
        <w:rPr>
          <w:noProof/>
        </w:rPr>
        <w:fldChar w:fldCharType="end"/>
      </w:r>
    </w:p>
    <w:p w14:paraId="2902A55E" w14:textId="2572796B" w:rsidR="00F41CBD" w:rsidRPr="00DE4E85" w:rsidRDefault="00161B44" w:rsidP="00163EA3">
      <w:pPr>
        <w:pStyle w:val="Contents-Minor"/>
        <w:outlineLvl w:val="0"/>
      </w:pPr>
      <w:r>
        <w:rPr>
          <w:color w:val="auto"/>
          <w:sz w:val="24"/>
          <w:szCs w:val="20"/>
        </w:rPr>
        <w:fldChar w:fldCharType="end"/>
      </w:r>
      <w:r w:rsidR="00F41CBD" w:rsidRPr="00381087">
        <w:t>Figures</w:t>
      </w:r>
    </w:p>
    <w:p w14:paraId="77F90147" w14:textId="77777777" w:rsidR="005334A6" w:rsidRDefault="001C6442">
      <w:pPr>
        <w:pStyle w:val="TOC1"/>
        <w:rPr>
          <w:rFonts w:asciiTheme="minorHAnsi" w:eastAsiaTheme="minorEastAsia" w:hAnsiTheme="minorHAnsi" w:cstheme="minorBidi"/>
          <w:noProof/>
          <w:lang w:eastAsia="en-AU"/>
        </w:rPr>
      </w:pPr>
      <w:r>
        <w:fldChar w:fldCharType="begin"/>
      </w:r>
      <w:r>
        <w:instrText xml:space="preserve"> TOC \h \z \t "Appendix Figure Caption,1,Caption_Figure,1" </w:instrText>
      </w:r>
      <w:r>
        <w:fldChar w:fldCharType="separate"/>
      </w:r>
      <w:hyperlink w:anchor="_Toc450809294" w:history="1">
        <w:r w:rsidR="005334A6" w:rsidRPr="00903C52">
          <w:rPr>
            <w:rStyle w:val="Hyperlink"/>
            <w:noProof/>
          </w:rPr>
          <w:t>Figure 2.1 : Different modes of international education delivery</w:t>
        </w:r>
        <w:r w:rsidR="005334A6">
          <w:rPr>
            <w:noProof/>
            <w:webHidden/>
          </w:rPr>
          <w:tab/>
        </w:r>
        <w:r w:rsidR="005334A6">
          <w:rPr>
            <w:noProof/>
            <w:webHidden/>
          </w:rPr>
          <w:fldChar w:fldCharType="begin"/>
        </w:r>
        <w:r w:rsidR="005334A6">
          <w:rPr>
            <w:noProof/>
            <w:webHidden/>
          </w:rPr>
          <w:instrText xml:space="preserve"> PAGEREF _Toc450809294 \h </w:instrText>
        </w:r>
        <w:r w:rsidR="005334A6">
          <w:rPr>
            <w:noProof/>
            <w:webHidden/>
          </w:rPr>
        </w:r>
        <w:r w:rsidR="005334A6">
          <w:rPr>
            <w:noProof/>
            <w:webHidden/>
          </w:rPr>
          <w:fldChar w:fldCharType="separate"/>
        </w:r>
        <w:r w:rsidR="005334A6">
          <w:rPr>
            <w:noProof/>
            <w:webHidden/>
          </w:rPr>
          <w:t>5</w:t>
        </w:r>
        <w:r w:rsidR="005334A6">
          <w:rPr>
            <w:noProof/>
            <w:webHidden/>
          </w:rPr>
          <w:fldChar w:fldCharType="end"/>
        </w:r>
      </w:hyperlink>
    </w:p>
    <w:p w14:paraId="26B2E9EB" w14:textId="77777777" w:rsidR="005334A6" w:rsidRDefault="00C54524">
      <w:pPr>
        <w:pStyle w:val="TOC1"/>
        <w:rPr>
          <w:rFonts w:asciiTheme="minorHAnsi" w:eastAsiaTheme="minorEastAsia" w:hAnsiTheme="minorHAnsi" w:cstheme="minorBidi"/>
          <w:noProof/>
          <w:lang w:eastAsia="en-AU"/>
        </w:rPr>
      </w:pPr>
      <w:hyperlink w:anchor="_Toc450809295" w:history="1">
        <w:r w:rsidR="005334A6" w:rsidRPr="00903C52">
          <w:rPr>
            <w:rStyle w:val="Hyperlink"/>
            <w:noProof/>
          </w:rPr>
          <w:t>Figure 2.2 : Top four source countries for offshore programs</w:t>
        </w:r>
        <w:r w:rsidR="005334A6">
          <w:rPr>
            <w:noProof/>
            <w:webHidden/>
          </w:rPr>
          <w:tab/>
        </w:r>
        <w:r w:rsidR="005334A6">
          <w:rPr>
            <w:noProof/>
            <w:webHidden/>
          </w:rPr>
          <w:fldChar w:fldCharType="begin"/>
        </w:r>
        <w:r w:rsidR="005334A6">
          <w:rPr>
            <w:noProof/>
            <w:webHidden/>
          </w:rPr>
          <w:instrText xml:space="preserve"> PAGEREF _Toc450809295 \h </w:instrText>
        </w:r>
        <w:r w:rsidR="005334A6">
          <w:rPr>
            <w:noProof/>
            <w:webHidden/>
          </w:rPr>
        </w:r>
        <w:r w:rsidR="005334A6">
          <w:rPr>
            <w:noProof/>
            <w:webHidden/>
          </w:rPr>
          <w:fldChar w:fldCharType="separate"/>
        </w:r>
        <w:r w:rsidR="005334A6">
          <w:rPr>
            <w:noProof/>
            <w:webHidden/>
          </w:rPr>
          <w:t>11</w:t>
        </w:r>
        <w:r w:rsidR="005334A6">
          <w:rPr>
            <w:noProof/>
            <w:webHidden/>
          </w:rPr>
          <w:fldChar w:fldCharType="end"/>
        </w:r>
      </w:hyperlink>
    </w:p>
    <w:p w14:paraId="38C4B037" w14:textId="77777777" w:rsidR="005334A6" w:rsidRDefault="00C54524">
      <w:pPr>
        <w:pStyle w:val="TOC1"/>
        <w:rPr>
          <w:rFonts w:asciiTheme="minorHAnsi" w:eastAsiaTheme="minorEastAsia" w:hAnsiTheme="minorHAnsi" w:cstheme="minorBidi"/>
          <w:noProof/>
          <w:lang w:eastAsia="en-AU"/>
        </w:rPr>
      </w:pPr>
      <w:hyperlink w:anchor="_Toc450809296" w:history="1">
        <w:r w:rsidR="005334A6" w:rsidRPr="00903C52">
          <w:rPr>
            <w:rStyle w:val="Hyperlink"/>
            <w:noProof/>
          </w:rPr>
          <w:t>Figure 4.1</w:t>
        </w:r>
        <w:r w:rsidR="005334A6" w:rsidRPr="00903C52">
          <w:rPr>
            <w:rStyle w:val="Hyperlink"/>
            <w:noProof/>
            <w:lang w:eastAsia="en-AU"/>
          </w:rPr>
          <w:t xml:space="preserve"> : Biggest campuses by capital and non-capital SA4 regions</w:t>
        </w:r>
        <w:r w:rsidR="005334A6" w:rsidRPr="00903C52">
          <w:rPr>
            <w:rStyle w:val="Hyperlink"/>
            <w:noProof/>
          </w:rPr>
          <w:t>, 2015</w:t>
        </w:r>
        <w:r w:rsidR="005334A6">
          <w:rPr>
            <w:noProof/>
            <w:webHidden/>
          </w:rPr>
          <w:tab/>
        </w:r>
        <w:r w:rsidR="005334A6">
          <w:rPr>
            <w:noProof/>
            <w:webHidden/>
          </w:rPr>
          <w:fldChar w:fldCharType="begin"/>
        </w:r>
        <w:r w:rsidR="005334A6">
          <w:rPr>
            <w:noProof/>
            <w:webHidden/>
          </w:rPr>
          <w:instrText xml:space="preserve"> PAGEREF _Toc450809296 \h </w:instrText>
        </w:r>
        <w:r w:rsidR="005334A6">
          <w:rPr>
            <w:noProof/>
            <w:webHidden/>
          </w:rPr>
        </w:r>
        <w:r w:rsidR="005334A6">
          <w:rPr>
            <w:noProof/>
            <w:webHidden/>
          </w:rPr>
          <w:fldChar w:fldCharType="separate"/>
        </w:r>
        <w:r w:rsidR="005334A6">
          <w:rPr>
            <w:noProof/>
            <w:webHidden/>
          </w:rPr>
          <w:t>32</w:t>
        </w:r>
        <w:r w:rsidR="005334A6">
          <w:rPr>
            <w:noProof/>
            <w:webHidden/>
          </w:rPr>
          <w:fldChar w:fldCharType="end"/>
        </w:r>
      </w:hyperlink>
    </w:p>
    <w:p w14:paraId="6CA911A2" w14:textId="77777777" w:rsidR="005334A6" w:rsidRDefault="00C54524">
      <w:pPr>
        <w:pStyle w:val="TOC1"/>
        <w:rPr>
          <w:rFonts w:asciiTheme="minorHAnsi" w:eastAsiaTheme="minorEastAsia" w:hAnsiTheme="minorHAnsi" w:cstheme="minorBidi"/>
          <w:noProof/>
          <w:lang w:eastAsia="en-AU"/>
        </w:rPr>
      </w:pPr>
      <w:hyperlink w:anchor="_Toc450809297" w:history="1">
        <w:r w:rsidR="005334A6" w:rsidRPr="00903C52">
          <w:rPr>
            <w:rStyle w:val="Hyperlink"/>
            <w:noProof/>
          </w:rPr>
          <w:t>Figure 4.2 : International student contribution by region, 2014-15</w:t>
        </w:r>
        <w:r w:rsidR="005334A6">
          <w:rPr>
            <w:noProof/>
            <w:webHidden/>
          </w:rPr>
          <w:tab/>
        </w:r>
        <w:r w:rsidR="005334A6">
          <w:rPr>
            <w:noProof/>
            <w:webHidden/>
          </w:rPr>
          <w:fldChar w:fldCharType="begin"/>
        </w:r>
        <w:r w:rsidR="005334A6">
          <w:rPr>
            <w:noProof/>
            <w:webHidden/>
          </w:rPr>
          <w:instrText xml:space="preserve"> PAGEREF _Toc450809297 \h </w:instrText>
        </w:r>
        <w:r w:rsidR="005334A6">
          <w:rPr>
            <w:noProof/>
            <w:webHidden/>
          </w:rPr>
        </w:r>
        <w:r w:rsidR="005334A6">
          <w:rPr>
            <w:noProof/>
            <w:webHidden/>
          </w:rPr>
          <w:fldChar w:fldCharType="separate"/>
        </w:r>
        <w:r w:rsidR="005334A6">
          <w:rPr>
            <w:noProof/>
            <w:webHidden/>
          </w:rPr>
          <w:t>35</w:t>
        </w:r>
        <w:r w:rsidR="005334A6">
          <w:rPr>
            <w:noProof/>
            <w:webHidden/>
          </w:rPr>
          <w:fldChar w:fldCharType="end"/>
        </w:r>
      </w:hyperlink>
    </w:p>
    <w:p w14:paraId="2D166405" w14:textId="77777777" w:rsidR="005334A6" w:rsidRDefault="00C54524">
      <w:pPr>
        <w:pStyle w:val="TOC1"/>
        <w:rPr>
          <w:rFonts w:asciiTheme="minorHAnsi" w:eastAsiaTheme="minorEastAsia" w:hAnsiTheme="minorHAnsi" w:cstheme="minorBidi"/>
          <w:noProof/>
          <w:lang w:eastAsia="en-AU"/>
        </w:rPr>
      </w:pPr>
      <w:hyperlink w:anchor="_Toc450809298" w:history="1">
        <w:r w:rsidR="005334A6" w:rsidRPr="00903C52">
          <w:rPr>
            <w:rStyle w:val="Hyperlink"/>
            <w:noProof/>
          </w:rPr>
          <w:t>Figure 5.1 : Visitors coming to Australia to visit an international student relative to those who visit an international student while they are in Australia</w:t>
        </w:r>
        <w:r w:rsidR="005334A6">
          <w:rPr>
            <w:noProof/>
            <w:webHidden/>
          </w:rPr>
          <w:tab/>
        </w:r>
        <w:r w:rsidR="005334A6">
          <w:rPr>
            <w:noProof/>
            <w:webHidden/>
          </w:rPr>
          <w:fldChar w:fldCharType="begin"/>
        </w:r>
        <w:r w:rsidR="005334A6">
          <w:rPr>
            <w:noProof/>
            <w:webHidden/>
          </w:rPr>
          <w:instrText xml:space="preserve"> PAGEREF _Toc450809298 \h </w:instrText>
        </w:r>
        <w:r w:rsidR="005334A6">
          <w:rPr>
            <w:noProof/>
            <w:webHidden/>
          </w:rPr>
        </w:r>
        <w:r w:rsidR="005334A6">
          <w:rPr>
            <w:noProof/>
            <w:webHidden/>
          </w:rPr>
          <w:fldChar w:fldCharType="separate"/>
        </w:r>
        <w:r w:rsidR="005334A6">
          <w:rPr>
            <w:noProof/>
            <w:webHidden/>
          </w:rPr>
          <w:t>39</w:t>
        </w:r>
        <w:r w:rsidR="005334A6">
          <w:rPr>
            <w:noProof/>
            <w:webHidden/>
          </w:rPr>
          <w:fldChar w:fldCharType="end"/>
        </w:r>
      </w:hyperlink>
    </w:p>
    <w:p w14:paraId="4F07EA82" w14:textId="77777777" w:rsidR="005334A6" w:rsidRDefault="00C54524">
      <w:pPr>
        <w:pStyle w:val="TOC1"/>
        <w:rPr>
          <w:rFonts w:asciiTheme="minorHAnsi" w:eastAsiaTheme="minorEastAsia" w:hAnsiTheme="minorHAnsi" w:cstheme="minorBidi"/>
          <w:noProof/>
          <w:lang w:eastAsia="en-AU"/>
        </w:rPr>
      </w:pPr>
      <w:hyperlink w:anchor="_Toc450809299" w:history="1">
        <w:r w:rsidR="005334A6" w:rsidRPr="00903C52">
          <w:rPr>
            <w:rStyle w:val="Hyperlink"/>
            <w:noProof/>
            <w:lang w:eastAsia="en-AU"/>
          </w:rPr>
          <w:t>Figure 7.1 : Broader economic and social benefits of international education</w:t>
        </w:r>
        <w:r w:rsidR="005334A6">
          <w:rPr>
            <w:noProof/>
            <w:webHidden/>
          </w:rPr>
          <w:tab/>
        </w:r>
        <w:r w:rsidR="005334A6">
          <w:rPr>
            <w:noProof/>
            <w:webHidden/>
          </w:rPr>
          <w:fldChar w:fldCharType="begin"/>
        </w:r>
        <w:r w:rsidR="005334A6">
          <w:rPr>
            <w:noProof/>
            <w:webHidden/>
          </w:rPr>
          <w:instrText xml:space="preserve"> PAGEREF _Toc450809299 \h </w:instrText>
        </w:r>
        <w:r w:rsidR="005334A6">
          <w:rPr>
            <w:noProof/>
            <w:webHidden/>
          </w:rPr>
        </w:r>
        <w:r w:rsidR="005334A6">
          <w:rPr>
            <w:noProof/>
            <w:webHidden/>
          </w:rPr>
          <w:fldChar w:fldCharType="separate"/>
        </w:r>
        <w:r w:rsidR="005334A6">
          <w:rPr>
            <w:noProof/>
            <w:webHidden/>
          </w:rPr>
          <w:t>48</w:t>
        </w:r>
        <w:r w:rsidR="005334A6">
          <w:rPr>
            <w:noProof/>
            <w:webHidden/>
          </w:rPr>
          <w:fldChar w:fldCharType="end"/>
        </w:r>
      </w:hyperlink>
    </w:p>
    <w:p w14:paraId="7DBC5D22" w14:textId="77777777" w:rsidR="005334A6" w:rsidRDefault="00C54524">
      <w:pPr>
        <w:pStyle w:val="TOC1"/>
        <w:rPr>
          <w:rFonts w:asciiTheme="minorHAnsi" w:eastAsiaTheme="minorEastAsia" w:hAnsiTheme="minorHAnsi" w:cstheme="minorBidi"/>
          <w:noProof/>
          <w:lang w:eastAsia="en-AU"/>
        </w:rPr>
      </w:pPr>
      <w:hyperlink w:anchor="_Toc450809300" w:history="1">
        <w:r w:rsidR="005334A6" w:rsidRPr="00903C52">
          <w:rPr>
            <w:rStyle w:val="Hyperlink"/>
            <w:noProof/>
          </w:rPr>
          <w:t>Figure B.1 : Process diagram for estimating export revenue for NSV ELICOS students</w:t>
        </w:r>
        <w:r w:rsidR="005334A6">
          <w:rPr>
            <w:noProof/>
            <w:webHidden/>
          </w:rPr>
          <w:tab/>
        </w:r>
        <w:r w:rsidR="005334A6">
          <w:rPr>
            <w:noProof/>
            <w:webHidden/>
          </w:rPr>
          <w:fldChar w:fldCharType="begin"/>
        </w:r>
        <w:r w:rsidR="005334A6">
          <w:rPr>
            <w:noProof/>
            <w:webHidden/>
          </w:rPr>
          <w:instrText xml:space="preserve"> PAGEREF _Toc450809300 \h </w:instrText>
        </w:r>
        <w:r w:rsidR="005334A6">
          <w:rPr>
            <w:noProof/>
            <w:webHidden/>
          </w:rPr>
        </w:r>
        <w:r w:rsidR="005334A6">
          <w:rPr>
            <w:noProof/>
            <w:webHidden/>
          </w:rPr>
          <w:fldChar w:fldCharType="separate"/>
        </w:r>
        <w:r w:rsidR="005334A6">
          <w:rPr>
            <w:noProof/>
            <w:webHidden/>
          </w:rPr>
          <w:t>65</w:t>
        </w:r>
        <w:r w:rsidR="005334A6">
          <w:rPr>
            <w:noProof/>
            <w:webHidden/>
          </w:rPr>
          <w:fldChar w:fldCharType="end"/>
        </w:r>
      </w:hyperlink>
    </w:p>
    <w:p w14:paraId="3E4DCE5F" w14:textId="77777777" w:rsidR="005334A6" w:rsidRDefault="00C54524">
      <w:pPr>
        <w:pStyle w:val="TOC1"/>
        <w:rPr>
          <w:rFonts w:asciiTheme="minorHAnsi" w:eastAsiaTheme="minorEastAsia" w:hAnsiTheme="minorHAnsi" w:cstheme="minorBidi"/>
          <w:noProof/>
          <w:lang w:eastAsia="en-AU"/>
        </w:rPr>
      </w:pPr>
      <w:hyperlink w:anchor="_Toc450809301" w:history="1">
        <w:r w:rsidR="005334A6" w:rsidRPr="00903C52">
          <w:rPr>
            <w:rStyle w:val="Hyperlink"/>
            <w:noProof/>
          </w:rPr>
          <w:t>Figure C.1 : Economic activity accounting framework</w:t>
        </w:r>
        <w:r w:rsidR="005334A6">
          <w:rPr>
            <w:noProof/>
            <w:webHidden/>
          </w:rPr>
          <w:tab/>
        </w:r>
        <w:r w:rsidR="005334A6">
          <w:rPr>
            <w:noProof/>
            <w:webHidden/>
          </w:rPr>
          <w:fldChar w:fldCharType="begin"/>
        </w:r>
        <w:r w:rsidR="005334A6">
          <w:rPr>
            <w:noProof/>
            <w:webHidden/>
          </w:rPr>
          <w:instrText xml:space="preserve"> PAGEREF _Toc450809301 \h </w:instrText>
        </w:r>
        <w:r w:rsidR="005334A6">
          <w:rPr>
            <w:noProof/>
            <w:webHidden/>
          </w:rPr>
        </w:r>
        <w:r w:rsidR="005334A6">
          <w:rPr>
            <w:noProof/>
            <w:webHidden/>
          </w:rPr>
          <w:fldChar w:fldCharType="separate"/>
        </w:r>
        <w:r w:rsidR="005334A6">
          <w:rPr>
            <w:noProof/>
            <w:webHidden/>
          </w:rPr>
          <w:t>67</w:t>
        </w:r>
        <w:r w:rsidR="005334A6">
          <w:rPr>
            <w:noProof/>
            <w:webHidden/>
          </w:rPr>
          <w:fldChar w:fldCharType="end"/>
        </w:r>
      </w:hyperlink>
    </w:p>
    <w:p w14:paraId="49F2F771" w14:textId="77777777" w:rsidR="005334A6" w:rsidRDefault="00C54524">
      <w:pPr>
        <w:pStyle w:val="TOC1"/>
        <w:rPr>
          <w:rFonts w:asciiTheme="minorHAnsi" w:eastAsiaTheme="minorEastAsia" w:hAnsiTheme="minorHAnsi" w:cstheme="minorBidi"/>
          <w:noProof/>
          <w:lang w:eastAsia="en-AU"/>
        </w:rPr>
      </w:pPr>
      <w:hyperlink w:anchor="_Toc450809302" w:history="1">
        <w:r w:rsidR="005334A6" w:rsidRPr="00903C52">
          <w:rPr>
            <w:rStyle w:val="Hyperlink"/>
            <w:noProof/>
          </w:rPr>
          <w:t>Figure F.1 : Distribution of visitors visiting an international student, 2014</w:t>
        </w:r>
        <w:r w:rsidR="005334A6">
          <w:rPr>
            <w:noProof/>
            <w:webHidden/>
          </w:rPr>
          <w:tab/>
        </w:r>
        <w:r w:rsidR="005334A6">
          <w:rPr>
            <w:noProof/>
            <w:webHidden/>
          </w:rPr>
          <w:fldChar w:fldCharType="begin"/>
        </w:r>
        <w:r w:rsidR="005334A6">
          <w:rPr>
            <w:noProof/>
            <w:webHidden/>
          </w:rPr>
          <w:instrText xml:space="preserve"> PAGEREF _Toc450809302 \h </w:instrText>
        </w:r>
        <w:r w:rsidR="005334A6">
          <w:rPr>
            <w:noProof/>
            <w:webHidden/>
          </w:rPr>
        </w:r>
        <w:r w:rsidR="005334A6">
          <w:rPr>
            <w:noProof/>
            <w:webHidden/>
          </w:rPr>
          <w:fldChar w:fldCharType="separate"/>
        </w:r>
        <w:r w:rsidR="005334A6">
          <w:rPr>
            <w:noProof/>
            <w:webHidden/>
          </w:rPr>
          <w:t>77</w:t>
        </w:r>
        <w:r w:rsidR="005334A6">
          <w:rPr>
            <w:noProof/>
            <w:webHidden/>
          </w:rPr>
          <w:fldChar w:fldCharType="end"/>
        </w:r>
      </w:hyperlink>
    </w:p>
    <w:p w14:paraId="090B773B" w14:textId="77777777" w:rsidR="005334A6" w:rsidRDefault="00C54524">
      <w:pPr>
        <w:pStyle w:val="TOC1"/>
        <w:rPr>
          <w:rFonts w:asciiTheme="minorHAnsi" w:eastAsiaTheme="minorEastAsia" w:hAnsiTheme="minorHAnsi" w:cstheme="minorBidi"/>
          <w:noProof/>
          <w:lang w:eastAsia="en-AU"/>
        </w:rPr>
      </w:pPr>
      <w:hyperlink w:anchor="_Toc450809303" w:history="1">
        <w:r w:rsidR="005334A6" w:rsidRPr="00903C52">
          <w:rPr>
            <w:rStyle w:val="Hyperlink"/>
            <w:noProof/>
          </w:rPr>
          <w:t>Figure F.2 : Adjustment process for the Input-Output modelling</w:t>
        </w:r>
        <w:r w:rsidR="005334A6">
          <w:rPr>
            <w:noProof/>
            <w:webHidden/>
          </w:rPr>
          <w:tab/>
        </w:r>
        <w:r w:rsidR="005334A6">
          <w:rPr>
            <w:noProof/>
            <w:webHidden/>
          </w:rPr>
          <w:fldChar w:fldCharType="begin"/>
        </w:r>
        <w:r w:rsidR="005334A6">
          <w:rPr>
            <w:noProof/>
            <w:webHidden/>
          </w:rPr>
          <w:instrText xml:space="preserve"> PAGEREF _Toc450809303 \h </w:instrText>
        </w:r>
        <w:r w:rsidR="005334A6">
          <w:rPr>
            <w:noProof/>
            <w:webHidden/>
          </w:rPr>
        </w:r>
        <w:r w:rsidR="005334A6">
          <w:rPr>
            <w:noProof/>
            <w:webHidden/>
          </w:rPr>
          <w:fldChar w:fldCharType="separate"/>
        </w:r>
        <w:r w:rsidR="005334A6">
          <w:rPr>
            <w:noProof/>
            <w:webHidden/>
          </w:rPr>
          <w:t>78</w:t>
        </w:r>
        <w:r w:rsidR="005334A6">
          <w:rPr>
            <w:noProof/>
            <w:webHidden/>
          </w:rPr>
          <w:fldChar w:fldCharType="end"/>
        </w:r>
      </w:hyperlink>
    </w:p>
    <w:p w14:paraId="5AFBC528" w14:textId="1095B151" w:rsidR="007257C4" w:rsidRDefault="001C6442" w:rsidP="009D03FE">
      <w:pPr>
        <w:pStyle w:val="Contents-Major"/>
      </w:pPr>
      <w:r>
        <w:rPr>
          <w:rFonts w:cs="Arial"/>
          <w:b/>
          <w:bCs/>
          <w:noProof/>
          <w:color w:val="auto"/>
          <w:sz w:val="22"/>
          <w:szCs w:val="22"/>
          <w:lang w:val="en-US"/>
        </w:rPr>
        <w:fldChar w:fldCharType="end"/>
      </w:r>
    </w:p>
    <w:p w14:paraId="07C779EF" w14:textId="77777777" w:rsidR="000175EC" w:rsidRDefault="000175EC" w:rsidP="000175EC">
      <w:pPr>
        <w:pStyle w:val="BodyText"/>
        <w:sectPr w:rsidR="000175EC" w:rsidSect="00163EA3">
          <w:headerReference w:type="even" r:id="rId18"/>
          <w:headerReference w:type="default" r:id="rId19"/>
          <w:footerReference w:type="default" r:id="rId20"/>
          <w:headerReference w:type="first" r:id="rId21"/>
          <w:footerReference w:type="first" r:id="rId22"/>
          <w:pgSz w:w="11906" w:h="16838" w:code="9"/>
          <w:pgMar w:top="1701" w:right="1701" w:bottom="1701" w:left="1701" w:header="720" w:footer="720" w:gutter="0"/>
          <w:pgNumType w:fmt="lowerRoman" w:start="2"/>
          <w:cols w:space="720"/>
          <w:titlePg/>
          <w:docGrid w:linePitch="360"/>
        </w:sectPr>
      </w:pPr>
    </w:p>
    <w:p w14:paraId="0A9D769B" w14:textId="77777777" w:rsidR="00F41CBD" w:rsidRDefault="00F41CBD" w:rsidP="00163EA3">
      <w:pPr>
        <w:pStyle w:val="Glossary"/>
        <w:outlineLvl w:val="0"/>
      </w:pPr>
      <w:bookmarkStart w:id="1" w:name="_Toc450809229"/>
      <w:bookmarkStart w:id="2" w:name="_Toc228005204"/>
      <w:bookmarkStart w:id="3" w:name="_Toc288198023"/>
      <w:r>
        <w:lastRenderedPageBreak/>
        <w:t>Glossary</w:t>
      </w:r>
      <w:bookmarkEnd w:id="1"/>
    </w:p>
    <w:p w14:paraId="55DBD54D" w14:textId="77777777" w:rsidR="00F41CBD" w:rsidRPr="00427BB9" w:rsidRDefault="00F41CBD" w:rsidP="00F41CBD">
      <w:pPr>
        <w:pStyle w:val="BodyText"/>
      </w:pPr>
    </w:p>
    <w:tbl>
      <w:tblPr>
        <w:tblStyle w:val="TableAEGlossary"/>
        <w:tblW w:w="0" w:type="auto"/>
        <w:tblBorders>
          <w:top w:val="single" w:sz="4" w:space="0" w:color="002776"/>
          <w:bottom w:val="single" w:sz="4" w:space="0" w:color="002776"/>
        </w:tblBorders>
        <w:tblLook w:val="04A0" w:firstRow="1" w:lastRow="0" w:firstColumn="1" w:lastColumn="0" w:noHBand="0" w:noVBand="1"/>
        <w:tblCaption w:val="Table of glossary"/>
      </w:tblPr>
      <w:tblGrid>
        <w:gridCol w:w="2585"/>
        <w:gridCol w:w="5851"/>
      </w:tblGrid>
      <w:tr w:rsidR="001B104C" w14:paraId="40340847" w14:textId="77777777" w:rsidTr="00AA149D">
        <w:trPr>
          <w:cnfStyle w:val="100000000000" w:firstRow="1" w:lastRow="0" w:firstColumn="0" w:lastColumn="0" w:oddVBand="0" w:evenVBand="0" w:oddHBand="0" w:evenHBand="0" w:firstRowFirstColumn="0" w:firstRowLastColumn="0" w:lastRowFirstColumn="0" w:lastRowLastColumn="0"/>
          <w:tblHeader/>
        </w:trPr>
        <w:tc>
          <w:tcPr>
            <w:tcW w:w="2585" w:type="dxa"/>
          </w:tcPr>
          <w:p w14:paraId="6D92BF44" w14:textId="77777777" w:rsidR="001B104C" w:rsidRDefault="001B104C" w:rsidP="001C6442">
            <w:pPr>
              <w:pStyle w:val="GlossaryAbbreviation"/>
            </w:pPr>
            <w:r>
              <w:t>ABS</w:t>
            </w:r>
          </w:p>
        </w:tc>
        <w:tc>
          <w:tcPr>
            <w:tcW w:w="5851" w:type="dxa"/>
          </w:tcPr>
          <w:p w14:paraId="31C07ACE" w14:textId="77777777" w:rsidR="001B104C" w:rsidRDefault="001B104C" w:rsidP="001C6442">
            <w:pPr>
              <w:pStyle w:val="Glossarytext"/>
            </w:pPr>
            <w:r>
              <w:t>Australian Bureau of Statistics</w:t>
            </w:r>
          </w:p>
        </w:tc>
      </w:tr>
      <w:tr w:rsidR="005134F9" w14:paraId="3E95927E" w14:textId="77777777" w:rsidTr="004F1F45">
        <w:tc>
          <w:tcPr>
            <w:tcW w:w="2585" w:type="dxa"/>
          </w:tcPr>
          <w:p w14:paraId="272E64A9" w14:textId="77777777" w:rsidR="005134F9" w:rsidRDefault="005134F9" w:rsidP="001C6442">
            <w:pPr>
              <w:pStyle w:val="GlossaryAbbreviation"/>
            </w:pPr>
            <w:proofErr w:type="spellStart"/>
            <w:r>
              <w:t>ACPET</w:t>
            </w:r>
            <w:proofErr w:type="spellEnd"/>
          </w:p>
        </w:tc>
        <w:tc>
          <w:tcPr>
            <w:tcW w:w="5851" w:type="dxa"/>
          </w:tcPr>
          <w:p w14:paraId="39D86B35" w14:textId="77777777" w:rsidR="005134F9" w:rsidRDefault="005134F9" w:rsidP="001C6442">
            <w:pPr>
              <w:pStyle w:val="Glossarytext"/>
            </w:pPr>
            <w:r>
              <w:t>Australian Council for Private Education and Training</w:t>
            </w:r>
          </w:p>
        </w:tc>
      </w:tr>
      <w:tr w:rsidR="005134F9" w14:paraId="3EDD9E33" w14:textId="77777777" w:rsidTr="004F1F45">
        <w:tc>
          <w:tcPr>
            <w:tcW w:w="2585" w:type="dxa"/>
          </w:tcPr>
          <w:p w14:paraId="0B21B522" w14:textId="77777777" w:rsidR="005134F9" w:rsidRDefault="005134F9" w:rsidP="001C6442">
            <w:pPr>
              <w:pStyle w:val="GlossaryAbbreviation"/>
            </w:pPr>
            <w:proofErr w:type="spellStart"/>
            <w:r>
              <w:t>ANZSIC</w:t>
            </w:r>
            <w:proofErr w:type="spellEnd"/>
          </w:p>
        </w:tc>
        <w:tc>
          <w:tcPr>
            <w:tcW w:w="5851" w:type="dxa"/>
          </w:tcPr>
          <w:p w14:paraId="272E8629" w14:textId="77777777" w:rsidR="005134F9" w:rsidRDefault="005134F9" w:rsidP="001C6442">
            <w:pPr>
              <w:pStyle w:val="Glossarytext"/>
            </w:pPr>
            <w:r>
              <w:t xml:space="preserve">Australian </w:t>
            </w:r>
            <w:r>
              <w:rPr>
                <w:lang w:eastAsia="en-AU"/>
              </w:rPr>
              <w:t>and New Zealand Standard Industrial Classification</w:t>
            </w:r>
          </w:p>
        </w:tc>
      </w:tr>
      <w:tr w:rsidR="005134F9" w14:paraId="6E93B3EF" w14:textId="77777777" w:rsidTr="004F1F45">
        <w:tc>
          <w:tcPr>
            <w:tcW w:w="2585" w:type="dxa"/>
          </w:tcPr>
          <w:p w14:paraId="570AD30F" w14:textId="77777777" w:rsidR="005134F9" w:rsidRDefault="005134F9" w:rsidP="001C6442">
            <w:pPr>
              <w:pStyle w:val="GlossaryAbbreviation"/>
            </w:pPr>
            <w:r>
              <w:t>ARC</w:t>
            </w:r>
          </w:p>
        </w:tc>
        <w:tc>
          <w:tcPr>
            <w:tcW w:w="5851" w:type="dxa"/>
          </w:tcPr>
          <w:p w14:paraId="554FB9B2" w14:textId="77777777" w:rsidR="005134F9" w:rsidRPr="005B3C72" w:rsidRDefault="005134F9" w:rsidP="001C6442">
            <w:pPr>
              <w:pStyle w:val="Glossarytext"/>
            </w:pPr>
            <w:r>
              <w:t>Australian Retail College</w:t>
            </w:r>
          </w:p>
        </w:tc>
      </w:tr>
      <w:tr w:rsidR="005134F9" w14:paraId="33C6E883" w14:textId="77777777" w:rsidTr="004F1F45">
        <w:tc>
          <w:tcPr>
            <w:tcW w:w="2585" w:type="dxa"/>
          </w:tcPr>
          <w:p w14:paraId="336AC299" w14:textId="77777777" w:rsidR="005134F9" w:rsidRDefault="005134F9" w:rsidP="001C6442">
            <w:pPr>
              <w:pStyle w:val="GlossaryAbbreviation"/>
            </w:pPr>
            <w:proofErr w:type="spellStart"/>
            <w:r>
              <w:t>AIHST</w:t>
            </w:r>
            <w:proofErr w:type="spellEnd"/>
          </w:p>
        </w:tc>
        <w:tc>
          <w:tcPr>
            <w:tcW w:w="5851" w:type="dxa"/>
          </w:tcPr>
          <w:p w14:paraId="21B83B47" w14:textId="77777777" w:rsidR="005134F9" w:rsidRDefault="005134F9" w:rsidP="001C6442">
            <w:pPr>
              <w:pStyle w:val="Glossarytext"/>
            </w:pPr>
            <w:r w:rsidRPr="005B3C72">
              <w:t>Australian Institute of Health Science and Technology</w:t>
            </w:r>
          </w:p>
        </w:tc>
      </w:tr>
      <w:tr w:rsidR="005134F9" w14:paraId="2E0F2F9D" w14:textId="77777777" w:rsidTr="004F1F45">
        <w:tc>
          <w:tcPr>
            <w:tcW w:w="2585" w:type="dxa"/>
          </w:tcPr>
          <w:p w14:paraId="70D2BBA2" w14:textId="77777777" w:rsidR="005134F9" w:rsidRDefault="005134F9" w:rsidP="001C6442">
            <w:pPr>
              <w:pStyle w:val="GlossaryAbbreviation"/>
            </w:pPr>
            <w:proofErr w:type="spellStart"/>
            <w:r>
              <w:t>CRICOS</w:t>
            </w:r>
            <w:proofErr w:type="spellEnd"/>
          </w:p>
        </w:tc>
        <w:tc>
          <w:tcPr>
            <w:tcW w:w="5851" w:type="dxa"/>
          </w:tcPr>
          <w:p w14:paraId="5F753215" w14:textId="77777777" w:rsidR="005134F9" w:rsidRDefault="005134F9" w:rsidP="001C6442">
            <w:pPr>
              <w:pStyle w:val="Glossarytext"/>
            </w:pPr>
            <w:r>
              <w:t>Commonwealth Register of Institutions and Courses for Overseas Students</w:t>
            </w:r>
          </w:p>
        </w:tc>
      </w:tr>
      <w:tr w:rsidR="001B104C" w14:paraId="71387B91" w14:textId="77777777" w:rsidTr="004F1F45">
        <w:tc>
          <w:tcPr>
            <w:tcW w:w="2585" w:type="dxa"/>
          </w:tcPr>
          <w:p w14:paraId="17A267AA" w14:textId="77777777" w:rsidR="001B104C" w:rsidRDefault="001B104C" w:rsidP="001C6442">
            <w:pPr>
              <w:pStyle w:val="GlossaryAbbreviation"/>
            </w:pPr>
            <w:proofErr w:type="spellStart"/>
            <w:r>
              <w:t>DET</w:t>
            </w:r>
            <w:proofErr w:type="spellEnd"/>
          </w:p>
        </w:tc>
        <w:tc>
          <w:tcPr>
            <w:tcW w:w="5851" w:type="dxa"/>
          </w:tcPr>
          <w:p w14:paraId="4C6F9F20" w14:textId="77777777" w:rsidR="001B104C" w:rsidRDefault="005C6A9F" w:rsidP="001C6442">
            <w:pPr>
              <w:pStyle w:val="Glossarytext"/>
            </w:pPr>
            <w:r>
              <w:t xml:space="preserve">Commonwealth </w:t>
            </w:r>
            <w:r w:rsidR="001B104C">
              <w:t>Department of Education and Training</w:t>
            </w:r>
          </w:p>
        </w:tc>
      </w:tr>
      <w:tr w:rsidR="00B54C77" w14:paraId="15000181" w14:textId="77777777" w:rsidTr="004F1F45">
        <w:tc>
          <w:tcPr>
            <w:tcW w:w="2585" w:type="dxa"/>
          </w:tcPr>
          <w:p w14:paraId="1EE96DED" w14:textId="77777777" w:rsidR="00B54C77" w:rsidRDefault="003D2047" w:rsidP="001C6442">
            <w:pPr>
              <w:pStyle w:val="GlossaryAbbreviation"/>
            </w:pPr>
            <w:proofErr w:type="spellStart"/>
            <w:r>
              <w:t>DIBP</w:t>
            </w:r>
            <w:proofErr w:type="spellEnd"/>
          </w:p>
        </w:tc>
        <w:tc>
          <w:tcPr>
            <w:tcW w:w="5851" w:type="dxa"/>
          </w:tcPr>
          <w:p w14:paraId="7C2AE780" w14:textId="77777777" w:rsidR="00B54C77" w:rsidRDefault="003D2047" w:rsidP="001C6442">
            <w:pPr>
              <w:pStyle w:val="Glossarytext"/>
            </w:pPr>
            <w:r>
              <w:t>Department of Immigration and Border Protection</w:t>
            </w:r>
          </w:p>
        </w:tc>
      </w:tr>
      <w:tr w:rsidR="003D2047" w14:paraId="49552A9F" w14:textId="77777777" w:rsidTr="004F1F45">
        <w:tc>
          <w:tcPr>
            <w:tcW w:w="2585" w:type="dxa"/>
          </w:tcPr>
          <w:p w14:paraId="3C4669D6" w14:textId="77777777" w:rsidR="003D2047" w:rsidRDefault="003D2047" w:rsidP="001C6442">
            <w:pPr>
              <w:pStyle w:val="GlossaryAbbreviation"/>
            </w:pPr>
            <w:proofErr w:type="spellStart"/>
            <w:r>
              <w:t>EDtECH</w:t>
            </w:r>
            <w:proofErr w:type="spellEnd"/>
          </w:p>
        </w:tc>
        <w:tc>
          <w:tcPr>
            <w:tcW w:w="5851" w:type="dxa"/>
          </w:tcPr>
          <w:p w14:paraId="74570484" w14:textId="77777777" w:rsidR="003D2047" w:rsidRDefault="00480CBD" w:rsidP="001C6442">
            <w:pPr>
              <w:pStyle w:val="Glossarytext"/>
            </w:pPr>
            <w:r>
              <w:t>Education Technology</w:t>
            </w:r>
          </w:p>
        </w:tc>
      </w:tr>
      <w:tr w:rsidR="001B104C" w14:paraId="3B53C2D3" w14:textId="77777777" w:rsidTr="004F1F45">
        <w:tc>
          <w:tcPr>
            <w:tcW w:w="2585" w:type="dxa"/>
          </w:tcPr>
          <w:p w14:paraId="6350FA8A" w14:textId="77777777" w:rsidR="001B104C" w:rsidRDefault="001B104C" w:rsidP="001C6442">
            <w:pPr>
              <w:pStyle w:val="GlossaryAbbreviation"/>
            </w:pPr>
            <w:proofErr w:type="spellStart"/>
            <w:r>
              <w:t>ELICOS</w:t>
            </w:r>
            <w:proofErr w:type="spellEnd"/>
          </w:p>
        </w:tc>
        <w:tc>
          <w:tcPr>
            <w:tcW w:w="5851" w:type="dxa"/>
          </w:tcPr>
          <w:p w14:paraId="34A865BD" w14:textId="77777777" w:rsidR="001B104C" w:rsidRDefault="001B104C" w:rsidP="001C6442">
            <w:pPr>
              <w:pStyle w:val="Glossarytext"/>
            </w:pPr>
            <w:r>
              <w:rPr>
                <w:lang w:eastAsia="en-AU"/>
              </w:rPr>
              <w:t>English Language Intensive Courses for Overseas Students</w:t>
            </w:r>
          </w:p>
        </w:tc>
      </w:tr>
      <w:tr w:rsidR="003D2047" w14:paraId="7E3D06E9" w14:textId="77777777" w:rsidTr="004F1F45">
        <w:tc>
          <w:tcPr>
            <w:tcW w:w="2585" w:type="dxa"/>
          </w:tcPr>
          <w:p w14:paraId="1765F737" w14:textId="77777777" w:rsidR="003D2047" w:rsidRDefault="003D2047" w:rsidP="001C6442">
            <w:pPr>
              <w:pStyle w:val="GlossaryAbbreviation"/>
            </w:pPr>
            <w:r>
              <w:t>FTE</w:t>
            </w:r>
          </w:p>
        </w:tc>
        <w:tc>
          <w:tcPr>
            <w:tcW w:w="5851" w:type="dxa"/>
          </w:tcPr>
          <w:p w14:paraId="3DC9B54C" w14:textId="77777777" w:rsidR="003D2047" w:rsidRDefault="003D2047" w:rsidP="001C6442">
            <w:pPr>
              <w:pStyle w:val="Glossarytext"/>
              <w:rPr>
                <w:lang w:eastAsia="en-AU"/>
              </w:rPr>
            </w:pPr>
            <w:r>
              <w:rPr>
                <w:lang w:eastAsia="en-AU"/>
              </w:rPr>
              <w:t>Full-Time Equivalent</w:t>
            </w:r>
          </w:p>
        </w:tc>
      </w:tr>
      <w:tr w:rsidR="003D2047" w14:paraId="05A352A2" w14:textId="77777777" w:rsidTr="004F1F45">
        <w:tc>
          <w:tcPr>
            <w:tcW w:w="2585" w:type="dxa"/>
          </w:tcPr>
          <w:p w14:paraId="063F24D7" w14:textId="77777777" w:rsidR="003D2047" w:rsidRDefault="003D2047" w:rsidP="001C6442">
            <w:pPr>
              <w:pStyle w:val="GlossaryAbbreviation"/>
            </w:pPr>
            <w:proofErr w:type="spellStart"/>
            <w:r>
              <w:t>GOS</w:t>
            </w:r>
            <w:proofErr w:type="spellEnd"/>
          </w:p>
        </w:tc>
        <w:tc>
          <w:tcPr>
            <w:tcW w:w="5851" w:type="dxa"/>
          </w:tcPr>
          <w:p w14:paraId="3F74F9E3" w14:textId="77777777" w:rsidR="003D2047" w:rsidRDefault="003D2047" w:rsidP="001C6442">
            <w:pPr>
              <w:pStyle w:val="Glossarytext"/>
              <w:rPr>
                <w:lang w:eastAsia="en-AU"/>
              </w:rPr>
            </w:pPr>
            <w:r>
              <w:rPr>
                <w:lang w:eastAsia="en-AU"/>
              </w:rPr>
              <w:t>Gross Operating Surplus</w:t>
            </w:r>
          </w:p>
        </w:tc>
      </w:tr>
      <w:tr w:rsidR="005A388A" w14:paraId="3F0DFA4D" w14:textId="77777777" w:rsidTr="004F1F45">
        <w:tc>
          <w:tcPr>
            <w:tcW w:w="2585" w:type="dxa"/>
          </w:tcPr>
          <w:p w14:paraId="65A5CA2B" w14:textId="77777777" w:rsidR="005A388A" w:rsidRDefault="005A388A" w:rsidP="001C6442">
            <w:pPr>
              <w:pStyle w:val="GlossaryAbbreviation"/>
            </w:pPr>
            <w:proofErr w:type="spellStart"/>
            <w:r>
              <w:t>GVA</w:t>
            </w:r>
            <w:proofErr w:type="spellEnd"/>
          </w:p>
        </w:tc>
        <w:tc>
          <w:tcPr>
            <w:tcW w:w="5851" w:type="dxa"/>
          </w:tcPr>
          <w:p w14:paraId="2449D21A" w14:textId="77777777" w:rsidR="005A388A" w:rsidRDefault="005A388A" w:rsidP="001C6442">
            <w:pPr>
              <w:pStyle w:val="Glossarytext"/>
              <w:rPr>
                <w:lang w:eastAsia="en-AU"/>
              </w:rPr>
            </w:pPr>
            <w:r>
              <w:rPr>
                <w:lang w:eastAsia="en-AU"/>
              </w:rPr>
              <w:t>Gross Value Added</w:t>
            </w:r>
          </w:p>
        </w:tc>
      </w:tr>
      <w:tr w:rsidR="00B54C77" w14:paraId="0840C97A" w14:textId="77777777" w:rsidTr="004F1F45">
        <w:tc>
          <w:tcPr>
            <w:tcW w:w="2585" w:type="dxa"/>
          </w:tcPr>
          <w:p w14:paraId="1648210F" w14:textId="77777777" w:rsidR="00B54C77" w:rsidRDefault="00B54C77" w:rsidP="001C6442">
            <w:pPr>
              <w:pStyle w:val="GlossaryAbbreviation"/>
            </w:pPr>
            <w:r>
              <w:t>HSC</w:t>
            </w:r>
          </w:p>
        </w:tc>
        <w:tc>
          <w:tcPr>
            <w:tcW w:w="5851" w:type="dxa"/>
          </w:tcPr>
          <w:p w14:paraId="6829020E" w14:textId="77777777" w:rsidR="00B54C77" w:rsidRDefault="00B54C77" w:rsidP="001C6442">
            <w:pPr>
              <w:pStyle w:val="Glossarytext"/>
              <w:rPr>
                <w:lang w:eastAsia="en-AU"/>
              </w:rPr>
            </w:pPr>
            <w:r>
              <w:rPr>
                <w:lang w:eastAsia="en-AU"/>
              </w:rPr>
              <w:t>Higher School Certificate</w:t>
            </w:r>
          </w:p>
        </w:tc>
      </w:tr>
      <w:tr w:rsidR="00B54C77" w14:paraId="1274217C" w14:textId="77777777" w:rsidTr="004F1F45">
        <w:tc>
          <w:tcPr>
            <w:tcW w:w="2585" w:type="dxa"/>
          </w:tcPr>
          <w:p w14:paraId="387E007F" w14:textId="77777777" w:rsidR="00B54C77" w:rsidRDefault="00B54C77" w:rsidP="001C6442">
            <w:pPr>
              <w:pStyle w:val="GlossaryAbbreviation"/>
            </w:pPr>
            <w:r>
              <w:t>IO</w:t>
            </w:r>
          </w:p>
        </w:tc>
        <w:tc>
          <w:tcPr>
            <w:tcW w:w="5851" w:type="dxa"/>
          </w:tcPr>
          <w:p w14:paraId="54E5E44C" w14:textId="77777777" w:rsidR="00B54C77" w:rsidRDefault="00B54C77" w:rsidP="001C6442">
            <w:pPr>
              <w:pStyle w:val="Glossarytext"/>
              <w:rPr>
                <w:lang w:eastAsia="en-AU"/>
              </w:rPr>
            </w:pPr>
            <w:r>
              <w:rPr>
                <w:lang w:eastAsia="en-AU"/>
              </w:rPr>
              <w:t>Input-Output</w:t>
            </w:r>
          </w:p>
        </w:tc>
      </w:tr>
      <w:tr w:rsidR="003D2047" w14:paraId="67A7763C" w14:textId="77777777" w:rsidTr="004F1F45">
        <w:tc>
          <w:tcPr>
            <w:tcW w:w="2585" w:type="dxa"/>
          </w:tcPr>
          <w:p w14:paraId="0C355EC7" w14:textId="77777777" w:rsidR="003D2047" w:rsidRDefault="003D2047" w:rsidP="001C6442">
            <w:pPr>
              <w:pStyle w:val="GlossaryAbbreviation"/>
            </w:pPr>
            <w:proofErr w:type="spellStart"/>
            <w:r>
              <w:t>LGA</w:t>
            </w:r>
            <w:proofErr w:type="spellEnd"/>
          </w:p>
        </w:tc>
        <w:tc>
          <w:tcPr>
            <w:tcW w:w="5851" w:type="dxa"/>
          </w:tcPr>
          <w:p w14:paraId="7681ABC4" w14:textId="77777777" w:rsidR="003D2047" w:rsidRDefault="003D2047" w:rsidP="001C6442">
            <w:pPr>
              <w:pStyle w:val="Glossarytext"/>
              <w:rPr>
                <w:lang w:eastAsia="en-AU"/>
              </w:rPr>
            </w:pPr>
            <w:r>
              <w:rPr>
                <w:lang w:eastAsia="en-AU"/>
              </w:rPr>
              <w:t>Local Government Area</w:t>
            </w:r>
          </w:p>
        </w:tc>
      </w:tr>
      <w:tr w:rsidR="003D2047" w14:paraId="5F6DCD87" w14:textId="77777777" w:rsidTr="004F1F45">
        <w:tc>
          <w:tcPr>
            <w:tcW w:w="2585" w:type="dxa"/>
          </w:tcPr>
          <w:p w14:paraId="1E6FDB8D" w14:textId="77777777" w:rsidR="003D2047" w:rsidRDefault="003D2047" w:rsidP="001C6442">
            <w:pPr>
              <w:pStyle w:val="GlossaryAbbreviation"/>
            </w:pPr>
            <w:proofErr w:type="spellStart"/>
            <w:r>
              <w:t>MCEETYA</w:t>
            </w:r>
            <w:proofErr w:type="spellEnd"/>
          </w:p>
        </w:tc>
        <w:tc>
          <w:tcPr>
            <w:tcW w:w="5851" w:type="dxa"/>
          </w:tcPr>
          <w:p w14:paraId="44467E73" w14:textId="77777777" w:rsidR="003D2047" w:rsidRDefault="003D2047" w:rsidP="001C6442">
            <w:pPr>
              <w:pStyle w:val="Glossarytext"/>
              <w:rPr>
                <w:lang w:eastAsia="en-AU"/>
              </w:rPr>
            </w:pPr>
            <w:r>
              <w:rPr>
                <w:lang w:eastAsia="en-AU"/>
              </w:rPr>
              <w:t xml:space="preserve">Ministerial </w:t>
            </w:r>
            <w:r w:rsidR="00DD5CC2">
              <w:rPr>
                <w:lang w:eastAsia="en-AU"/>
              </w:rPr>
              <w:t>C</w:t>
            </w:r>
            <w:r>
              <w:rPr>
                <w:lang w:eastAsia="en-AU"/>
              </w:rPr>
              <w:t>ouncil on Education, Employment, Training and Youth Affairs</w:t>
            </w:r>
          </w:p>
        </w:tc>
      </w:tr>
      <w:tr w:rsidR="00B54C77" w14:paraId="06150F92" w14:textId="77777777" w:rsidTr="004F1F45">
        <w:tc>
          <w:tcPr>
            <w:tcW w:w="2585" w:type="dxa"/>
          </w:tcPr>
          <w:p w14:paraId="1272A663" w14:textId="77777777" w:rsidR="00B54C77" w:rsidRDefault="00B54C77" w:rsidP="001C6442">
            <w:pPr>
              <w:pStyle w:val="GlossaryAbbreviation"/>
            </w:pPr>
            <w:proofErr w:type="spellStart"/>
            <w:r>
              <w:t>NCVER</w:t>
            </w:r>
            <w:proofErr w:type="spellEnd"/>
          </w:p>
        </w:tc>
        <w:tc>
          <w:tcPr>
            <w:tcW w:w="5851" w:type="dxa"/>
          </w:tcPr>
          <w:p w14:paraId="5365DE7C" w14:textId="77777777" w:rsidR="00B54C77" w:rsidRDefault="00B54C77" w:rsidP="001C6442">
            <w:pPr>
              <w:pStyle w:val="Glossarytext"/>
              <w:rPr>
                <w:lang w:eastAsia="en-AU"/>
              </w:rPr>
            </w:pPr>
            <w:r>
              <w:rPr>
                <w:lang w:eastAsia="en-AU"/>
              </w:rPr>
              <w:t>National Centre for Vocational Education Research</w:t>
            </w:r>
          </w:p>
        </w:tc>
      </w:tr>
      <w:tr w:rsidR="005134F9" w14:paraId="5DD6BDA3" w14:textId="77777777" w:rsidTr="004F1F45">
        <w:tc>
          <w:tcPr>
            <w:tcW w:w="2585" w:type="dxa"/>
          </w:tcPr>
          <w:p w14:paraId="71030351" w14:textId="77777777" w:rsidR="005134F9" w:rsidRDefault="00B54C77" w:rsidP="001C6442">
            <w:pPr>
              <w:pStyle w:val="GlossaryAbbreviation"/>
            </w:pPr>
            <w:proofErr w:type="spellStart"/>
            <w:r>
              <w:t>NSV</w:t>
            </w:r>
            <w:proofErr w:type="spellEnd"/>
          </w:p>
        </w:tc>
        <w:tc>
          <w:tcPr>
            <w:tcW w:w="5851" w:type="dxa"/>
          </w:tcPr>
          <w:p w14:paraId="1BA32BDF" w14:textId="77777777" w:rsidR="005134F9" w:rsidRDefault="00B54C77" w:rsidP="00B54C77">
            <w:pPr>
              <w:pStyle w:val="Glossarytext"/>
              <w:rPr>
                <w:lang w:eastAsia="en-AU"/>
              </w:rPr>
            </w:pPr>
            <w:r>
              <w:rPr>
                <w:lang w:eastAsia="en-AU"/>
              </w:rPr>
              <w:t>Non-Student Visa</w:t>
            </w:r>
          </w:p>
        </w:tc>
      </w:tr>
      <w:tr w:rsidR="005134F9" w14:paraId="00083774" w14:textId="77777777" w:rsidTr="004F1F45">
        <w:tc>
          <w:tcPr>
            <w:tcW w:w="2585" w:type="dxa"/>
          </w:tcPr>
          <w:p w14:paraId="1235F5D4" w14:textId="77777777" w:rsidR="005134F9" w:rsidRDefault="005134F9" w:rsidP="001C6442">
            <w:pPr>
              <w:pStyle w:val="GlossaryAbbreviation"/>
            </w:pPr>
            <w:r>
              <w:t xml:space="preserve">PC </w:t>
            </w:r>
          </w:p>
        </w:tc>
        <w:tc>
          <w:tcPr>
            <w:tcW w:w="5851" w:type="dxa"/>
          </w:tcPr>
          <w:p w14:paraId="3B2470CD" w14:textId="77777777" w:rsidR="005134F9" w:rsidRDefault="005134F9" w:rsidP="001C6442">
            <w:pPr>
              <w:pStyle w:val="Glossarytext"/>
              <w:rPr>
                <w:lang w:eastAsia="en-AU"/>
              </w:rPr>
            </w:pPr>
            <w:r>
              <w:rPr>
                <w:lang w:eastAsia="en-AU"/>
              </w:rPr>
              <w:t>Productivity Commission</w:t>
            </w:r>
          </w:p>
        </w:tc>
      </w:tr>
      <w:tr w:rsidR="00F41CBD" w14:paraId="53DBA766" w14:textId="77777777" w:rsidTr="004F1F45">
        <w:tc>
          <w:tcPr>
            <w:tcW w:w="2585" w:type="dxa"/>
          </w:tcPr>
          <w:p w14:paraId="5643FB7C" w14:textId="77777777" w:rsidR="00F41CBD" w:rsidRDefault="001B104C" w:rsidP="001C6442">
            <w:pPr>
              <w:pStyle w:val="GlossaryAbbreviation"/>
            </w:pPr>
            <w:proofErr w:type="spellStart"/>
            <w:r>
              <w:t>TRA</w:t>
            </w:r>
            <w:proofErr w:type="spellEnd"/>
          </w:p>
        </w:tc>
        <w:tc>
          <w:tcPr>
            <w:tcW w:w="5851" w:type="dxa"/>
          </w:tcPr>
          <w:p w14:paraId="0913B38C" w14:textId="77777777" w:rsidR="00F41CBD" w:rsidRDefault="001B104C" w:rsidP="001C6442">
            <w:pPr>
              <w:pStyle w:val="Glossarytext"/>
            </w:pPr>
            <w:r>
              <w:t>Tourism Research Australia</w:t>
            </w:r>
          </w:p>
        </w:tc>
      </w:tr>
      <w:tr w:rsidR="00B54C77" w14:paraId="3792B091" w14:textId="77777777" w:rsidTr="004F1F45">
        <w:tc>
          <w:tcPr>
            <w:tcW w:w="2585" w:type="dxa"/>
          </w:tcPr>
          <w:p w14:paraId="2CB1CDF8" w14:textId="77777777" w:rsidR="00B54C77" w:rsidRDefault="00B54C77" w:rsidP="001C6442">
            <w:pPr>
              <w:pStyle w:val="GlossaryAbbreviation"/>
            </w:pPr>
            <w:r>
              <w:t>TVA</w:t>
            </w:r>
          </w:p>
        </w:tc>
        <w:tc>
          <w:tcPr>
            <w:tcW w:w="5851" w:type="dxa"/>
          </w:tcPr>
          <w:p w14:paraId="3C377BBC" w14:textId="77777777" w:rsidR="00B54C77" w:rsidRDefault="00B54C77" w:rsidP="001C6442">
            <w:pPr>
              <w:pStyle w:val="Glossarytext"/>
            </w:pPr>
            <w:r>
              <w:t>Total Vocational Education and Training Activity</w:t>
            </w:r>
          </w:p>
        </w:tc>
      </w:tr>
      <w:tr w:rsidR="003D2047" w14:paraId="303800EB" w14:textId="77777777" w:rsidTr="004F1F45">
        <w:tc>
          <w:tcPr>
            <w:tcW w:w="2585" w:type="dxa"/>
          </w:tcPr>
          <w:p w14:paraId="118C7947" w14:textId="77777777" w:rsidR="003D2047" w:rsidRDefault="003D2047" w:rsidP="001C6442">
            <w:pPr>
              <w:pStyle w:val="GlossaryAbbreviation"/>
            </w:pPr>
            <w:proofErr w:type="spellStart"/>
            <w:r>
              <w:t>UNE</w:t>
            </w:r>
            <w:proofErr w:type="spellEnd"/>
          </w:p>
        </w:tc>
        <w:tc>
          <w:tcPr>
            <w:tcW w:w="5851" w:type="dxa"/>
          </w:tcPr>
          <w:p w14:paraId="55156106" w14:textId="77777777" w:rsidR="003D2047" w:rsidRDefault="003D2047" w:rsidP="001C6442">
            <w:pPr>
              <w:pStyle w:val="Glossarytext"/>
            </w:pPr>
            <w:r>
              <w:t>University of New England</w:t>
            </w:r>
          </w:p>
        </w:tc>
      </w:tr>
      <w:tr w:rsidR="00B54C77" w14:paraId="77905F50" w14:textId="77777777" w:rsidTr="004F1F45">
        <w:tc>
          <w:tcPr>
            <w:tcW w:w="2585" w:type="dxa"/>
          </w:tcPr>
          <w:p w14:paraId="6F87F3C3" w14:textId="77777777" w:rsidR="00B54C77" w:rsidRDefault="00B54C77" w:rsidP="001C6442">
            <w:pPr>
              <w:pStyle w:val="GlossaryAbbreviation"/>
            </w:pPr>
            <w:proofErr w:type="spellStart"/>
            <w:r>
              <w:t>VCE</w:t>
            </w:r>
            <w:proofErr w:type="spellEnd"/>
          </w:p>
        </w:tc>
        <w:tc>
          <w:tcPr>
            <w:tcW w:w="5851" w:type="dxa"/>
          </w:tcPr>
          <w:p w14:paraId="4D9F691D" w14:textId="77777777" w:rsidR="00B54C77" w:rsidRDefault="00B54C77" w:rsidP="001C6442">
            <w:pPr>
              <w:pStyle w:val="Glossarytext"/>
            </w:pPr>
            <w:r>
              <w:t>Victorian Certificate of Education</w:t>
            </w:r>
          </w:p>
        </w:tc>
      </w:tr>
      <w:tr w:rsidR="001B104C" w14:paraId="51FB260B" w14:textId="77777777" w:rsidTr="004F1F45">
        <w:tc>
          <w:tcPr>
            <w:tcW w:w="2585" w:type="dxa"/>
          </w:tcPr>
          <w:p w14:paraId="78A581D6" w14:textId="77777777" w:rsidR="001B104C" w:rsidRDefault="001B104C" w:rsidP="001C6442">
            <w:pPr>
              <w:pStyle w:val="GlossaryAbbreviation"/>
            </w:pPr>
            <w:r>
              <w:t>VET</w:t>
            </w:r>
          </w:p>
        </w:tc>
        <w:tc>
          <w:tcPr>
            <w:tcW w:w="5851" w:type="dxa"/>
          </w:tcPr>
          <w:p w14:paraId="0072DFAA" w14:textId="77777777" w:rsidR="001B104C" w:rsidRDefault="001B104C" w:rsidP="001C6442">
            <w:pPr>
              <w:pStyle w:val="Glossarytext"/>
            </w:pPr>
            <w:r>
              <w:t>Vocational Education and Training</w:t>
            </w:r>
          </w:p>
        </w:tc>
      </w:tr>
      <w:tr w:rsidR="00B54C77" w14:paraId="00653D6A" w14:textId="77777777" w:rsidTr="004F1F45">
        <w:tc>
          <w:tcPr>
            <w:tcW w:w="2585" w:type="dxa"/>
          </w:tcPr>
          <w:p w14:paraId="2AEF510F" w14:textId="77777777" w:rsidR="00B54C77" w:rsidRDefault="00B54C77" w:rsidP="001C6442">
            <w:pPr>
              <w:pStyle w:val="GlossaryAbbreviation"/>
            </w:pPr>
            <w:proofErr w:type="spellStart"/>
            <w:r>
              <w:t>WHM</w:t>
            </w:r>
            <w:proofErr w:type="spellEnd"/>
          </w:p>
        </w:tc>
        <w:tc>
          <w:tcPr>
            <w:tcW w:w="5851" w:type="dxa"/>
          </w:tcPr>
          <w:p w14:paraId="3A058251" w14:textId="77777777" w:rsidR="00B54C77" w:rsidRDefault="00B54C77" w:rsidP="001C6442">
            <w:pPr>
              <w:pStyle w:val="Glossarytext"/>
            </w:pPr>
            <w:r>
              <w:t>Working Holiday Maker</w:t>
            </w:r>
          </w:p>
        </w:tc>
      </w:tr>
      <w:bookmarkEnd w:id="2"/>
      <w:bookmarkEnd w:id="3"/>
    </w:tbl>
    <w:p w14:paraId="46F1B2C5" w14:textId="77777777" w:rsidR="000175EC" w:rsidRDefault="000175EC" w:rsidP="009B4B43">
      <w:pPr>
        <w:pStyle w:val="SingleLeft"/>
      </w:pPr>
    </w:p>
    <w:p w14:paraId="4164104D" w14:textId="77777777" w:rsidR="002E7FF6" w:rsidRDefault="002E7FF6" w:rsidP="009B4B43">
      <w:pPr>
        <w:pStyle w:val="SingleLeft"/>
        <w:sectPr w:rsidR="002E7FF6" w:rsidSect="00163EA3">
          <w:headerReference w:type="even" r:id="rId23"/>
          <w:headerReference w:type="default" r:id="rId24"/>
          <w:headerReference w:type="first" r:id="rId25"/>
          <w:footerReference w:type="first" r:id="rId26"/>
          <w:pgSz w:w="11906" w:h="16838" w:code="9"/>
          <w:pgMar w:top="2268" w:right="1134" w:bottom="1134" w:left="2552" w:header="720" w:footer="720" w:gutter="0"/>
          <w:pgNumType w:fmt="lowerRoman" w:start="6"/>
          <w:cols w:space="720"/>
          <w:titlePg/>
          <w:docGrid w:linePitch="360"/>
        </w:sectPr>
      </w:pPr>
    </w:p>
    <w:p w14:paraId="36D22EF1" w14:textId="77777777" w:rsidR="00B42CB5" w:rsidRPr="00014351" w:rsidRDefault="00014351" w:rsidP="00163EA3">
      <w:pPr>
        <w:pStyle w:val="MajorHeading"/>
        <w:outlineLvl w:val="0"/>
      </w:pPr>
      <w:bookmarkStart w:id="4" w:name="_Toc215906318"/>
      <w:bookmarkStart w:id="5" w:name="_Toc227746675"/>
      <w:bookmarkStart w:id="6" w:name="_Toc227746679"/>
      <w:bookmarkStart w:id="7" w:name="_Toc227746683"/>
      <w:bookmarkStart w:id="8" w:name="_Toc227746687"/>
      <w:bookmarkStart w:id="9" w:name="_Toc227748309"/>
      <w:bookmarkStart w:id="10" w:name="_Toc227748327"/>
      <w:bookmarkStart w:id="11" w:name="_Toc227748331"/>
      <w:bookmarkStart w:id="12" w:name="_Toc227748335"/>
      <w:bookmarkStart w:id="13" w:name="_Toc227748374"/>
      <w:bookmarkStart w:id="14" w:name="_Toc227748378"/>
      <w:bookmarkStart w:id="15" w:name="_Toc227748382"/>
      <w:bookmarkStart w:id="16" w:name="_Toc227748494"/>
      <w:bookmarkStart w:id="17" w:name="_Toc227748498"/>
      <w:bookmarkStart w:id="18" w:name="_Toc228005205"/>
      <w:bookmarkStart w:id="19" w:name="_Toc228092496"/>
      <w:bookmarkStart w:id="20" w:name="_Toc228264951"/>
      <w:bookmarkStart w:id="21" w:name="_Toc228264973"/>
      <w:bookmarkStart w:id="22" w:name="_Toc228264977"/>
      <w:bookmarkStart w:id="23" w:name="_Toc228264981"/>
      <w:bookmarkStart w:id="24" w:name="_Toc228264985"/>
      <w:bookmarkStart w:id="25" w:name="_Toc228265215"/>
      <w:bookmarkStart w:id="26" w:name="_Toc288198024"/>
      <w:bookmarkStart w:id="27" w:name="_Toc450809230"/>
      <w:r w:rsidRPr="00014351">
        <w:lastRenderedPageBreak/>
        <w:t xml:space="preserve">Executive </w:t>
      </w:r>
      <w:r w:rsidRPr="00221A8A">
        <w:t>Summary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385FACA4" w14:textId="77777777" w:rsidR="008838DA" w:rsidRDefault="00DB2019" w:rsidP="004A6626">
      <w:pPr>
        <w:pStyle w:val="BodyText"/>
      </w:pPr>
      <w:r>
        <w:t xml:space="preserve">This report has been commissioned by the </w:t>
      </w:r>
      <w:r w:rsidR="00DC7BF7">
        <w:t>Australian Government</w:t>
      </w:r>
      <w:r>
        <w:t xml:space="preserve"> Department of Education and Training to assess the value of international education to the Australian community</w:t>
      </w:r>
      <w:r w:rsidR="00A37A14">
        <w:t>.  This assessment</w:t>
      </w:r>
      <w:r>
        <w:t xml:space="preserve"> </w:t>
      </w:r>
      <w:r w:rsidR="00A37A14">
        <w:t xml:space="preserve">encompasses </w:t>
      </w:r>
      <w:r>
        <w:t xml:space="preserve">the sector’s contribution to </w:t>
      </w:r>
      <w:r w:rsidR="00D7798F">
        <w:t xml:space="preserve">the </w:t>
      </w:r>
      <w:r>
        <w:t xml:space="preserve">Australian economy and its broader economic and social impact on regional communities, tourism and </w:t>
      </w:r>
      <w:r w:rsidR="00A37A14">
        <w:t xml:space="preserve">the calibre and productivity of Australia’s workforce. </w:t>
      </w:r>
      <w:r>
        <w:t xml:space="preserve"> </w:t>
      </w:r>
    </w:p>
    <w:p w14:paraId="496EE84B" w14:textId="77777777" w:rsidR="00344346" w:rsidRDefault="007F27EA" w:rsidP="004A6626">
      <w:pPr>
        <w:pStyle w:val="BodyText"/>
        <w:rPr>
          <w:rFonts w:cs="Arial"/>
          <w:lang w:eastAsia="en-AU"/>
        </w:rPr>
      </w:pPr>
      <w:r>
        <w:t xml:space="preserve">The </w:t>
      </w:r>
      <w:r w:rsidR="00AE285E">
        <w:t>analysis</w:t>
      </w:r>
      <w:r>
        <w:t xml:space="preserve"> </w:t>
      </w:r>
      <w:r w:rsidR="00A37A14">
        <w:t xml:space="preserve">encompasses </w:t>
      </w:r>
      <w:r>
        <w:t xml:space="preserve">international students studying at schools, </w:t>
      </w:r>
      <w:r w:rsidR="00A37A14">
        <w:t xml:space="preserve">vocational education </w:t>
      </w:r>
      <w:r>
        <w:t xml:space="preserve">and </w:t>
      </w:r>
      <w:r w:rsidR="00A37A14">
        <w:t xml:space="preserve">training </w:t>
      </w:r>
      <w:r>
        <w:t xml:space="preserve">(VET) providers, higher education providers and those studying </w:t>
      </w:r>
      <w:r>
        <w:rPr>
          <w:rFonts w:cs="Arial"/>
          <w:lang w:eastAsia="en-AU"/>
        </w:rPr>
        <w:t>English Language Intensive Courses for Overseas Students (</w:t>
      </w:r>
      <w:proofErr w:type="spellStart"/>
      <w:r>
        <w:rPr>
          <w:rFonts w:cs="Arial"/>
          <w:lang w:eastAsia="en-AU"/>
        </w:rPr>
        <w:t>ELICOS</w:t>
      </w:r>
      <w:proofErr w:type="spellEnd"/>
      <w:r>
        <w:rPr>
          <w:rFonts w:cs="Arial"/>
          <w:lang w:eastAsia="en-AU"/>
        </w:rPr>
        <w:t>) courses.</w:t>
      </w:r>
    </w:p>
    <w:p w14:paraId="3ED2617C" w14:textId="77777777" w:rsidR="00D61D21" w:rsidRPr="00E131E1" w:rsidRDefault="004727BA" w:rsidP="00163EA3">
      <w:pPr>
        <w:pStyle w:val="HeadingC"/>
        <w:outlineLvl w:val="0"/>
      </w:pPr>
      <w:r>
        <w:t>T</w:t>
      </w:r>
      <w:r w:rsidR="00D61D21">
        <w:t>he value of international education exports</w:t>
      </w:r>
    </w:p>
    <w:p w14:paraId="27F29C87" w14:textId="77777777" w:rsidR="000E706F" w:rsidRDefault="000E706F">
      <w:pPr>
        <w:pStyle w:val="Bullet1"/>
      </w:pPr>
      <w:r>
        <w:t xml:space="preserve">In 2014-15, the ABS valued exports from international education at </w:t>
      </w:r>
      <w:r w:rsidRPr="00846271">
        <w:rPr>
          <w:b/>
          <w:color w:val="002776"/>
        </w:rPr>
        <w:t>$18.8</w:t>
      </w:r>
      <w:r w:rsidRPr="00846271">
        <w:rPr>
          <w:color w:val="002776"/>
        </w:rPr>
        <w:t xml:space="preserve"> </w:t>
      </w:r>
      <w:r>
        <w:t xml:space="preserve">billion, making it Australia’s third largest export. </w:t>
      </w:r>
      <w:r w:rsidR="00A37A14">
        <w:t xml:space="preserve"> The analysis presented in this report builds on this figure by examining and where possible quantifying avenues of export revenue not captured in the ABS statistics. These include</w:t>
      </w:r>
      <w:r w:rsidR="0082134D">
        <w:t xml:space="preserve">: </w:t>
      </w:r>
    </w:p>
    <w:p w14:paraId="216BAFA7" w14:textId="77777777" w:rsidR="000E706F" w:rsidRDefault="000E706F" w:rsidP="00846271">
      <w:pPr>
        <w:pStyle w:val="Bullet2"/>
      </w:pPr>
      <w:r>
        <w:t xml:space="preserve">education related expenditure by those on non-student visas studying </w:t>
      </w:r>
      <w:proofErr w:type="spellStart"/>
      <w:r>
        <w:t>ELICOS</w:t>
      </w:r>
      <w:proofErr w:type="spellEnd"/>
      <w:r w:rsidR="0082134D">
        <w:t>, which is</w:t>
      </w:r>
      <w:r>
        <w:t xml:space="preserve"> estimated to contribute an additional $205 million in export revenue;</w:t>
      </w:r>
    </w:p>
    <w:p w14:paraId="3B3E4D85" w14:textId="77777777" w:rsidR="0082134D" w:rsidRDefault="0082134D" w:rsidP="000E706F">
      <w:pPr>
        <w:pStyle w:val="Bullet2"/>
      </w:pPr>
      <w:r>
        <w:t xml:space="preserve">tourism expenditure by </w:t>
      </w:r>
      <w:r w:rsidR="000E706F">
        <w:t>visiting friends and relatives who c</w:t>
      </w:r>
      <w:r>
        <w:t>o</w:t>
      </w:r>
      <w:r w:rsidR="000E706F">
        <w:t xml:space="preserve">me to Australia to visit </w:t>
      </w:r>
      <w:r>
        <w:t xml:space="preserve">an </w:t>
      </w:r>
      <w:r w:rsidR="000E706F">
        <w:t>international student</w:t>
      </w:r>
      <w:r>
        <w:t>, which is estimated to be worth $282 million;</w:t>
      </w:r>
    </w:p>
    <w:p w14:paraId="6030B577" w14:textId="77777777" w:rsidR="000977C7" w:rsidRDefault="0082134D" w:rsidP="000E706F">
      <w:pPr>
        <w:pStyle w:val="Bullet2"/>
      </w:pPr>
      <w:r>
        <w:t xml:space="preserve">revenue from </w:t>
      </w:r>
      <w:r w:rsidR="000977C7">
        <w:t xml:space="preserve">offshore campuses </w:t>
      </w:r>
      <w:r>
        <w:t xml:space="preserve">which is estimated to be worth </w:t>
      </w:r>
      <w:r w:rsidR="000977C7">
        <w:t>$434 million in 2014, comprising $382</w:t>
      </w:r>
      <w:r w:rsidR="004F6888">
        <w:t xml:space="preserve"> million</w:t>
      </w:r>
      <w:r w:rsidR="000977C7">
        <w:t xml:space="preserve"> from higher education and $</w:t>
      </w:r>
      <w:r w:rsidR="00ED051D">
        <w:t>53</w:t>
      </w:r>
      <w:r w:rsidR="004F6888">
        <w:t xml:space="preserve"> million</w:t>
      </w:r>
      <w:r w:rsidR="00ED051D">
        <w:t xml:space="preserve"> </w:t>
      </w:r>
      <w:r w:rsidR="000977C7">
        <w:t>from VET; and</w:t>
      </w:r>
    </w:p>
    <w:p w14:paraId="47AE8161" w14:textId="77777777" w:rsidR="000977C7" w:rsidRDefault="0082134D" w:rsidP="009E429A">
      <w:pPr>
        <w:pStyle w:val="Bullet2"/>
      </w:pPr>
      <w:proofErr w:type="gramStart"/>
      <w:r>
        <w:t>revenue</w:t>
      </w:r>
      <w:proofErr w:type="gramEnd"/>
      <w:r>
        <w:t xml:space="preserve"> from international students undertaking </w:t>
      </w:r>
      <w:r w:rsidR="000977C7">
        <w:t>study tours at Australian public schools</w:t>
      </w:r>
      <w:r>
        <w:t>, which was estimated to be worth $1</w:t>
      </w:r>
      <w:r w:rsidR="00331CCE">
        <w:t>4</w:t>
      </w:r>
      <w:r>
        <w:t xml:space="preserve"> m</w:t>
      </w:r>
      <w:r w:rsidR="000977C7">
        <w:t>illion in</w:t>
      </w:r>
      <w:r>
        <w:t xml:space="preserve"> 2015</w:t>
      </w:r>
      <w:r w:rsidR="000977C7">
        <w:t xml:space="preserve">. </w:t>
      </w:r>
    </w:p>
    <w:p w14:paraId="0CA63657" w14:textId="77777777" w:rsidR="00623853" w:rsidRDefault="0082134D" w:rsidP="00846271">
      <w:pPr>
        <w:pStyle w:val="Bullet1"/>
      </w:pPr>
      <w:r>
        <w:t>C</w:t>
      </w:r>
      <w:r w:rsidR="006E1DDF">
        <w:t>ollectively, these figures indicate that international education contributes an additional $93</w:t>
      </w:r>
      <w:r w:rsidR="00CB37EA">
        <w:t>5</w:t>
      </w:r>
      <w:r w:rsidR="006E1DDF">
        <w:t xml:space="preserve"> million in export revenue to Australia</w:t>
      </w:r>
      <w:r w:rsidR="00623853">
        <w:t xml:space="preserve">, taking the sector’s overall export revenue to an estimated </w:t>
      </w:r>
      <w:r w:rsidR="00623853" w:rsidRPr="00846271">
        <w:rPr>
          <w:b/>
          <w:color w:val="002776"/>
        </w:rPr>
        <w:t>$19.7 billion</w:t>
      </w:r>
      <w:r w:rsidR="00D62D51">
        <w:rPr>
          <w:b/>
          <w:color w:val="002776"/>
        </w:rPr>
        <w:t xml:space="preserve"> </w:t>
      </w:r>
      <w:r w:rsidR="00D62D51" w:rsidRPr="00846271">
        <w:t>in 2014-15</w:t>
      </w:r>
      <w:r w:rsidR="006E1DDF">
        <w:t xml:space="preserve">. </w:t>
      </w:r>
    </w:p>
    <w:p w14:paraId="5F7F61C0" w14:textId="77777777" w:rsidR="000E706F" w:rsidRDefault="006E1DDF" w:rsidP="00623853">
      <w:pPr>
        <w:pStyle w:val="Bullet2"/>
      </w:pPr>
      <w:r>
        <w:t xml:space="preserve">This should be seen as a conservative estimate of the additional export revenue from these sectors. </w:t>
      </w:r>
      <w:r w:rsidR="004A3FD1">
        <w:t xml:space="preserve">Relatively little information is available on the offshore </w:t>
      </w:r>
      <w:r w:rsidR="009E25CC">
        <w:t xml:space="preserve">revenue earned by </w:t>
      </w:r>
      <w:r w:rsidR="004A3FD1">
        <w:t>private providers.</w:t>
      </w:r>
    </w:p>
    <w:p w14:paraId="34D5DACB" w14:textId="77777777" w:rsidR="00D61D21" w:rsidRDefault="004727BA" w:rsidP="00163EA3">
      <w:pPr>
        <w:pStyle w:val="HeadingC"/>
        <w:outlineLvl w:val="0"/>
      </w:pPr>
      <w:r>
        <w:t>The contribution of international education to the Australian economy</w:t>
      </w:r>
    </w:p>
    <w:p w14:paraId="0B3761A2" w14:textId="77777777" w:rsidR="00A674F1" w:rsidRDefault="00CF49BD" w:rsidP="00121B1E">
      <w:pPr>
        <w:pStyle w:val="Bullet1"/>
      </w:pPr>
      <w:r>
        <w:t>Th</w:t>
      </w:r>
      <w:r w:rsidR="00846271">
        <w:t xml:space="preserve">is export revenue </w:t>
      </w:r>
      <w:r>
        <w:t>was estimated to</w:t>
      </w:r>
      <w:r w:rsidR="00451844">
        <w:t xml:space="preserve"> support over </w:t>
      </w:r>
      <w:r w:rsidR="00451844" w:rsidRPr="00846271">
        <w:rPr>
          <w:b/>
          <w:color w:val="002776"/>
        </w:rPr>
        <w:t>130,7</w:t>
      </w:r>
      <w:r w:rsidRPr="00846271">
        <w:rPr>
          <w:b/>
          <w:color w:val="002776"/>
        </w:rPr>
        <w:t xml:space="preserve">00 Full Time Equivalent (FTE) employees </w:t>
      </w:r>
      <w:r>
        <w:t xml:space="preserve">in 2014-15, accounting for 1.3% of Australia’s total employment. </w:t>
      </w:r>
    </w:p>
    <w:p w14:paraId="66A94D0E" w14:textId="77777777" w:rsidR="00A674F1" w:rsidRDefault="00A674F1" w:rsidP="00121B1E">
      <w:pPr>
        <w:pStyle w:val="Bullet1"/>
      </w:pPr>
      <w:r>
        <w:t xml:space="preserve">The contribution of international education to employment at a state and territory level is shown </w:t>
      </w:r>
      <w:r w:rsidR="006B28FA">
        <w:t xml:space="preserve">in </w:t>
      </w:r>
      <w:r w:rsidR="006B28FA">
        <w:fldChar w:fldCharType="begin"/>
      </w:r>
      <w:r w:rsidR="006B28FA">
        <w:instrText xml:space="preserve"> REF _Ref442268473 \r \h </w:instrText>
      </w:r>
      <w:r w:rsidR="006B28FA">
        <w:fldChar w:fldCharType="separate"/>
      </w:r>
      <w:r w:rsidR="00F03FA0">
        <w:t xml:space="preserve">Table </w:t>
      </w:r>
      <w:proofErr w:type="spellStart"/>
      <w:r w:rsidR="00F03FA0">
        <w:t>i</w:t>
      </w:r>
      <w:proofErr w:type="spellEnd"/>
      <w:r w:rsidR="006B28FA">
        <w:fldChar w:fldCharType="end"/>
      </w:r>
      <w:r w:rsidR="006B28FA">
        <w:t xml:space="preserve"> </w:t>
      </w:r>
      <w:r>
        <w:t>below</w:t>
      </w:r>
      <w:r w:rsidR="00295C62">
        <w:t>,</w:t>
      </w:r>
      <w:r w:rsidR="00FB14E8">
        <w:t xml:space="preserve"> </w:t>
      </w:r>
      <w:r w:rsidR="00451844">
        <w:t>with international education supporting between 1.</w:t>
      </w:r>
      <w:r w:rsidR="006B28FA">
        <w:t>6% (Victoria) and 0.4</w:t>
      </w:r>
      <w:r w:rsidR="00451844">
        <w:t xml:space="preserve">% (NT) of all employment at a state and territory level. </w:t>
      </w:r>
    </w:p>
    <w:p w14:paraId="07FDFDB0" w14:textId="77777777" w:rsidR="006B28FA" w:rsidRDefault="006B28FA" w:rsidP="00E74E03">
      <w:pPr>
        <w:pStyle w:val="Bullet1"/>
        <w:numPr>
          <w:ilvl w:val="0"/>
          <w:numId w:val="0"/>
        </w:numPr>
      </w:pPr>
    </w:p>
    <w:p w14:paraId="35F9F61F" w14:textId="77777777" w:rsidR="006B28FA" w:rsidRDefault="006B28FA" w:rsidP="00163EA3">
      <w:pPr>
        <w:pStyle w:val="ExecTableCaption"/>
        <w:outlineLvl w:val="0"/>
        <w:rPr>
          <w:lang w:eastAsia="en-AU"/>
        </w:rPr>
      </w:pPr>
      <w:bookmarkStart w:id="28" w:name="_Ref442268473"/>
      <w:bookmarkStart w:id="29" w:name="_Toc450809278"/>
      <w:r>
        <w:rPr>
          <w:lang w:eastAsia="en-AU"/>
        </w:rPr>
        <w:lastRenderedPageBreak/>
        <w:t>: Contribution of international education to employment, 2014-15</w:t>
      </w:r>
      <w:bookmarkEnd w:id="28"/>
      <w:bookmarkEnd w:id="29"/>
    </w:p>
    <w:tbl>
      <w:tblPr>
        <w:tblStyle w:val="TableAE"/>
        <w:tblW w:w="0" w:type="auto"/>
        <w:tblLayout w:type="fixed"/>
        <w:tblLook w:val="04A0" w:firstRow="1" w:lastRow="0" w:firstColumn="1" w:lastColumn="0" w:noHBand="0" w:noVBand="1"/>
        <w:tblCaption w:val="Contribution of international education to employment"/>
      </w:tblPr>
      <w:tblGrid>
        <w:gridCol w:w="2627"/>
        <w:gridCol w:w="2696"/>
        <w:gridCol w:w="2769"/>
      </w:tblGrid>
      <w:tr w:rsidR="006B28FA" w14:paraId="4B735C3E" w14:textId="77777777" w:rsidTr="00AA149D">
        <w:trPr>
          <w:cnfStyle w:val="100000000000" w:firstRow="1" w:lastRow="0" w:firstColumn="0" w:lastColumn="0" w:oddVBand="0" w:evenVBand="0" w:oddHBand="0" w:evenHBand="0" w:firstRowFirstColumn="0" w:firstRowLastColumn="0" w:lastRowFirstColumn="0" w:lastRowLastColumn="0"/>
          <w:tblHeader/>
        </w:trPr>
        <w:tc>
          <w:tcPr>
            <w:tcW w:w="2627" w:type="dxa"/>
          </w:tcPr>
          <w:p w14:paraId="5163CB0B" w14:textId="77777777" w:rsidR="006B28FA" w:rsidRDefault="006B28FA" w:rsidP="00E74E03">
            <w:pPr>
              <w:pStyle w:val="TableHeadingCentre"/>
              <w:rPr>
                <w:lang w:eastAsia="en-AU"/>
              </w:rPr>
            </w:pPr>
            <w:r>
              <w:rPr>
                <w:lang w:eastAsia="en-AU"/>
              </w:rPr>
              <w:t>State or Territory</w:t>
            </w:r>
          </w:p>
        </w:tc>
        <w:tc>
          <w:tcPr>
            <w:tcW w:w="2696" w:type="dxa"/>
          </w:tcPr>
          <w:p w14:paraId="7C713F48" w14:textId="77777777" w:rsidR="006B28FA" w:rsidRDefault="00B334E1" w:rsidP="00E74E03">
            <w:pPr>
              <w:pStyle w:val="TableHeadingCentre"/>
              <w:rPr>
                <w:lang w:eastAsia="en-AU"/>
              </w:rPr>
            </w:pPr>
            <w:r>
              <w:rPr>
                <w:lang w:eastAsia="en-AU"/>
              </w:rPr>
              <w:t>Full Time Equivalent (</w:t>
            </w:r>
            <w:r w:rsidR="00E13322">
              <w:rPr>
                <w:lang w:eastAsia="en-AU"/>
              </w:rPr>
              <w:t>FTE</w:t>
            </w:r>
            <w:r>
              <w:rPr>
                <w:lang w:eastAsia="en-AU"/>
              </w:rPr>
              <w:t>) jobs</w:t>
            </w:r>
          </w:p>
        </w:tc>
        <w:tc>
          <w:tcPr>
            <w:tcW w:w="2769" w:type="dxa"/>
          </w:tcPr>
          <w:p w14:paraId="1F95A8A4" w14:textId="77777777" w:rsidR="006B28FA" w:rsidRDefault="006B28FA" w:rsidP="00E74E03">
            <w:pPr>
              <w:pStyle w:val="TableHeadingCentre"/>
              <w:rPr>
                <w:lang w:eastAsia="en-AU"/>
              </w:rPr>
            </w:pPr>
            <w:r>
              <w:rPr>
                <w:lang w:eastAsia="en-AU"/>
              </w:rPr>
              <w:t>Proportion of employment</w:t>
            </w:r>
          </w:p>
        </w:tc>
      </w:tr>
      <w:tr w:rsidR="003F68C7" w14:paraId="659A8C12" w14:textId="77777777" w:rsidTr="00367512">
        <w:tc>
          <w:tcPr>
            <w:tcW w:w="2627" w:type="dxa"/>
            <w:vAlign w:val="bottom"/>
          </w:tcPr>
          <w:p w14:paraId="23A68700" w14:textId="77777777" w:rsidR="003F68C7" w:rsidRDefault="003F68C7" w:rsidP="00E74E03">
            <w:pPr>
              <w:pStyle w:val="TabletextLeft"/>
              <w:rPr>
                <w:lang w:eastAsia="en-AU"/>
              </w:rPr>
            </w:pPr>
            <w:r w:rsidRPr="00071581">
              <w:rPr>
                <w:rFonts w:cs="Arial"/>
                <w:lang w:eastAsia="en-AU"/>
              </w:rPr>
              <w:t>New South Wales</w:t>
            </w:r>
          </w:p>
        </w:tc>
        <w:tc>
          <w:tcPr>
            <w:tcW w:w="2696" w:type="dxa"/>
            <w:vAlign w:val="center"/>
          </w:tcPr>
          <w:p w14:paraId="4695C19F" w14:textId="77777777" w:rsidR="003F68C7" w:rsidRDefault="003F68C7" w:rsidP="00E74E03">
            <w:pPr>
              <w:pStyle w:val="TabletextLeft"/>
              <w:jc w:val="center"/>
              <w:rPr>
                <w:lang w:eastAsia="en-AU"/>
              </w:rPr>
            </w:pPr>
            <w:r>
              <w:rPr>
                <w:rFonts w:cs="Arial"/>
                <w:color w:val="000000"/>
              </w:rPr>
              <w:t>46,903</w:t>
            </w:r>
          </w:p>
        </w:tc>
        <w:tc>
          <w:tcPr>
            <w:tcW w:w="2769" w:type="dxa"/>
            <w:vAlign w:val="bottom"/>
          </w:tcPr>
          <w:p w14:paraId="7A31DA8F" w14:textId="77777777" w:rsidR="003F68C7" w:rsidRPr="00E74E03" w:rsidRDefault="003F68C7" w:rsidP="00E74E03">
            <w:pPr>
              <w:pStyle w:val="TabletextLeft"/>
              <w:jc w:val="center"/>
              <w:rPr>
                <w:rFonts w:asciiTheme="minorHAnsi" w:hAnsiTheme="minorHAnsi"/>
                <w:lang w:eastAsia="en-AU"/>
              </w:rPr>
            </w:pPr>
            <w:r w:rsidRPr="00E74E03">
              <w:rPr>
                <w:rFonts w:asciiTheme="minorHAnsi" w:hAnsiTheme="minorHAnsi" w:cs="Arial"/>
                <w:color w:val="000000"/>
              </w:rPr>
              <w:t>1.5%</w:t>
            </w:r>
          </w:p>
        </w:tc>
      </w:tr>
      <w:tr w:rsidR="003F68C7" w14:paraId="1D4B98DA" w14:textId="77777777" w:rsidTr="00367512">
        <w:tc>
          <w:tcPr>
            <w:tcW w:w="2627" w:type="dxa"/>
            <w:vAlign w:val="bottom"/>
          </w:tcPr>
          <w:p w14:paraId="74FC6C92" w14:textId="77777777" w:rsidR="003F68C7" w:rsidRDefault="003F68C7" w:rsidP="00E74E03">
            <w:pPr>
              <w:pStyle w:val="TabletextLeft"/>
              <w:rPr>
                <w:lang w:eastAsia="en-AU"/>
              </w:rPr>
            </w:pPr>
            <w:r w:rsidRPr="00071581">
              <w:rPr>
                <w:rFonts w:cs="Arial"/>
                <w:lang w:eastAsia="en-AU"/>
              </w:rPr>
              <w:t>Victoria</w:t>
            </w:r>
          </w:p>
        </w:tc>
        <w:tc>
          <w:tcPr>
            <w:tcW w:w="2696" w:type="dxa"/>
            <w:vAlign w:val="center"/>
          </w:tcPr>
          <w:p w14:paraId="12DE1BAC" w14:textId="77777777" w:rsidR="003F68C7" w:rsidRDefault="003F68C7" w:rsidP="00E74E03">
            <w:pPr>
              <w:pStyle w:val="TabletextLeft"/>
              <w:jc w:val="center"/>
              <w:rPr>
                <w:lang w:eastAsia="en-AU"/>
              </w:rPr>
            </w:pPr>
            <w:r>
              <w:rPr>
                <w:rFonts w:cs="Arial"/>
                <w:color w:val="000000"/>
              </w:rPr>
              <w:t>39,169</w:t>
            </w:r>
          </w:p>
        </w:tc>
        <w:tc>
          <w:tcPr>
            <w:tcW w:w="2769" w:type="dxa"/>
            <w:vAlign w:val="bottom"/>
          </w:tcPr>
          <w:p w14:paraId="6DD847E9" w14:textId="77777777" w:rsidR="003F68C7" w:rsidRPr="00E74E03" w:rsidRDefault="003F68C7" w:rsidP="00E74E03">
            <w:pPr>
              <w:pStyle w:val="TabletextLeft"/>
              <w:jc w:val="center"/>
              <w:rPr>
                <w:rFonts w:asciiTheme="minorHAnsi" w:hAnsiTheme="minorHAnsi"/>
                <w:lang w:eastAsia="en-AU"/>
              </w:rPr>
            </w:pPr>
            <w:r w:rsidRPr="00E74E03">
              <w:rPr>
                <w:rFonts w:asciiTheme="minorHAnsi" w:hAnsiTheme="minorHAnsi" w:cs="Arial"/>
                <w:color w:val="000000"/>
              </w:rPr>
              <w:t>1.6%</w:t>
            </w:r>
          </w:p>
        </w:tc>
      </w:tr>
      <w:tr w:rsidR="003F68C7" w14:paraId="7BC88021" w14:textId="77777777" w:rsidTr="00367512">
        <w:tc>
          <w:tcPr>
            <w:tcW w:w="2627" w:type="dxa"/>
            <w:vAlign w:val="bottom"/>
          </w:tcPr>
          <w:p w14:paraId="7833A98D" w14:textId="77777777" w:rsidR="003F68C7" w:rsidRDefault="003F68C7" w:rsidP="00E74E03">
            <w:pPr>
              <w:pStyle w:val="TabletextLeft"/>
              <w:rPr>
                <w:lang w:eastAsia="en-AU"/>
              </w:rPr>
            </w:pPr>
            <w:r w:rsidRPr="00071581">
              <w:rPr>
                <w:rFonts w:cs="Arial"/>
                <w:lang w:eastAsia="en-AU"/>
              </w:rPr>
              <w:t>Queensland</w:t>
            </w:r>
          </w:p>
        </w:tc>
        <w:tc>
          <w:tcPr>
            <w:tcW w:w="2696" w:type="dxa"/>
            <w:vAlign w:val="center"/>
          </w:tcPr>
          <w:p w14:paraId="70FC7590" w14:textId="77777777" w:rsidR="003F68C7" w:rsidRDefault="003F68C7" w:rsidP="00E74E03">
            <w:pPr>
              <w:pStyle w:val="TabletextLeft"/>
              <w:jc w:val="center"/>
              <w:rPr>
                <w:lang w:eastAsia="en-AU"/>
              </w:rPr>
            </w:pPr>
            <w:r>
              <w:rPr>
                <w:rFonts w:cs="Arial"/>
                <w:color w:val="000000"/>
              </w:rPr>
              <w:t>21,474</w:t>
            </w:r>
          </w:p>
        </w:tc>
        <w:tc>
          <w:tcPr>
            <w:tcW w:w="2769" w:type="dxa"/>
            <w:vAlign w:val="bottom"/>
          </w:tcPr>
          <w:p w14:paraId="2037125F" w14:textId="77777777" w:rsidR="003F68C7" w:rsidRPr="00E74E03" w:rsidRDefault="003F68C7" w:rsidP="00E74E03">
            <w:pPr>
              <w:pStyle w:val="TabletextLeft"/>
              <w:jc w:val="center"/>
              <w:rPr>
                <w:rFonts w:asciiTheme="minorHAnsi" w:hAnsiTheme="minorHAnsi"/>
                <w:lang w:eastAsia="en-AU"/>
              </w:rPr>
            </w:pPr>
            <w:r w:rsidRPr="00E74E03">
              <w:rPr>
                <w:rFonts w:asciiTheme="minorHAnsi" w:hAnsiTheme="minorHAnsi" w:cs="Arial"/>
                <w:color w:val="000000"/>
              </w:rPr>
              <w:t>1.1%</w:t>
            </w:r>
          </w:p>
        </w:tc>
      </w:tr>
      <w:tr w:rsidR="003F68C7" w14:paraId="6DB9AD81" w14:textId="77777777" w:rsidTr="00367512">
        <w:tc>
          <w:tcPr>
            <w:tcW w:w="2627" w:type="dxa"/>
            <w:vAlign w:val="bottom"/>
          </w:tcPr>
          <w:p w14:paraId="55E865FA" w14:textId="77777777" w:rsidR="003F68C7" w:rsidRDefault="003F68C7" w:rsidP="00E74E03">
            <w:pPr>
              <w:pStyle w:val="TabletextLeft"/>
              <w:rPr>
                <w:lang w:eastAsia="en-AU"/>
              </w:rPr>
            </w:pPr>
            <w:r w:rsidRPr="00071581">
              <w:rPr>
                <w:rFonts w:cs="Arial"/>
                <w:lang w:eastAsia="en-AU"/>
              </w:rPr>
              <w:t>South Australia</w:t>
            </w:r>
          </w:p>
        </w:tc>
        <w:tc>
          <w:tcPr>
            <w:tcW w:w="2696" w:type="dxa"/>
            <w:vAlign w:val="center"/>
          </w:tcPr>
          <w:p w14:paraId="4F9D088D" w14:textId="77777777" w:rsidR="003F68C7" w:rsidRDefault="003F68C7" w:rsidP="00E74E03">
            <w:pPr>
              <w:pStyle w:val="TabletextLeft"/>
              <w:jc w:val="center"/>
              <w:rPr>
                <w:lang w:eastAsia="en-AU"/>
              </w:rPr>
            </w:pPr>
            <w:r>
              <w:rPr>
                <w:rFonts w:cs="Arial"/>
                <w:color w:val="000000"/>
              </w:rPr>
              <w:t>8,430</w:t>
            </w:r>
          </w:p>
        </w:tc>
        <w:tc>
          <w:tcPr>
            <w:tcW w:w="2769" w:type="dxa"/>
            <w:vAlign w:val="bottom"/>
          </w:tcPr>
          <w:p w14:paraId="565DF62B" w14:textId="77777777" w:rsidR="003F68C7" w:rsidRPr="00E74E03" w:rsidRDefault="003F68C7" w:rsidP="00E74E03">
            <w:pPr>
              <w:pStyle w:val="TabletextLeft"/>
              <w:jc w:val="center"/>
              <w:rPr>
                <w:rFonts w:asciiTheme="minorHAnsi" w:hAnsiTheme="minorHAnsi"/>
                <w:lang w:eastAsia="en-AU"/>
              </w:rPr>
            </w:pPr>
            <w:r w:rsidRPr="00E74E03">
              <w:rPr>
                <w:rFonts w:asciiTheme="minorHAnsi" w:hAnsiTheme="minorHAnsi" w:cs="Arial"/>
                <w:color w:val="000000"/>
              </w:rPr>
              <w:t>1.3%</w:t>
            </w:r>
          </w:p>
        </w:tc>
      </w:tr>
      <w:tr w:rsidR="003F68C7" w14:paraId="47C38FF6" w14:textId="77777777" w:rsidTr="00367512">
        <w:tc>
          <w:tcPr>
            <w:tcW w:w="2627" w:type="dxa"/>
            <w:vAlign w:val="bottom"/>
          </w:tcPr>
          <w:p w14:paraId="07421E8F" w14:textId="77777777" w:rsidR="003F68C7" w:rsidRDefault="003F68C7" w:rsidP="00E74E03">
            <w:pPr>
              <w:pStyle w:val="TabletextLeft"/>
              <w:rPr>
                <w:lang w:eastAsia="en-AU"/>
              </w:rPr>
            </w:pPr>
            <w:r w:rsidRPr="00071581">
              <w:rPr>
                <w:rFonts w:cs="Arial"/>
                <w:lang w:eastAsia="en-AU"/>
              </w:rPr>
              <w:t>Western Australia</w:t>
            </w:r>
          </w:p>
        </w:tc>
        <w:tc>
          <w:tcPr>
            <w:tcW w:w="2696" w:type="dxa"/>
            <w:vAlign w:val="center"/>
          </w:tcPr>
          <w:p w14:paraId="0E9B0E9F" w14:textId="77777777" w:rsidR="003F68C7" w:rsidRDefault="003F68C7" w:rsidP="00E74E03">
            <w:pPr>
              <w:pStyle w:val="TabletextLeft"/>
              <w:jc w:val="center"/>
              <w:rPr>
                <w:lang w:eastAsia="en-AU"/>
              </w:rPr>
            </w:pPr>
            <w:r>
              <w:rPr>
                <w:rFonts w:cs="Arial"/>
                <w:color w:val="000000"/>
              </w:rPr>
              <w:t>9,984</w:t>
            </w:r>
          </w:p>
        </w:tc>
        <w:tc>
          <w:tcPr>
            <w:tcW w:w="2769" w:type="dxa"/>
            <w:vAlign w:val="bottom"/>
          </w:tcPr>
          <w:p w14:paraId="6D8CA5DA" w14:textId="77777777" w:rsidR="003F68C7" w:rsidRPr="00E74E03" w:rsidRDefault="003F68C7" w:rsidP="00E74E03">
            <w:pPr>
              <w:pStyle w:val="TabletextLeft"/>
              <w:jc w:val="center"/>
              <w:rPr>
                <w:rFonts w:asciiTheme="minorHAnsi" w:hAnsiTheme="minorHAnsi"/>
                <w:lang w:eastAsia="en-AU"/>
              </w:rPr>
            </w:pPr>
            <w:r w:rsidRPr="00E74E03">
              <w:rPr>
                <w:rFonts w:asciiTheme="minorHAnsi" w:hAnsiTheme="minorHAnsi" w:cs="Arial"/>
                <w:color w:val="000000"/>
              </w:rPr>
              <w:t>0.</w:t>
            </w:r>
            <w:r>
              <w:rPr>
                <w:rFonts w:asciiTheme="minorHAnsi" w:hAnsiTheme="minorHAnsi" w:cs="Arial"/>
                <w:color w:val="000000"/>
              </w:rPr>
              <w:t>9</w:t>
            </w:r>
            <w:r w:rsidRPr="00E74E03">
              <w:rPr>
                <w:rFonts w:asciiTheme="minorHAnsi" w:hAnsiTheme="minorHAnsi" w:cs="Arial"/>
                <w:color w:val="000000"/>
              </w:rPr>
              <w:t>%</w:t>
            </w:r>
          </w:p>
        </w:tc>
      </w:tr>
      <w:tr w:rsidR="003F68C7" w14:paraId="71B4B0EB" w14:textId="77777777" w:rsidTr="00367512">
        <w:tc>
          <w:tcPr>
            <w:tcW w:w="2627" w:type="dxa"/>
            <w:vAlign w:val="bottom"/>
          </w:tcPr>
          <w:p w14:paraId="34769C45" w14:textId="77777777" w:rsidR="003F68C7" w:rsidRDefault="003F68C7" w:rsidP="00E74E03">
            <w:pPr>
              <w:pStyle w:val="TabletextLeft"/>
              <w:rPr>
                <w:lang w:eastAsia="en-AU"/>
              </w:rPr>
            </w:pPr>
            <w:r w:rsidRPr="00071581">
              <w:rPr>
                <w:rFonts w:cs="Arial"/>
                <w:lang w:eastAsia="en-AU"/>
              </w:rPr>
              <w:t>Tasmania</w:t>
            </w:r>
          </w:p>
        </w:tc>
        <w:tc>
          <w:tcPr>
            <w:tcW w:w="2696" w:type="dxa"/>
            <w:vAlign w:val="center"/>
          </w:tcPr>
          <w:p w14:paraId="4555DCFB" w14:textId="77777777" w:rsidR="003F68C7" w:rsidRDefault="003F68C7" w:rsidP="00E74E03">
            <w:pPr>
              <w:pStyle w:val="TabletextLeft"/>
              <w:jc w:val="center"/>
              <w:rPr>
                <w:lang w:eastAsia="en-AU"/>
              </w:rPr>
            </w:pPr>
            <w:r>
              <w:rPr>
                <w:rFonts w:cs="Arial"/>
                <w:color w:val="000000"/>
              </w:rPr>
              <w:t>1,474</w:t>
            </w:r>
          </w:p>
        </w:tc>
        <w:tc>
          <w:tcPr>
            <w:tcW w:w="2769" w:type="dxa"/>
            <w:vAlign w:val="bottom"/>
          </w:tcPr>
          <w:p w14:paraId="0A0B61D4" w14:textId="77777777" w:rsidR="003F68C7" w:rsidRPr="00E74E03" w:rsidRDefault="003F68C7" w:rsidP="00E74E03">
            <w:pPr>
              <w:pStyle w:val="TabletextLeft"/>
              <w:jc w:val="center"/>
              <w:rPr>
                <w:rFonts w:asciiTheme="minorHAnsi" w:hAnsiTheme="minorHAnsi"/>
                <w:lang w:eastAsia="en-AU"/>
              </w:rPr>
            </w:pPr>
            <w:r w:rsidRPr="00E74E03">
              <w:rPr>
                <w:rFonts w:asciiTheme="minorHAnsi" w:hAnsiTheme="minorHAnsi" w:cs="Arial"/>
                <w:color w:val="000000"/>
              </w:rPr>
              <w:t>0.8%</w:t>
            </w:r>
          </w:p>
        </w:tc>
      </w:tr>
      <w:tr w:rsidR="003F68C7" w14:paraId="429544F2" w14:textId="77777777" w:rsidTr="00367512">
        <w:tc>
          <w:tcPr>
            <w:tcW w:w="2627" w:type="dxa"/>
            <w:vAlign w:val="bottom"/>
          </w:tcPr>
          <w:p w14:paraId="3BF41C56" w14:textId="77777777" w:rsidR="003F68C7" w:rsidRDefault="003F68C7" w:rsidP="00E74E03">
            <w:pPr>
              <w:pStyle w:val="TabletextLeft"/>
              <w:rPr>
                <w:lang w:eastAsia="en-AU"/>
              </w:rPr>
            </w:pPr>
            <w:r w:rsidRPr="00071581">
              <w:rPr>
                <w:rFonts w:cs="Arial"/>
                <w:lang w:eastAsia="en-AU"/>
              </w:rPr>
              <w:t>Northern Territory</w:t>
            </w:r>
          </w:p>
        </w:tc>
        <w:tc>
          <w:tcPr>
            <w:tcW w:w="2696" w:type="dxa"/>
            <w:vAlign w:val="center"/>
          </w:tcPr>
          <w:p w14:paraId="1EEFD78D" w14:textId="77777777" w:rsidR="003F68C7" w:rsidRDefault="003F68C7" w:rsidP="00E74E03">
            <w:pPr>
              <w:pStyle w:val="TabletextLeft"/>
              <w:jc w:val="center"/>
              <w:rPr>
                <w:lang w:eastAsia="en-AU"/>
              </w:rPr>
            </w:pPr>
            <w:r>
              <w:rPr>
                <w:rFonts w:cs="Arial"/>
                <w:color w:val="000000"/>
              </w:rPr>
              <w:t>444</w:t>
            </w:r>
          </w:p>
        </w:tc>
        <w:tc>
          <w:tcPr>
            <w:tcW w:w="2769" w:type="dxa"/>
            <w:vAlign w:val="bottom"/>
          </w:tcPr>
          <w:p w14:paraId="722CFA8F" w14:textId="77777777" w:rsidR="003F68C7" w:rsidRPr="00E74E03" w:rsidRDefault="003F68C7" w:rsidP="00E74E03">
            <w:pPr>
              <w:pStyle w:val="TabletextLeft"/>
              <w:jc w:val="center"/>
              <w:rPr>
                <w:rFonts w:asciiTheme="minorHAnsi" w:hAnsiTheme="minorHAnsi"/>
                <w:lang w:eastAsia="en-AU"/>
              </w:rPr>
            </w:pPr>
            <w:r w:rsidRPr="00E74E03">
              <w:rPr>
                <w:rFonts w:asciiTheme="minorHAnsi" w:hAnsiTheme="minorHAnsi" w:cs="Arial"/>
                <w:color w:val="000000"/>
              </w:rPr>
              <w:t>0.4%</w:t>
            </w:r>
          </w:p>
        </w:tc>
      </w:tr>
      <w:tr w:rsidR="003F68C7" w14:paraId="74DF876E" w14:textId="77777777" w:rsidTr="00367512">
        <w:tc>
          <w:tcPr>
            <w:tcW w:w="2627" w:type="dxa"/>
            <w:vAlign w:val="bottom"/>
          </w:tcPr>
          <w:p w14:paraId="7382E1A3" w14:textId="77777777" w:rsidR="003F68C7" w:rsidRDefault="003F68C7" w:rsidP="00E74E03">
            <w:pPr>
              <w:pStyle w:val="TabletextLeft"/>
              <w:rPr>
                <w:lang w:eastAsia="en-AU"/>
              </w:rPr>
            </w:pPr>
            <w:r w:rsidRPr="00071581">
              <w:rPr>
                <w:rFonts w:cs="Arial"/>
                <w:lang w:eastAsia="en-AU"/>
              </w:rPr>
              <w:t>Australian Capital Territory</w:t>
            </w:r>
          </w:p>
        </w:tc>
        <w:tc>
          <w:tcPr>
            <w:tcW w:w="2696" w:type="dxa"/>
            <w:vAlign w:val="center"/>
          </w:tcPr>
          <w:p w14:paraId="7F170F5D" w14:textId="77777777" w:rsidR="003F68C7" w:rsidRDefault="003F68C7" w:rsidP="00E74E03">
            <w:pPr>
              <w:pStyle w:val="TabletextLeft"/>
              <w:jc w:val="center"/>
              <w:rPr>
                <w:lang w:eastAsia="en-AU"/>
              </w:rPr>
            </w:pPr>
            <w:r>
              <w:rPr>
                <w:rFonts w:cs="Arial"/>
                <w:color w:val="000000"/>
              </w:rPr>
              <w:t>2,859</w:t>
            </w:r>
          </w:p>
        </w:tc>
        <w:tc>
          <w:tcPr>
            <w:tcW w:w="2769" w:type="dxa"/>
            <w:vAlign w:val="bottom"/>
          </w:tcPr>
          <w:p w14:paraId="32B56B3B" w14:textId="77777777" w:rsidR="003F68C7" w:rsidRPr="00E74E03" w:rsidRDefault="003F68C7" w:rsidP="00E74E03">
            <w:pPr>
              <w:pStyle w:val="TabletextLeft"/>
              <w:jc w:val="center"/>
              <w:rPr>
                <w:rFonts w:asciiTheme="minorHAnsi" w:hAnsiTheme="minorHAnsi"/>
                <w:lang w:eastAsia="en-AU"/>
              </w:rPr>
            </w:pPr>
            <w:r w:rsidRPr="00E74E03">
              <w:rPr>
                <w:rFonts w:asciiTheme="minorHAnsi" w:hAnsiTheme="minorHAnsi" w:cs="Arial"/>
                <w:color w:val="000000"/>
              </w:rPr>
              <w:t>1.6%</w:t>
            </w:r>
          </w:p>
        </w:tc>
      </w:tr>
      <w:tr w:rsidR="003F68C7" w14:paraId="2B81FC4E" w14:textId="77777777" w:rsidTr="00367512">
        <w:tc>
          <w:tcPr>
            <w:tcW w:w="2627" w:type="dxa"/>
            <w:vAlign w:val="bottom"/>
          </w:tcPr>
          <w:p w14:paraId="3E5B6E5D" w14:textId="77777777" w:rsidR="003F68C7" w:rsidRPr="00071581" w:rsidRDefault="003F68C7" w:rsidP="006B28FA">
            <w:pPr>
              <w:pStyle w:val="TabletextLeft"/>
              <w:rPr>
                <w:rFonts w:cs="Arial"/>
                <w:lang w:eastAsia="en-AU"/>
              </w:rPr>
            </w:pPr>
            <w:r w:rsidRPr="007568A7">
              <w:rPr>
                <w:rFonts w:cs="Arial"/>
                <w:b/>
                <w:color w:val="002776" w:themeColor="text2"/>
                <w:lang w:eastAsia="en-AU"/>
              </w:rPr>
              <w:t>Australia</w:t>
            </w:r>
          </w:p>
        </w:tc>
        <w:tc>
          <w:tcPr>
            <w:tcW w:w="2696" w:type="dxa"/>
            <w:vAlign w:val="center"/>
          </w:tcPr>
          <w:p w14:paraId="54A5B2BC" w14:textId="77777777" w:rsidR="003F68C7" w:rsidRDefault="003F68C7" w:rsidP="00E74E03">
            <w:pPr>
              <w:pStyle w:val="TabletextLeft"/>
              <w:jc w:val="center"/>
              <w:rPr>
                <w:rFonts w:cs="Arial"/>
              </w:rPr>
            </w:pPr>
            <w:r>
              <w:rPr>
                <w:rFonts w:cs="Arial"/>
                <w:color w:val="000000"/>
              </w:rPr>
              <w:t>130,744</w:t>
            </w:r>
          </w:p>
        </w:tc>
        <w:tc>
          <w:tcPr>
            <w:tcW w:w="2769" w:type="dxa"/>
            <w:vAlign w:val="bottom"/>
          </w:tcPr>
          <w:p w14:paraId="73C6C50A" w14:textId="77777777" w:rsidR="003F68C7" w:rsidRPr="00E74E03" w:rsidRDefault="003F68C7" w:rsidP="00E74E03">
            <w:pPr>
              <w:pStyle w:val="TabletextLeft"/>
              <w:jc w:val="center"/>
              <w:rPr>
                <w:rFonts w:asciiTheme="minorHAnsi" w:hAnsiTheme="minorHAnsi" w:cs="Arial"/>
              </w:rPr>
            </w:pPr>
            <w:r w:rsidRPr="00E74E03">
              <w:rPr>
                <w:rFonts w:asciiTheme="minorHAnsi" w:hAnsiTheme="minorHAnsi" w:cs="Arial"/>
                <w:color w:val="000000"/>
              </w:rPr>
              <w:t>1.3%</w:t>
            </w:r>
          </w:p>
        </w:tc>
      </w:tr>
    </w:tbl>
    <w:p w14:paraId="34B916ED" w14:textId="77777777" w:rsidR="006B28FA" w:rsidRDefault="006B28FA" w:rsidP="00E74E03">
      <w:pPr>
        <w:pStyle w:val="Source"/>
        <w:spacing w:after="0"/>
        <w:rPr>
          <w:lang w:eastAsia="en-AU"/>
        </w:rPr>
      </w:pPr>
      <w:r>
        <w:rPr>
          <w:lang w:eastAsia="en-AU"/>
        </w:rPr>
        <w:t>Source: Deloitte Access Economics.</w:t>
      </w:r>
    </w:p>
    <w:p w14:paraId="3BB14CBA" w14:textId="77777777" w:rsidR="00154914" w:rsidRDefault="00154914" w:rsidP="00E74E03">
      <w:pPr>
        <w:pStyle w:val="Source"/>
        <w:spacing w:after="0"/>
        <w:rPr>
          <w:lang w:eastAsia="en-AU"/>
        </w:rPr>
      </w:pPr>
      <w:r>
        <w:rPr>
          <w:lang w:eastAsia="en-AU"/>
        </w:rPr>
        <w:t xml:space="preserve">Note: These figures include the contribution associated with visiting friends and relatives. </w:t>
      </w:r>
    </w:p>
    <w:p w14:paraId="1BD9521D" w14:textId="77777777" w:rsidR="003D5C5A" w:rsidRDefault="003D5C5A" w:rsidP="005678FF">
      <w:pPr>
        <w:pStyle w:val="Bullet1"/>
      </w:pPr>
      <w:r>
        <w:t xml:space="preserve">While export revenue is </w:t>
      </w:r>
      <w:r w:rsidR="009E25CC">
        <w:t>a useful</w:t>
      </w:r>
      <w:r>
        <w:t xml:space="preserve"> me</w:t>
      </w:r>
      <w:r w:rsidR="00451844">
        <w:t xml:space="preserve">asure of </w:t>
      </w:r>
      <w:r w:rsidR="00295C62">
        <w:t>the gross value of activity associated with</w:t>
      </w:r>
      <w:r w:rsidR="00451844">
        <w:t xml:space="preserve"> international education</w:t>
      </w:r>
      <w:r>
        <w:t xml:space="preserve">, contribution to GDP is </w:t>
      </w:r>
      <w:r w:rsidR="00295C62">
        <w:t>the most</w:t>
      </w:r>
      <w:r>
        <w:t xml:space="preserve"> </w:t>
      </w:r>
      <w:r w:rsidR="00641022">
        <w:t xml:space="preserve">accurate measure of the </w:t>
      </w:r>
      <w:r w:rsidR="00295C62">
        <w:t xml:space="preserve">net </w:t>
      </w:r>
      <w:r w:rsidR="00641022">
        <w:t xml:space="preserve">effects </w:t>
      </w:r>
      <w:r w:rsidR="004A3FD1">
        <w:t xml:space="preserve">of international education </w:t>
      </w:r>
      <w:r w:rsidR="00641022">
        <w:t xml:space="preserve">on </w:t>
      </w:r>
      <w:r w:rsidR="00295C62">
        <w:t>the Australian economy and on the living standards of Australians</w:t>
      </w:r>
      <w:r w:rsidR="00641022">
        <w:t>.</w:t>
      </w:r>
    </w:p>
    <w:p w14:paraId="7B2FF481" w14:textId="77777777" w:rsidR="00D61D21" w:rsidRDefault="00D61D21" w:rsidP="005678FF">
      <w:pPr>
        <w:pStyle w:val="Bullet1"/>
      </w:pPr>
      <w:r>
        <w:t xml:space="preserve">After accounting for the fact that some of inputs to the goods and services consumed by international students </w:t>
      </w:r>
      <w:r w:rsidR="00BC4E0E">
        <w:t xml:space="preserve">and their visitors </w:t>
      </w:r>
      <w:r>
        <w:t xml:space="preserve">are imported, international education was estimated to contribute </w:t>
      </w:r>
      <w:r w:rsidRPr="00846271">
        <w:rPr>
          <w:b/>
          <w:color w:val="002776"/>
        </w:rPr>
        <w:t>$</w:t>
      </w:r>
      <w:r w:rsidR="00B0624C" w:rsidRPr="00846271">
        <w:rPr>
          <w:b/>
          <w:color w:val="002776"/>
        </w:rPr>
        <w:t>1</w:t>
      </w:r>
      <w:r w:rsidR="00BC4E0E" w:rsidRPr="00846271">
        <w:rPr>
          <w:b/>
          <w:color w:val="002776"/>
        </w:rPr>
        <w:t>7</w:t>
      </w:r>
      <w:r w:rsidR="00B0624C" w:rsidRPr="00846271">
        <w:rPr>
          <w:b/>
          <w:color w:val="002776"/>
        </w:rPr>
        <w:t>.</w:t>
      </w:r>
      <w:r w:rsidR="00BC4E0E" w:rsidRPr="00846271">
        <w:rPr>
          <w:b/>
          <w:color w:val="002776"/>
        </w:rPr>
        <w:t>1</w:t>
      </w:r>
      <w:r w:rsidRPr="00846271">
        <w:rPr>
          <w:b/>
          <w:color w:val="002776"/>
        </w:rPr>
        <w:t xml:space="preserve"> billion to Australia’s GDP in 2014-15</w:t>
      </w:r>
      <w:r w:rsidR="00AE285E">
        <w:t>.</w:t>
      </w:r>
      <w:r w:rsidR="002856F7">
        <w:t xml:space="preserve"> This figure includes: </w:t>
      </w:r>
    </w:p>
    <w:p w14:paraId="79C3EE1F" w14:textId="77777777" w:rsidR="002856F7" w:rsidRDefault="001553B3" w:rsidP="00846271">
      <w:pPr>
        <w:pStyle w:val="Bullet2"/>
      </w:pPr>
      <w:r>
        <w:t xml:space="preserve">$12.1 billion in direct value added </w:t>
      </w:r>
      <w:r w:rsidR="002856F7">
        <w:t>associated with</w:t>
      </w:r>
      <w:r>
        <w:t xml:space="preserve"> fees paid to education providers and </w:t>
      </w:r>
      <w:r w:rsidR="002856F7">
        <w:t xml:space="preserve">industries selling goods and services directly to students; </w:t>
      </w:r>
      <w:r>
        <w:t>and</w:t>
      </w:r>
    </w:p>
    <w:p w14:paraId="6C9325CD" w14:textId="77777777" w:rsidR="001553B3" w:rsidRDefault="001553B3" w:rsidP="00846271">
      <w:pPr>
        <w:pStyle w:val="Bullet2"/>
      </w:pPr>
      <w:r>
        <w:t xml:space="preserve">$5.0 billion in indirect value added </w:t>
      </w:r>
      <w:r w:rsidR="002856F7">
        <w:t>for</w:t>
      </w:r>
      <w:r>
        <w:t xml:space="preserve"> </w:t>
      </w:r>
      <w:r w:rsidR="002856F7">
        <w:t>firms</w:t>
      </w:r>
      <w:r>
        <w:t xml:space="preserve"> supplying intermediate inputs to education providers or </w:t>
      </w:r>
      <w:r w:rsidR="002856F7">
        <w:t>other firms which sell goods and services directly to students</w:t>
      </w:r>
      <w:r>
        <w:t xml:space="preserve">. </w:t>
      </w:r>
    </w:p>
    <w:p w14:paraId="641E2421" w14:textId="77777777" w:rsidR="00EC2FAC" w:rsidRDefault="002856F7" w:rsidP="005678FF">
      <w:pPr>
        <w:pStyle w:val="Bullet1"/>
      </w:pPr>
      <w:r>
        <w:t xml:space="preserve">The industries which benefited most from indirect linkages to international education </w:t>
      </w:r>
      <w:r w:rsidR="00846271">
        <w:t>included P</w:t>
      </w:r>
      <w:r>
        <w:t>rofessional</w:t>
      </w:r>
      <w:r w:rsidR="00846271">
        <w:t>, Scientific and T</w:t>
      </w:r>
      <w:r>
        <w:t>echnical</w:t>
      </w:r>
      <w:r w:rsidR="00846271">
        <w:t xml:space="preserve"> S</w:t>
      </w:r>
      <w:r>
        <w:t xml:space="preserve">ervices ($735 million in </w:t>
      </w:r>
      <w:r w:rsidR="006822FD">
        <w:t xml:space="preserve">indirect </w:t>
      </w:r>
      <w:r>
        <w:t>value added)</w:t>
      </w:r>
      <w:r w:rsidR="00846271">
        <w:t>, F</w:t>
      </w:r>
      <w:r w:rsidR="006822FD">
        <w:t xml:space="preserve">inance ($603 million), </w:t>
      </w:r>
      <w:r w:rsidR="00846271">
        <w:t>Non-residential Property Operators and Realtors ($427 million) and Employment, Travel Agencies and Other Administration S</w:t>
      </w:r>
      <w:r w:rsidR="006822FD">
        <w:t xml:space="preserve">ervices ($345 million). </w:t>
      </w:r>
    </w:p>
    <w:p w14:paraId="735CED29" w14:textId="77777777" w:rsidR="00D61D21" w:rsidRDefault="004727BA" w:rsidP="00163EA3">
      <w:pPr>
        <w:pStyle w:val="HeadingC"/>
        <w:outlineLvl w:val="0"/>
      </w:pPr>
      <w:r>
        <w:t>The c</w:t>
      </w:r>
      <w:r w:rsidR="000A167C">
        <w:t xml:space="preserve">ontribution </w:t>
      </w:r>
      <w:r>
        <w:t xml:space="preserve">of international education </w:t>
      </w:r>
      <w:r w:rsidR="000A167C">
        <w:t xml:space="preserve">at </w:t>
      </w:r>
      <w:r>
        <w:t>a</w:t>
      </w:r>
      <w:r w:rsidR="000A167C">
        <w:t xml:space="preserve"> </w:t>
      </w:r>
      <w:r w:rsidR="006822FD">
        <w:t>regional</w:t>
      </w:r>
      <w:r w:rsidR="000A167C">
        <w:t xml:space="preserve"> level</w:t>
      </w:r>
    </w:p>
    <w:p w14:paraId="4F0342AB" w14:textId="77777777" w:rsidR="00562DA5" w:rsidRDefault="008F616E" w:rsidP="005678FF">
      <w:pPr>
        <w:pStyle w:val="Bullet1"/>
      </w:pPr>
      <w:r>
        <w:t xml:space="preserve">International students </w:t>
      </w:r>
      <w:r w:rsidR="0051437E">
        <w:t xml:space="preserve">also </w:t>
      </w:r>
      <w:r>
        <w:t>make a significant direct contribution to many regional communities</w:t>
      </w:r>
      <w:r w:rsidR="0051437E">
        <w:t>,</w:t>
      </w:r>
      <w:r>
        <w:t xml:space="preserve"> </w:t>
      </w:r>
      <w:r w:rsidRPr="004A1F4D">
        <w:rPr>
          <w:b/>
          <w:color w:val="002776"/>
        </w:rPr>
        <w:t xml:space="preserve">with </w:t>
      </w:r>
      <w:r w:rsidR="004A1F4D" w:rsidRPr="004A1F4D">
        <w:rPr>
          <w:b/>
          <w:color w:val="002776"/>
        </w:rPr>
        <w:t>at least 5</w:t>
      </w:r>
      <w:r w:rsidRPr="00E74E03">
        <w:rPr>
          <w:b/>
          <w:color w:val="002776"/>
        </w:rPr>
        <w:t>% of international students living and studying in regional areas</w:t>
      </w:r>
      <w:r>
        <w:t>.</w:t>
      </w:r>
      <w:r w:rsidR="009E429A">
        <w:t xml:space="preserve"> </w:t>
      </w:r>
    </w:p>
    <w:p w14:paraId="4B216EDD" w14:textId="77777777" w:rsidR="008F616E" w:rsidRDefault="008F616E" w:rsidP="005678FF">
      <w:pPr>
        <w:pStyle w:val="Bullet1"/>
      </w:pPr>
      <w:r>
        <w:t xml:space="preserve">International students studying in metropolitan areas also make a significant indirect contribution to regional economies. </w:t>
      </w:r>
    </w:p>
    <w:p w14:paraId="5CA6FED5" w14:textId="77777777" w:rsidR="00E74E03" w:rsidRDefault="004727BA" w:rsidP="00E74E03">
      <w:pPr>
        <w:pStyle w:val="Bullet2"/>
      </w:pPr>
      <w:r>
        <w:t xml:space="preserve">Using the Victorian </w:t>
      </w:r>
      <w:r w:rsidR="00E74E03">
        <w:t>t</w:t>
      </w:r>
      <w:r w:rsidR="00D62D51">
        <w:t xml:space="preserve">ourism </w:t>
      </w:r>
      <w:r w:rsidR="00E74E03">
        <w:t>s</w:t>
      </w:r>
      <w:r w:rsidR="00D62D51">
        <w:t>atellite accounting framework as a basis for estimation</w:t>
      </w:r>
      <w:r>
        <w:t xml:space="preserve">, Deloitte Access Economics estimates that </w:t>
      </w:r>
      <w:r w:rsidR="00E74E03" w:rsidRPr="00EA1B94">
        <w:t>for each dollar spent on goods and services by the average international student in Melbourne, $0.</w:t>
      </w:r>
      <w:r w:rsidR="00E74E03">
        <w:t>30</w:t>
      </w:r>
      <w:r w:rsidR="00E74E03" w:rsidRPr="00EA1B94">
        <w:t xml:space="preserve"> of indirect gross value added is generated in regional Victoria</w:t>
      </w:r>
      <w:r w:rsidR="00E74E03" w:rsidRPr="00E74E03">
        <w:t xml:space="preserve"> </w:t>
      </w:r>
      <w:r w:rsidR="00E74E03">
        <w:t xml:space="preserve">as a result of demand for agricultural products and other linkages. </w:t>
      </w:r>
    </w:p>
    <w:p w14:paraId="0D8B1676" w14:textId="77777777" w:rsidR="009E429A" w:rsidRDefault="00E74E03" w:rsidP="00E74E03">
      <w:pPr>
        <w:pStyle w:val="Bullet2"/>
      </w:pPr>
      <w:r>
        <w:lastRenderedPageBreak/>
        <w:t xml:space="preserve">In total, expenditure by international students in Melbourne was estimated to contribute $888 million in indirect value added and support 5,478 FTE jobs </w:t>
      </w:r>
      <w:r w:rsidR="0016630C">
        <w:t>in</w:t>
      </w:r>
      <w:r>
        <w:t xml:space="preserve"> regional Victoria.</w:t>
      </w:r>
    </w:p>
    <w:p w14:paraId="2BE9619E" w14:textId="77777777" w:rsidR="000A167C" w:rsidRDefault="004727BA" w:rsidP="005678FF">
      <w:pPr>
        <w:pStyle w:val="HeadingC"/>
      </w:pPr>
      <w:r>
        <w:t>The role of international</w:t>
      </w:r>
      <w:r w:rsidR="0051437E">
        <w:t xml:space="preserve"> education</w:t>
      </w:r>
      <w:r>
        <w:t xml:space="preserve"> in enhancing </w:t>
      </w:r>
      <w:r w:rsidR="00846271">
        <w:t>the skills and productivity of the Australian workforce</w:t>
      </w:r>
    </w:p>
    <w:p w14:paraId="3352BF71" w14:textId="77777777" w:rsidR="008F0A0C" w:rsidRDefault="00D62D51" w:rsidP="005678FF">
      <w:pPr>
        <w:pStyle w:val="Bullet1"/>
      </w:pPr>
      <w:r>
        <w:t>It is estimated</w:t>
      </w:r>
      <w:r w:rsidR="004727BA">
        <w:t xml:space="preserve"> that Australia’s current </w:t>
      </w:r>
      <w:r w:rsidR="004F66EB">
        <w:t xml:space="preserve">stock of </w:t>
      </w:r>
      <w:r w:rsidR="004727BA">
        <w:t>international students will contribute 130,000 skilled migrants to our workforce</w:t>
      </w:r>
      <w:r w:rsidR="008F0A0C">
        <w:t xml:space="preserve"> after they graduate</w:t>
      </w:r>
      <w:r w:rsidR="008F0A0C" w:rsidRPr="000349C1">
        <w:t>.</w:t>
      </w:r>
      <w:r w:rsidR="008F0A0C">
        <w:t xml:space="preserve"> </w:t>
      </w:r>
      <w:r w:rsidR="00AE285E">
        <w:t xml:space="preserve">This represents a 3% increase in the </w:t>
      </w:r>
      <w:r w:rsidR="00AE285E" w:rsidRPr="000349C1">
        <w:t xml:space="preserve">share of Australia’s </w:t>
      </w:r>
      <w:r w:rsidR="00DD7D47">
        <w:t xml:space="preserve">current </w:t>
      </w:r>
      <w:r w:rsidR="00AE285E" w:rsidRPr="000349C1">
        <w:t>workforce with a tertiary education</w:t>
      </w:r>
      <w:r w:rsidR="00AE285E">
        <w:t>.</w:t>
      </w:r>
    </w:p>
    <w:p w14:paraId="0887321D" w14:textId="77777777" w:rsidR="004727BA" w:rsidRDefault="00AE285E" w:rsidP="005678FF">
      <w:pPr>
        <w:pStyle w:val="Bullet2"/>
      </w:pPr>
      <w:r>
        <w:t>Deloitte Access Economics estimates that</w:t>
      </w:r>
      <w:r w:rsidR="008F0A0C" w:rsidRPr="000349C1">
        <w:t xml:space="preserve"> </w:t>
      </w:r>
      <w:r w:rsidR="008F0A0C">
        <w:t>this</w:t>
      </w:r>
      <w:r>
        <w:t xml:space="preserve"> increase in human capital</w:t>
      </w:r>
      <w:r w:rsidR="008F0A0C">
        <w:t xml:space="preserve"> </w:t>
      </w:r>
      <w:r w:rsidR="008F0A0C" w:rsidRPr="000349C1">
        <w:t xml:space="preserve">would </w:t>
      </w:r>
      <w:r w:rsidR="00DD7D47">
        <w:t xml:space="preserve">result in an increase </w:t>
      </w:r>
      <w:r w:rsidR="00BF3D69">
        <w:t xml:space="preserve">to </w:t>
      </w:r>
      <w:r w:rsidR="004727BA">
        <w:t>Australia’s GDP</w:t>
      </w:r>
      <w:r w:rsidR="004F66EB">
        <w:t xml:space="preserve"> </w:t>
      </w:r>
      <w:r w:rsidR="00DD7D47">
        <w:t xml:space="preserve">of </w:t>
      </w:r>
      <w:r w:rsidR="004F66EB">
        <w:t>approximately $8.7 billion</w:t>
      </w:r>
      <w:r w:rsidR="004727BA">
        <w:t>.</w:t>
      </w:r>
    </w:p>
    <w:p w14:paraId="459A30C4" w14:textId="77777777" w:rsidR="00AE285E" w:rsidRDefault="004F6888" w:rsidP="005678FF">
      <w:pPr>
        <w:pStyle w:val="Bullet2"/>
      </w:pPr>
      <w:r>
        <w:t xml:space="preserve">While part of this reflects the benefits to Australians from having a more skilled population, it does not capture other potential spill overs from having former international students as part of Australia’s workforce, including increased international collaboration and trade and investment links. </w:t>
      </w:r>
    </w:p>
    <w:p w14:paraId="474DABD0" w14:textId="77777777" w:rsidR="000A167C" w:rsidRDefault="004F66EB" w:rsidP="005678FF">
      <w:pPr>
        <w:pStyle w:val="HeadingC"/>
      </w:pPr>
      <w:r>
        <w:t>The broader social and cultural benefits of international education and strategies to raise community awareness of the</w:t>
      </w:r>
      <w:r w:rsidR="00434CE3">
        <w:t>se</w:t>
      </w:r>
      <w:r>
        <w:t xml:space="preserve"> benefits </w:t>
      </w:r>
    </w:p>
    <w:p w14:paraId="09C537E3" w14:textId="77777777" w:rsidR="00D62D51" w:rsidRDefault="00D62D51" w:rsidP="005678FF">
      <w:pPr>
        <w:pStyle w:val="Bullet1"/>
      </w:pPr>
      <w:r>
        <w:t xml:space="preserve">From the consultations conducted to inform this study it is </w:t>
      </w:r>
      <w:r w:rsidR="00497359">
        <w:t>apparent</w:t>
      </w:r>
      <w:r>
        <w:t xml:space="preserve"> </w:t>
      </w:r>
      <w:r w:rsidR="00DD5CC2">
        <w:t xml:space="preserve">that </w:t>
      </w:r>
      <w:r w:rsidR="00497359">
        <w:t xml:space="preserve">an </w:t>
      </w:r>
      <w:r>
        <w:t xml:space="preserve">array of wider benefits </w:t>
      </w:r>
      <w:r w:rsidR="00C812AC">
        <w:t xml:space="preserve">– beyond those captured in the measures above – </w:t>
      </w:r>
      <w:r>
        <w:t xml:space="preserve">emanate from international education.  These include: </w:t>
      </w:r>
    </w:p>
    <w:p w14:paraId="6DFDB376" w14:textId="77777777" w:rsidR="00D62D51" w:rsidRDefault="00497359" w:rsidP="00846271">
      <w:pPr>
        <w:pStyle w:val="Bullet2"/>
      </w:pPr>
      <w:r>
        <w:t>e</w:t>
      </w:r>
      <w:r w:rsidR="00434CE3">
        <w:t>conomic benefits</w:t>
      </w:r>
      <w:r w:rsidR="007F27EA">
        <w:t xml:space="preserve"> </w:t>
      </w:r>
      <w:r w:rsidR="00C812AC">
        <w:t xml:space="preserve">stemming from </w:t>
      </w:r>
      <w:r w:rsidR="007F27EA">
        <w:t xml:space="preserve">increased </w:t>
      </w:r>
      <w:r w:rsidR="00434CE3">
        <w:t>entrepreneurship</w:t>
      </w:r>
      <w:r>
        <w:t>, knowledge exchange</w:t>
      </w:r>
      <w:r w:rsidR="00434CE3">
        <w:t xml:space="preserve"> and </w:t>
      </w:r>
      <w:r w:rsidR="007B264C">
        <w:t>international collaboration</w:t>
      </w:r>
      <w:r w:rsidR="006D70EC">
        <w:t>;</w:t>
      </w:r>
      <w:r w:rsidR="00434CE3">
        <w:t xml:space="preserve"> </w:t>
      </w:r>
    </w:p>
    <w:p w14:paraId="38DAB851" w14:textId="77777777" w:rsidR="00D62D51" w:rsidRDefault="00434CE3" w:rsidP="00846271">
      <w:pPr>
        <w:pStyle w:val="Bullet2"/>
      </w:pPr>
      <w:r>
        <w:t xml:space="preserve">economic benefits </w:t>
      </w:r>
      <w:r w:rsidR="00C812AC">
        <w:t>derived from</w:t>
      </w:r>
      <w:r>
        <w:t xml:space="preserve"> trade and investment links and soft diplomacy</w:t>
      </w:r>
      <w:r w:rsidR="00C812AC">
        <w:t xml:space="preserve"> (generated </w:t>
      </w:r>
      <w:r w:rsidR="00CA431E">
        <w:t>both in Australia and in source countries)</w:t>
      </w:r>
      <w:r w:rsidR="006D70EC">
        <w:t>;</w:t>
      </w:r>
      <w:r>
        <w:t xml:space="preserve"> </w:t>
      </w:r>
      <w:r w:rsidR="00C812AC">
        <w:t>and</w:t>
      </w:r>
    </w:p>
    <w:p w14:paraId="39DDDE68" w14:textId="77777777" w:rsidR="004F66EB" w:rsidRDefault="00434CE3" w:rsidP="00846271">
      <w:pPr>
        <w:pStyle w:val="Bullet2"/>
      </w:pPr>
      <w:proofErr w:type="gramStart"/>
      <w:r>
        <w:t>social</w:t>
      </w:r>
      <w:proofErr w:type="gramEnd"/>
      <w:r>
        <w:t xml:space="preserve"> benefits </w:t>
      </w:r>
      <w:r w:rsidR="00C812AC">
        <w:t xml:space="preserve">flowing from </w:t>
      </w:r>
      <w:r w:rsidR="007F27EA">
        <w:t xml:space="preserve">improved </w:t>
      </w:r>
      <w:r w:rsidR="00C812AC">
        <w:t xml:space="preserve">cultural literacy, stronger cultural linkages and enhanced </w:t>
      </w:r>
      <w:r w:rsidR="007F27EA">
        <w:t>cultural capital</w:t>
      </w:r>
      <w:r w:rsidR="00CA431E">
        <w:t xml:space="preserve"> (generated both in Australia and in source countries)</w:t>
      </w:r>
      <w:r w:rsidR="00C812AC">
        <w:t>.</w:t>
      </w:r>
      <w:r>
        <w:t xml:space="preserve"> </w:t>
      </w:r>
    </w:p>
    <w:p w14:paraId="0FAA139A" w14:textId="77777777" w:rsidR="00434CE3" w:rsidRDefault="00BF3D69" w:rsidP="005678FF">
      <w:pPr>
        <w:pStyle w:val="Bullet1"/>
      </w:pPr>
      <w:r>
        <w:t>While well established in some quarters, t</w:t>
      </w:r>
      <w:r w:rsidR="005342BB">
        <w:t xml:space="preserve">he significant role and contribution of international education to the Australian economy and society is not necessarily widely appreciated.  </w:t>
      </w:r>
      <w:r w:rsidR="00434CE3">
        <w:t>As part of the stakeholder consultations</w:t>
      </w:r>
      <w:r w:rsidR="006D70EC">
        <w:t>,</w:t>
      </w:r>
      <w:r w:rsidR="00434CE3">
        <w:t xml:space="preserve"> a range of strategies were identified to </w:t>
      </w:r>
      <w:r w:rsidR="00F063CC">
        <w:t xml:space="preserve">raise community awareness of the importance of international education. In particular: </w:t>
      </w:r>
    </w:p>
    <w:p w14:paraId="0ABEA9EE" w14:textId="77777777" w:rsidR="00F063CC" w:rsidRDefault="00F063CC" w:rsidP="005678FF">
      <w:pPr>
        <w:pStyle w:val="Bullet2"/>
      </w:pPr>
      <w:r>
        <w:t xml:space="preserve">the sector’s messaging should focus more on the social and cultural benefits of international education rather than </w:t>
      </w:r>
      <w:r w:rsidR="002141BC">
        <w:t xml:space="preserve">just </w:t>
      </w:r>
      <w:r>
        <w:t>its role as one of Australia’s largest exports;</w:t>
      </w:r>
    </w:p>
    <w:p w14:paraId="4F89BEAA" w14:textId="77777777" w:rsidR="00F063CC" w:rsidRDefault="00331375" w:rsidP="005678FF">
      <w:pPr>
        <w:pStyle w:val="Bullet2"/>
      </w:pPr>
      <w:r>
        <w:t>i</w:t>
      </w:r>
      <w:r w:rsidR="00F063CC">
        <w:t>nformation and media campaigns should highlight the positive stories and achievements of former international students as well as the benefits of initiatives such as homestay to the local community;</w:t>
      </w:r>
    </w:p>
    <w:p w14:paraId="72646A3A" w14:textId="77777777" w:rsidR="00F063CC" w:rsidRDefault="00331375" w:rsidP="005678FF">
      <w:pPr>
        <w:pStyle w:val="Bullet2"/>
      </w:pPr>
      <w:r>
        <w:t>c</w:t>
      </w:r>
      <w:r w:rsidR="00F063CC">
        <w:t xml:space="preserve">ommunity awareness campaigns should </w:t>
      </w:r>
      <w:r>
        <w:t>highlight</w:t>
      </w:r>
      <w:r w:rsidR="00F063CC">
        <w:t xml:space="preserve"> the role of international students in creating a more diverse community</w:t>
      </w:r>
      <w:r>
        <w:t>; and</w:t>
      </w:r>
    </w:p>
    <w:p w14:paraId="114C378C" w14:textId="77777777" w:rsidR="005342BB" w:rsidRDefault="006D70EC" w:rsidP="005342BB">
      <w:pPr>
        <w:pStyle w:val="Bullet2"/>
      </w:pPr>
      <w:proofErr w:type="gramStart"/>
      <w:r>
        <w:t>education</w:t>
      </w:r>
      <w:proofErr w:type="gramEnd"/>
      <w:r>
        <w:t xml:space="preserve"> providers and government should look to build more community interaction between international students and local communities.</w:t>
      </w:r>
    </w:p>
    <w:p w14:paraId="33FBAEBB" w14:textId="77777777" w:rsidR="008047E1" w:rsidRPr="000175EC" w:rsidRDefault="004A6626" w:rsidP="00367512">
      <w:pPr>
        <w:pStyle w:val="HeadingB"/>
        <w:spacing w:before="120"/>
      </w:pPr>
      <w:r w:rsidRPr="005678FF">
        <w:rPr>
          <w:sz w:val="22"/>
          <w:szCs w:val="22"/>
          <w:lang w:eastAsia="en-AU"/>
        </w:rPr>
        <w:t>Deloitte Access Economics</w:t>
      </w:r>
      <w:r w:rsidRPr="000175EC">
        <w:rPr>
          <w:lang w:eastAsia="en-AU"/>
        </w:rPr>
        <w:t xml:space="preserve"> </w:t>
      </w:r>
      <w:r w:rsidR="00C0435B" w:rsidRPr="000175EC">
        <w:rPr>
          <w:lang w:eastAsia="en-AU"/>
        </w:rPr>
        <w:br/>
      </w:r>
    </w:p>
    <w:p w14:paraId="596B109A" w14:textId="77777777" w:rsidR="006A09C3" w:rsidRPr="000175EC" w:rsidRDefault="006A09C3" w:rsidP="009B4B43">
      <w:pPr>
        <w:pStyle w:val="SingleLeft"/>
        <w:rPr>
          <w:color w:val="002776"/>
        </w:rPr>
        <w:sectPr w:rsidR="006A09C3" w:rsidRPr="000175EC" w:rsidSect="00D72A59">
          <w:headerReference w:type="even" r:id="rId27"/>
          <w:headerReference w:type="default" r:id="rId28"/>
          <w:footerReference w:type="default" r:id="rId29"/>
          <w:headerReference w:type="first" r:id="rId30"/>
          <w:pgSz w:w="11906" w:h="16838" w:code="9"/>
          <w:pgMar w:top="2268" w:right="1134" w:bottom="1134" w:left="2552" w:header="720" w:footer="720" w:gutter="0"/>
          <w:pgNumType w:start="1"/>
          <w:cols w:space="720"/>
          <w:docGrid w:linePitch="360"/>
        </w:sectPr>
      </w:pPr>
    </w:p>
    <w:p w14:paraId="7B68C786" w14:textId="77777777" w:rsidR="00DC5205" w:rsidRDefault="0024191A" w:rsidP="00163EA3">
      <w:pPr>
        <w:pStyle w:val="Heading1"/>
      </w:pPr>
      <w:bookmarkStart w:id="30" w:name="_Toc450809231"/>
      <w:r>
        <w:lastRenderedPageBreak/>
        <w:t>Introduction</w:t>
      </w:r>
      <w:bookmarkEnd w:id="30"/>
    </w:p>
    <w:p w14:paraId="7DBB48E0" w14:textId="77777777" w:rsidR="00EB30FD" w:rsidRDefault="00A6560C" w:rsidP="00A6560C">
      <w:pPr>
        <w:pStyle w:val="BodyText"/>
      </w:pPr>
      <w:r>
        <w:t>Deloitte Access Economics has been commissioned by the Department of Education and Training (</w:t>
      </w:r>
      <w:proofErr w:type="spellStart"/>
      <w:r>
        <w:t>DET</w:t>
      </w:r>
      <w:proofErr w:type="spellEnd"/>
      <w:r>
        <w:t>) to assess the value of international education to the Australian community</w:t>
      </w:r>
      <w:r w:rsidR="00340F0D">
        <w:t>,</w:t>
      </w:r>
      <w:r w:rsidR="00EB30FD">
        <w:t xml:space="preserve"> encompassing the sector’s contribution to </w:t>
      </w:r>
      <w:r w:rsidR="00D7798F">
        <w:t xml:space="preserve">the </w:t>
      </w:r>
      <w:r w:rsidR="00EB30FD">
        <w:t xml:space="preserve">Australian economy and its broader economic and social impact on </w:t>
      </w:r>
      <w:r w:rsidR="00340F0D">
        <w:t xml:space="preserve">communities, tourism and Australia’s stock of human capital. </w:t>
      </w:r>
    </w:p>
    <w:p w14:paraId="14E7BA7B" w14:textId="77777777" w:rsidR="00AC0EF9" w:rsidRDefault="00AC0EF9" w:rsidP="00AC0EF9">
      <w:pPr>
        <w:pStyle w:val="BodyText"/>
      </w:pPr>
      <w:r>
        <w:t xml:space="preserve">The report has drawn on both publicly available information and a series of </w:t>
      </w:r>
      <w:r w:rsidR="00EF0061">
        <w:t xml:space="preserve">stakeholder </w:t>
      </w:r>
      <w:r>
        <w:t xml:space="preserve">consultations. The objective of these consultations was to both bridge potential data gaps </w:t>
      </w:r>
      <w:r w:rsidR="00DD7D47">
        <w:t>and</w:t>
      </w:r>
      <w:r>
        <w:t xml:space="preserve"> to better understand the impact of international education on regional universities, the nature of linkages between the international education sector and other industries</w:t>
      </w:r>
      <w:r w:rsidR="00DD7D47">
        <w:t>,</w:t>
      </w:r>
      <w:r>
        <w:t xml:space="preserve"> and strategies </w:t>
      </w:r>
      <w:r w:rsidR="006822FD">
        <w:t xml:space="preserve">that </w:t>
      </w:r>
      <w:r>
        <w:t xml:space="preserve">can potentially be used to help improve community awareness of the importance of international education to Australia.  </w:t>
      </w:r>
    </w:p>
    <w:p w14:paraId="18E9B2F7" w14:textId="77777777" w:rsidR="00331375" w:rsidRDefault="00331375" w:rsidP="00331375">
      <w:pPr>
        <w:pStyle w:val="BodyText"/>
      </w:pPr>
      <w:r>
        <w:t>The analysis builds on existing studies in relation to the size and contribution of the international education sector in Australia by:</w:t>
      </w:r>
    </w:p>
    <w:p w14:paraId="58835CA2" w14:textId="77777777" w:rsidR="00331375" w:rsidRDefault="00331375" w:rsidP="00331375">
      <w:pPr>
        <w:pStyle w:val="Bullet1"/>
      </w:pPr>
      <w:r>
        <w:t>quantifying the value of services and operations that are not currently captured in ABS data on international education service exports;</w:t>
      </w:r>
    </w:p>
    <w:p w14:paraId="4285A7D1" w14:textId="77777777" w:rsidR="00331375" w:rsidRDefault="00331375" w:rsidP="00331375">
      <w:pPr>
        <w:pStyle w:val="Bullet1"/>
      </w:pPr>
      <w:r>
        <w:t xml:space="preserve">analysing the value of economic contributions from the sector on Australia’s regional communities and economies as well as Australia’s tourism sector; </w:t>
      </w:r>
    </w:p>
    <w:p w14:paraId="1C83C529" w14:textId="77777777" w:rsidR="00331375" w:rsidRDefault="00331375" w:rsidP="00331375">
      <w:pPr>
        <w:pStyle w:val="Bullet1"/>
      </w:pPr>
      <w:r>
        <w:t>evaluating the contribution that international student graduates make to Australia’s skilled workforce; and</w:t>
      </w:r>
    </w:p>
    <w:p w14:paraId="062F6D45" w14:textId="77777777" w:rsidR="00331375" w:rsidRDefault="00331375" w:rsidP="00331375">
      <w:pPr>
        <w:pStyle w:val="Bullet1"/>
      </w:pPr>
      <w:proofErr w:type="gramStart"/>
      <w:r>
        <w:t>identifying</w:t>
      </w:r>
      <w:proofErr w:type="gramEnd"/>
      <w:r>
        <w:t xml:space="preserve"> strategies to raise community awareness of the economic, social and cultural benefits of international education to Australia.</w:t>
      </w:r>
    </w:p>
    <w:p w14:paraId="647FAC75" w14:textId="77777777" w:rsidR="00340F0D" w:rsidRDefault="00EB30FD" w:rsidP="00A6560C">
      <w:pPr>
        <w:pStyle w:val="BodyText"/>
        <w:rPr>
          <w:rFonts w:cs="Arial"/>
          <w:lang w:eastAsia="en-AU"/>
        </w:rPr>
      </w:pPr>
      <w:r>
        <w:t>The report covers international</w:t>
      </w:r>
      <w:r w:rsidR="001B104C">
        <w:t xml:space="preserve"> students studying at schools, </w:t>
      </w:r>
      <w:r w:rsidR="00AE285E">
        <w:t xml:space="preserve">VET </w:t>
      </w:r>
      <w:r>
        <w:t xml:space="preserve">providers, higher education providers and those </w:t>
      </w:r>
      <w:r w:rsidR="00EF0061">
        <w:t xml:space="preserve">studying </w:t>
      </w:r>
      <w:proofErr w:type="spellStart"/>
      <w:r>
        <w:rPr>
          <w:rFonts w:cs="Arial"/>
          <w:lang w:eastAsia="en-AU"/>
        </w:rPr>
        <w:t>ELICOS</w:t>
      </w:r>
      <w:proofErr w:type="spellEnd"/>
      <w:r>
        <w:rPr>
          <w:rFonts w:cs="Arial"/>
          <w:lang w:eastAsia="en-AU"/>
        </w:rPr>
        <w:t xml:space="preserve"> courses. </w:t>
      </w:r>
    </w:p>
    <w:p w14:paraId="1107EDC8" w14:textId="77777777" w:rsidR="00430C4E" w:rsidRDefault="00430C4E" w:rsidP="00430C4E">
      <w:pPr>
        <w:pStyle w:val="BodyText"/>
      </w:pPr>
      <w:r>
        <w:rPr>
          <w:rFonts w:cs="Arial"/>
          <w:lang w:eastAsia="en-AU"/>
        </w:rPr>
        <w:fldChar w:fldCharType="begin"/>
      </w:r>
      <w:r>
        <w:rPr>
          <w:rFonts w:cs="Arial"/>
          <w:lang w:eastAsia="en-AU"/>
        </w:rPr>
        <w:instrText xml:space="preserve"> REF _Ref436922286 \r \h </w:instrText>
      </w:r>
      <w:r>
        <w:rPr>
          <w:rFonts w:cs="Arial"/>
          <w:lang w:eastAsia="en-AU"/>
        </w:rPr>
      </w:r>
      <w:r>
        <w:rPr>
          <w:rFonts w:cs="Arial"/>
          <w:lang w:eastAsia="en-AU"/>
        </w:rPr>
        <w:fldChar w:fldCharType="separate"/>
      </w:r>
      <w:r w:rsidR="00F03FA0">
        <w:rPr>
          <w:rFonts w:cs="Arial"/>
          <w:lang w:eastAsia="en-AU"/>
        </w:rPr>
        <w:t>Chart 1.1</w:t>
      </w:r>
      <w:r>
        <w:rPr>
          <w:rFonts w:cs="Arial"/>
          <w:lang w:eastAsia="en-AU"/>
        </w:rPr>
        <w:fldChar w:fldCharType="end"/>
      </w:r>
      <w:r>
        <w:rPr>
          <w:rFonts w:cs="Arial"/>
          <w:lang w:eastAsia="en-AU"/>
        </w:rPr>
        <w:t xml:space="preserve"> below shows </w:t>
      </w:r>
      <w:r w:rsidR="00525A3A">
        <w:rPr>
          <w:rFonts w:cs="Arial"/>
          <w:lang w:eastAsia="en-AU"/>
        </w:rPr>
        <w:t xml:space="preserve">recent trends in </w:t>
      </w:r>
      <w:r>
        <w:rPr>
          <w:rFonts w:cs="Arial"/>
          <w:lang w:eastAsia="en-AU"/>
        </w:rPr>
        <w:t xml:space="preserve">international student enrolments by sector over time. </w:t>
      </w:r>
      <w:r>
        <w:t>From 2007 to 2009 international student enrolments grew rapidly.  The decline in enrolments from 2009 to 2012 was driven by a range of factors including a higher Australian dollar, the global economic downturn, concerns about student safety, and more stringent requirements for student visas</w:t>
      </w:r>
      <w:r w:rsidR="002B3744">
        <w:t xml:space="preserve"> (PC</w:t>
      </w:r>
      <w:r w:rsidR="00AF71FA">
        <w:t>,</w:t>
      </w:r>
      <w:r w:rsidR="002B3744">
        <w:t xml:space="preserve"> </w:t>
      </w:r>
      <w:proofErr w:type="spellStart"/>
      <w:r w:rsidR="002B3744">
        <w:t>2015</w:t>
      </w:r>
      <w:r w:rsidR="007F4081">
        <w:t>a</w:t>
      </w:r>
      <w:proofErr w:type="spellEnd"/>
      <w:r w:rsidR="002B3744">
        <w:t>)</w:t>
      </w:r>
      <w:r>
        <w:t xml:space="preserve">. </w:t>
      </w:r>
      <w:r w:rsidR="002B3744">
        <w:t>The sharpest relative</w:t>
      </w:r>
      <w:r>
        <w:t xml:space="preserve"> decline in </w:t>
      </w:r>
      <w:r w:rsidR="002B3744">
        <w:t>student</w:t>
      </w:r>
      <w:r>
        <w:t xml:space="preserve"> numbers came from the VET and </w:t>
      </w:r>
      <w:proofErr w:type="spellStart"/>
      <w:r>
        <w:t>ELICOS</w:t>
      </w:r>
      <w:proofErr w:type="spellEnd"/>
      <w:r>
        <w:t xml:space="preserve"> sectors, which lost 102,031 enrolments between 2009 and 2012.</w:t>
      </w:r>
    </w:p>
    <w:p w14:paraId="7839CCFF" w14:textId="77777777" w:rsidR="00430C4E" w:rsidRDefault="00430C4E" w:rsidP="00163EA3">
      <w:pPr>
        <w:pStyle w:val="CaptionChart"/>
        <w:outlineLvl w:val="0"/>
      </w:pPr>
      <w:bookmarkStart w:id="31" w:name="_Ref436922286"/>
      <w:bookmarkStart w:id="32" w:name="_Toc450809264"/>
      <w:r>
        <w:lastRenderedPageBreak/>
        <w:t>: International student enrolments over time</w:t>
      </w:r>
      <w:bookmarkEnd w:id="31"/>
      <w:bookmarkEnd w:id="32"/>
    </w:p>
    <w:p w14:paraId="5C7A4D71" w14:textId="77777777" w:rsidR="00430C4E" w:rsidRDefault="003439C6" w:rsidP="000349C1">
      <w:pPr>
        <w:pStyle w:val="BodyText"/>
        <w:ind w:firstLine="567"/>
      </w:pPr>
      <w:r w:rsidRPr="003439C6">
        <w:rPr>
          <w:noProof/>
          <w:lang w:eastAsia="en-AU"/>
        </w:rPr>
        <w:drawing>
          <wp:inline distT="0" distB="0" distL="0" distR="0" wp14:anchorId="61B70C7F" wp14:editId="35D12DFD">
            <wp:extent cx="4037330" cy="2752090"/>
            <wp:effectExtent l="0" t="0" r="1270" b="0"/>
            <wp:docPr id="64" name="Picture 64" descr="The chart shows the number of international student enrolments over time by education sector." title="Chart 1.1: International student enrolment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37330" cy="2752090"/>
                    </a:xfrm>
                    <a:prstGeom prst="rect">
                      <a:avLst/>
                    </a:prstGeom>
                    <a:noFill/>
                    <a:ln>
                      <a:noFill/>
                    </a:ln>
                  </pic:spPr>
                </pic:pic>
              </a:graphicData>
            </a:graphic>
          </wp:inline>
        </w:drawing>
      </w:r>
    </w:p>
    <w:p w14:paraId="5AF9DD2A" w14:textId="77777777" w:rsidR="00430C4E" w:rsidRDefault="00430C4E" w:rsidP="000349C1">
      <w:pPr>
        <w:pStyle w:val="Source"/>
      </w:pPr>
      <w:r>
        <w:t xml:space="preserve">Source: </w:t>
      </w:r>
      <w:proofErr w:type="spellStart"/>
      <w:r>
        <w:t>DET</w:t>
      </w:r>
      <w:proofErr w:type="spellEnd"/>
      <w:r>
        <w:t xml:space="preserve"> and Deloitte Access Economics.</w:t>
      </w:r>
    </w:p>
    <w:p w14:paraId="3EA66A6D" w14:textId="77777777" w:rsidR="00430C4E" w:rsidRDefault="002B3744">
      <w:pPr>
        <w:pStyle w:val="BodyText"/>
      </w:pPr>
      <w:r>
        <w:t xml:space="preserve">Since 2013, there has been </w:t>
      </w:r>
      <w:r w:rsidR="002D6528">
        <w:t>a recovery</w:t>
      </w:r>
      <w:r>
        <w:t xml:space="preserve"> in international student numbers. </w:t>
      </w:r>
      <w:r w:rsidR="00430C4E">
        <w:t xml:space="preserve">By 2015 there were 585,846 international student enrolments in Australia, the highest levels seen </w:t>
      </w:r>
      <w:r>
        <w:t>to date</w:t>
      </w:r>
      <w:r w:rsidR="00430C4E">
        <w:t xml:space="preserve">. All sectors except for VET and </w:t>
      </w:r>
      <w:r>
        <w:t xml:space="preserve">the school sector have seen enrolments now recover to exceed their levels in 2009. The impact on VET enrolments is likely to have driven in part by the replacement of the Migration Occupations in Demand List </w:t>
      </w:r>
      <w:r w:rsidR="00723FCD">
        <w:t>with</w:t>
      </w:r>
      <w:r>
        <w:t xml:space="preserve"> the more limited Skilled Occupations List</w:t>
      </w:r>
      <w:r w:rsidR="00723FCD">
        <w:t xml:space="preserve"> in 2010 as well as prospective changes to the General Skilled Migration visas in early 2010 which generated considerable uncertainty for international students</w:t>
      </w:r>
      <w:r>
        <w:t xml:space="preserve">. </w:t>
      </w:r>
    </w:p>
    <w:p w14:paraId="114DAD18" w14:textId="77777777" w:rsidR="00525A3A" w:rsidRDefault="00525A3A" w:rsidP="00723FCD">
      <w:pPr>
        <w:pStyle w:val="BodyText"/>
      </w:pPr>
      <w:r>
        <w:t xml:space="preserve">There </w:t>
      </w:r>
      <w:r w:rsidR="001F7DD8">
        <w:t xml:space="preserve">have </w:t>
      </w:r>
      <w:r>
        <w:t xml:space="preserve">also been some significant shifts in international student enrolments by source country since 2009. </w:t>
      </w:r>
      <w:r w:rsidR="00723FCD">
        <w:fldChar w:fldCharType="begin"/>
      </w:r>
      <w:r w:rsidR="00723FCD">
        <w:instrText xml:space="preserve"> REF _Ref436923757 \r \h </w:instrText>
      </w:r>
      <w:r w:rsidR="00723FCD">
        <w:fldChar w:fldCharType="separate"/>
      </w:r>
      <w:r w:rsidR="00F03FA0">
        <w:t>Chart 1.2</w:t>
      </w:r>
      <w:r w:rsidR="00723FCD">
        <w:fldChar w:fldCharType="end"/>
      </w:r>
      <w:r w:rsidR="00723FCD">
        <w:t xml:space="preserve"> shows enrolments by the five largest nationalities over time. In 2015, Chinese students made up 26.6% of all student enrolments, Indian students 11.2%, Vietnamese students 4.6%, South Korean students 4.4% and Thai students accounted 4.2% of </w:t>
      </w:r>
      <w:r w:rsidR="001F7DD8">
        <w:t xml:space="preserve">all </w:t>
      </w:r>
      <w:r w:rsidR="00723FCD">
        <w:t xml:space="preserve">enrolments. </w:t>
      </w:r>
    </w:p>
    <w:p w14:paraId="6BF62EDC" w14:textId="77777777" w:rsidR="00723FCD" w:rsidRDefault="007F2FD5" w:rsidP="00723FCD">
      <w:pPr>
        <w:pStyle w:val="BodyText"/>
      </w:pPr>
      <w:r>
        <w:fldChar w:fldCharType="begin"/>
      </w:r>
      <w:r>
        <w:instrText xml:space="preserve"> REF _Ref436923757 \r \h </w:instrText>
      </w:r>
      <w:r>
        <w:fldChar w:fldCharType="separate"/>
      </w:r>
      <w:r w:rsidR="00F03FA0">
        <w:t>Chart 1.2</w:t>
      </w:r>
      <w:r>
        <w:fldChar w:fldCharType="end"/>
      </w:r>
      <w:r w:rsidR="00723FCD">
        <w:t xml:space="preserve"> shows that a substantial part of the increase in overall enrolment figures from 2007 to 2009 was driven by increases in the number of Indian enrolments</w:t>
      </w:r>
      <w:r w:rsidR="00525A3A">
        <w:t>, which declined after 2009</w:t>
      </w:r>
      <w:r w:rsidR="00723FCD">
        <w:t xml:space="preserve">. </w:t>
      </w:r>
      <w:r w:rsidR="00525A3A">
        <w:t xml:space="preserve">There was also a decline in Chinese enrolments after 2009, although enrolments from China have now returned to their previous peak. Enrolments of students from South Korea have also fallen since 2009, while enrolments from Vietnam have grown. Enrolments from Thailand have </w:t>
      </w:r>
      <w:r w:rsidR="001F7DD8">
        <w:t xml:space="preserve">returned to the level they were in </w:t>
      </w:r>
      <w:r w:rsidR="00525A3A">
        <w:t xml:space="preserve">2009. </w:t>
      </w:r>
    </w:p>
    <w:p w14:paraId="5E709027" w14:textId="77777777" w:rsidR="00723FCD" w:rsidRPr="00D91ACE" w:rsidRDefault="00723FCD" w:rsidP="00163EA3">
      <w:pPr>
        <w:pStyle w:val="CaptionChart"/>
        <w:spacing w:before="0" w:after="120"/>
        <w:outlineLvl w:val="0"/>
      </w:pPr>
      <w:bookmarkStart w:id="33" w:name="_Ref436923757"/>
      <w:bookmarkStart w:id="34" w:name="_Toc450809265"/>
      <w:r>
        <w:lastRenderedPageBreak/>
        <w:t>: Trends in student enrolments by nationality</w:t>
      </w:r>
      <w:bookmarkEnd w:id="33"/>
      <w:bookmarkEnd w:id="34"/>
    </w:p>
    <w:p w14:paraId="1F57071B" w14:textId="77777777" w:rsidR="00705599" w:rsidRDefault="003439C6" w:rsidP="003B013D">
      <w:pPr>
        <w:pStyle w:val="BodyText"/>
        <w:spacing w:before="0"/>
        <w:ind w:firstLine="562"/>
      </w:pPr>
      <w:r w:rsidRPr="003439C6">
        <w:rPr>
          <w:noProof/>
          <w:lang w:eastAsia="en-AU"/>
        </w:rPr>
        <w:drawing>
          <wp:inline distT="0" distB="0" distL="0" distR="0" wp14:anchorId="024E4B29" wp14:editId="4C267E9F">
            <wp:extent cx="4037330" cy="2752090"/>
            <wp:effectExtent l="0" t="0" r="1270" b="0"/>
            <wp:docPr id="65" name="Picture 65" descr="The chart shows the number of international student enrolments over time by student nationality." title="Chart 1.2: Trends in student enrolments by nation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37330" cy="2752090"/>
                    </a:xfrm>
                    <a:prstGeom prst="rect">
                      <a:avLst/>
                    </a:prstGeom>
                    <a:noFill/>
                    <a:ln>
                      <a:noFill/>
                    </a:ln>
                  </pic:spPr>
                </pic:pic>
              </a:graphicData>
            </a:graphic>
          </wp:inline>
        </w:drawing>
      </w:r>
    </w:p>
    <w:p w14:paraId="68B84F9A" w14:textId="77777777" w:rsidR="00723FCD" w:rsidRDefault="00723FCD" w:rsidP="00163EA3">
      <w:pPr>
        <w:pStyle w:val="Source"/>
        <w:outlineLvl w:val="0"/>
      </w:pPr>
      <w:r>
        <w:t xml:space="preserve">Source: </w:t>
      </w:r>
      <w:proofErr w:type="spellStart"/>
      <w:r w:rsidR="00525A3A">
        <w:t>DET</w:t>
      </w:r>
      <w:proofErr w:type="spellEnd"/>
      <w:r w:rsidR="00525A3A">
        <w:t xml:space="preserve"> and </w:t>
      </w:r>
      <w:r>
        <w:t>Deloitte Access Economics</w:t>
      </w:r>
    </w:p>
    <w:p w14:paraId="01D2BB03" w14:textId="77777777" w:rsidR="00430C4E" w:rsidRDefault="00525A3A" w:rsidP="0024191A">
      <w:pPr>
        <w:pStyle w:val="BodyText"/>
      </w:pPr>
      <w:r>
        <w:t xml:space="preserve">Thus while the international education sector plays a significant role in the Australian economy, there has been considerable volatility in enrolments in recent years </w:t>
      </w:r>
      <w:r w:rsidR="002D6528">
        <w:t>overlaying the fact that an increasing</w:t>
      </w:r>
      <w:r>
        <w:t xml:space="preserve"> number of countries </w:t>
      </w:r>
      <w:r w:rsidR="002D6528">
        <w:t xml:space="preserve">are now </w:t>
      </w:r>
      <w:r>
        <w:t xml:space="preserve">competing for international students. </w:t>
      </w:r>
    </w:p>
    <w:p w14:paraId="0C5D236E" w14:textId="77777777" w:rsidR="00622B92" w:rsidRDefault="00622B92" w:rsidP="0024191A">
      <w:pPr>
        <w:pStyle w:val="BodyText"/>
      </w:pPr>
      <w:r>
        <w:t>While Australia’s export revenue from international education (</w:t>
      </w:r>
      <w:r w:rsidR="008F0A0C">
        <w:t xml:space="preserve">which </w:t>
      </w:r>
      <w:r w:rsidR="00D7798F">
        <w:t xml:space="preserve">the ABS calculates </w:t>
      </w:r>
      <w:r w:rsidR="008F0A0C">
        <w:t>was worth $18.8</w:t>
      </w:r>
      <w:r>
        <w:t xml:space="preserve"> billion in 2014-15) is </w:t>
      </w:r>
      <w:r w:rsidR="00402979">
        <w:t xml:space="preserve">a </w:t>
      </w:r>
      <w:r>
        <w:t xml:space="preserve">relatively well-known statistic, </w:t>
      </w:r>
      <w:r w:rsidR="00C06A7E">
        <w:t xml:space="preserve">to provide a fuller picture of the contribution of international education to Australian economy this report also estimates the value that this export revenue contributes to </w:t>
      </w:r>
      <w:r>
        <w:t xml:space="preserve">Australia’s Gross Domestic Product (GDP). This requires excluding any supply chain transactions that do not contribute to Australia’s GDP (e.g. the purchase of an imported good). The value-added contribution of international education to Australia’s </w:t>
      </w:r>
      <w:r w:rsidR="00C06A7E">
        <w:t xml:space="preserve">GDP </w:t>
      </w:r>
      <w:r>
        <w:t xml:space="preserve">is </w:t>
      </w:r>
      <w:r w:rsidR="00C06A7E">
        <w:t>hence a lower figure and was estimated to be $1</w:t>
      </w:r>
      <w:r w:rsidR="005678FF">
        <w:t>6.9</w:t>
      </w:r>
      <w:r w:rsidR="00C06A7E">
        <w:t xml:space="preserve"> billion in 2014-15</w:t>
      </w:r>
      <w:r w:rsidR="00D7798F">
        <w:t xml:space="preserve"> (or $17.1 billion after including additional tourism activity)</w:t>
      </w:r>
      <w:r w:rsidR="00C06A7E">
        <w:t>.</w:t>
      </w:r>
    </w:p>
    <w:p w14:paraId="6C24F56C" w14:textId="77777777" w:rsidR="00EB30FD" w:rsidRDefault="0024191A" w:rsidP="00A6560C">
      <w:pPr>
        <w:pStyle w:val="BodyText"/>
      </w:pPr>
      <w:r>
        <w:t xml:space="preserve">The </w:t>
      </w:r>
      <w:r w:rsidR="00430C4E">
        <w:t xml:space="preserve">remainder of this </w:t>
      </w:r>
      <w:r>
        <w:t xml:space="preserve">report is structured as follows: </w:t>
      </w:r>
    </w:p>
    <w:p w14:paraId="60E8257C" w14:textId="77777777" w:rsidR="0024191A" w:rsidRDefault="0024191A" w:rsidP="0024191A">
      <w:pPr>
        <w:pStyle w:val="Bullet1"/>
      </w:pPr>
      <w:r>
        <w:t xml:space="preserve">Chapter 2 examines the value of international education exports to Australia </w:t>
      </w:r>
      <w:r w:rsidR="00C9697B">
        <w:t xml:space="preserve">incorporating both information provided by the ABS and estimates of </w:t>
      </w:r>
      <w:r>
        <w:t xml:space="preserve">expenditure by international students on non-student visas and </w:t>
      </w:r>
      <w:r w:rsidR="001833B1">
        <w:t>revenue from offshore campuses</w:t>
      </w:r>
      <w:r>
        <w:t>;</w:t>
      </w:r>
    </w:p>
    <w:p w14:paraId="44F3014E" w14:textId="77777777" w:rsidR="0024191A" w:rsidRDefault="0024191A" w:rsidP="0024191A">
      <w:pPr>
        <w:pStyle w:val="Bullet1"/>
      </w:pPr>
      <w:r>
        <w:t>Chapter 3 examines the economic contribution of international education and discusses linkages between international education and other industries;</w:t>
      </w:r>
    </w:p>
    <w:p w14:paraId="3985DF75" w14:textId="77777777" w:rsidR="0024191A" w:rsidRDefault="0024191A" w:rsidP="0024191A">
      <w:pPr>
        <w:pStyle w:val="Bullet1"/>
      </w:pPr>
      <w:r>
        <w:t>Chapter 4 examines the economic contribution of international education at a state and regional level</w:t>
      </w:r>
      <w:r w:rsidR="00381A34">
        <w:t>;</w:t>
      </w:r>
      <w:r>
        <w:t xml:space="preserve"> </w:t>
      </w:r>
    </w:p>
    <w:p w14:paraId="5FDA6857" w14:textId="77777777" w:rsidR="0024191A" w:rsidRDefault="0024191A" w:rsidP="0024191A">
      <w:pPr>
        <w:pStyle w:val="Bullet1"/>
      </w:pPr>
      <w:r>
        <w:t>Chapter 5 examines the flow-on effects of international education in encouraging students’ friends and relatives to visit Australia;</w:t>
      </w:r>
    </w:p>
    <w:p w14:paraId="58E1AD77" w14:textId="77777777" w:rsidR="0024191A" w:rsidRDefault="0024191A" w:rsidP="0024191A">
      <w:pPr>
        <w:pStyle w:val="Bullet1"/>
      </w:pPr>
      <w:r>
        <w:t xml:space="preserve">Chapter 6 examines the contribution of international students to building Australia’s skilled workforce; and </w:t>
      </w:r>
    </w:p>
    <w:p w14:paraId="64C8A298" w14:textId="77777777" w:rsidR="0024191A" w:rsidRDefault="0024191A" w:rsidP="0024191A">
      <w:pPr>
        <w:pStyle w:val="Bullet1"/>
      </w:pPr>
      <w:r>
        <w:t>Chapter 7</w:t>
      </w:r>
      <w:r w:rsidR="0055121C">
        <w:t xml:space="preserve"> </w:t>
      </w:r>
      <w:r w:rsidR="001A0993">
        <w:t xml:space="preserve">examines the broader benefits of international </w:t>
      </w:r>
      <w:r w:rsidR="001833B1">
        <w:t xml:space="preserve">education </w:t>
      </w:r>
      <w:r w:rsidR="001A0993">
        <w:t xml:space="preserve">and discusses </w:t>
      </w:r>
      <w:r w:rsidR="0055121C">
        <w:t xml:space="preserve">potential strategies to raise community awareness of the importance of international education </w:t>
      </w:r>
      <w:r w:rsidR="001833B1">
        <w:t>to Australia</w:t>
      </w:r>
      <w:r w:rsidR="0055121C">
        <w:t xml:space="preserve">. </w:t>
      </w:r>
    </w:p>
    <w:p w14:paraId="1411F0C9" w14:textId="77777777" w:rsidR="00DC5205" w:rsidRDefault="003B21C8" w:rsidP="00163EA3">
      <w:pPr>
        <w:pStyle w:val="Heading1"/>
        <w:rPr>
          <w:lang w:eastAsia="en-AU"/>
        </w:rPr>
      </w:pPr>
      <w:bookmarkStart w:id="35" w:name="_Ref436729030"/>
      <w:bookmarkStart w:id="36" w:name="_Toc450809232"/>
      <w:r>
        <w:rPr>
          <w:lang w:eastAsia="en-AU"/>
        </w:rPr>
        <w:lastRenderedPageBreak/>
        <w:t xml:space="preserve">Quantifying the </w:t>
      </w:r>
      <w:r w:rsidR="00CB3C08">
        <w:rPr>
          <w:lang w:eastAsia="en-AU"/>
        </w:rPr>
        <w:t>value of international education</w:t>
      </w:r>
      <w:r>
        <w:rPr>
          <w:lang w:eastAsia="en-AU"/>
        </w:rPr>
        <w:t xml:space="preserve"> exports</w:t>
      </w:r>
      <w:bookmarkEnd w:id="35"/>
      <w:bookmarkEnd w:id="36"/>
    </w:p>
    <w:p w14:paraId="0F4F0891" w14:textId="77777777" w:rsidR="00705599" w:rsidRPr="0050435B" w:rsidRDefault="00705599" w:rsidP="00705599">
      <w:pPr>
        <w:pStyle w:val="BodyText"/>
      </w:pPr>
      <w:r w:rsidRPr="0050435B">
        <w:t xml:space="preserve">International education is currently Australia’s third largest export </w:t>
      </w:r>
      <w:r>
        <w:t xml:space="preserve">overall </w:t>
      </w:r>
      <w:r w:rsidRPr="0050435B">
        <w:t xml:space="preserve">and </w:t>
      </w:r>
      <w:r w:rsidR="00BF3D69">
        <w:t xml:space="preserve">its </w:t>
      </w:r>
      <w:r w:rsidRPr="0050435B">
        <w:t>largest services export. This chapter discusses how international education exports are currently being captured by the A</w:t>
      </w:r>
      <w:r>
        <w:t xml:space="preserve">ustralian </w:t>
      </w:r>
      <w:r w:rsidRPr="0050435B">
        <w:t>B</w:t>
      </w:r>
      <w:r>
        <w:t xml:space="preserve">ureau of </w:t>
      </w:r>
      <w:r w:rsidRPr="0050435B">
        <w:t>S</w:t>
      </w:r>
      <w:r>
        <w:t>tatistics (ABS)</w:t>
      </w:r>
      <w:r w:rsidR="00BF3D69">
        <w:t>,</w:t>
      </w:r>
      <w:r w:rsidRPr="0050435B">
        <w:t xml:space="preserve"> both under education</w:t>
      </w:r>
      <w:r>
        <w:t xml:space="preserve"> </w:t>
      </w:r>
      <w:r w:rsidRPr="0050435B">
        <w:t xml:space="preserve">related personal travel and elsewhere in the </w:t>
      </w:r>
      <w:r w:rsidRPr="0050435B">
        <w:rPr>
          <w:i/>
        </w:rPr>
        <w:t>International Trade in Goods and Services</w:t>
      </w:r>
      <w:r w:rsidRPr="0050435B">
        <w:t xml:space="preserve"> publication. It also </w:t>
      </w:r>
      <w:r w:rsidR="005228FE">
        <w:t xml:space="preserve">estimates the value of </w:t>
      </w:r>
      <w:r w:rsidR="00535167">
        <w:t>two other</w:t>
      </w:r>
      <w:r w:rsidR="00BF3D69">
        <w:t xml:space="preserve"> contributions of</w:t>
      </w:r>
      <w:r w:rsidR="00535167">
        <w:t xml:space="preserve"> international education </w:t>
      </w:r>
      <w:r w:rsidR="00BF3D69">
        <w:t>to</w:t>
      </w:r>
      <w:r w:rsidR="00535167">
        <w:t xml:space="preserve"> exports</w:t>
      </w:r>
      <w:r w:rsidRPr="0050435B">
        <w:t xml:space="preserve"> not currently captured by the ABS under education related personal travel, namely</w:t>
      </w:r>
      <w:r w:rsidR="00BF3D69">
        <w:t>,</w:t>
      </w:r>
      <w:r w:rsidRPr="0050435B">
        <w:t xml:space="preserve"> </w:t>
      </w:r>
      <w:proofErr w:type="spellStart"/>
      <w:r w:rsidRPr="0050435B">
        <w:t>ELICOS</w:t>
      </w:r>
      <w:proofErr w:type="spellEnd"/>
      <w:r w:rsidRPr="0050435B">
        <w:t xml:space="preserve"> courses </w:t>
      </w:r>
      <w:r w:rsidR="00535167">
        <w:t xml:space="preserve"> provided </w:t>
      </w:r>
      <w:r w:rsidRPr="0050435B">
        <w:t xml:space="preserve">to those on non-student visas and revenue from </w:t>
      </w:r>
      <w:r w:rsidR="00535167">
        <w:t xml:space="preserve">offshore </w:t>
      </w:r>
      <w:r w:rsidRPr="0050435B">
        <w:t>campuses.</w:t>
      </w:r>
    </w:p>
    <w:p w14:paraId="66086955" w14:textId="77777777" w:rsidR="00705599" w:rsidRDefault="00705599" w:rsidP="00163EA3">
      <w:pPr>
        <w:pStyle w:val="Heading2"/>
        <w:rPr>
          <w:lang w:eastAsia="en-AU"/>
        </w:rPr>
      </w:pPr>
      <w:bookmarkStart w:id="37" w:name="_Toc436922200"/>
      <w:bookmarkStart w:id="38" w:name="_Toc450809233"/>
      <w:r>
        <w:rPr>
          <w:lang w:eastAsia="en-AU"/>
        </w:rPr>
        <w:t>How international education is captured by the ABS</w:t>
      </w:r>
      <w:bookmarkEnd w:id="37"/>
      <w:bookmarkEnd w:id="38"/>
    </w:p>
    <w:p w14:paraId="6BBDC6BB" w14:textId="77777777" w:rsidR="00705599" w:rsidRDefault="00705599" w:rsidP="00163EA3">
      <w:pPr>
        <w:pStyle w:val="Heading3"/>
      </w:pPr>
      <w:r>
        <w:t>The four different modes of delivery</w:t>
      </w:r>
    </w:p>
    <w:p w14:paraId="6A7DE081" w14:textId="77777777" w:rsidR="00705599" w:rsidRPr="009268A1" w:rsidRDefault="00705599" w:rsidP="00705599">
      <w:pPr>
        <w:pStyle w:val="BodyText"/>
      </w:pPr>
      <w:r w:rsidRPr="009268A1">
        <w:t xml:space="preserve">There are four modes through which the Australian education sector provides export services. </w:t>
      </w:r>
    </w:p>
    <w:p w14:paraId="7A1A9657" w14:textId="77777777" w:rsidR="00705599" w:rsidRPr="009268A1" w:rsidRDefault="00705599" w:rsidP="00705599">
      <w:pPr>
        <w:pStyle w:val="Bullet1"/>
      </w:pPr>
      <w:proofErr w:type="gramStart"/>
      <w:r w:rsidRPr="00EA1B94">
        <w:rPr>
          <w:b/>
          <w:color w:val="002776"/>
        </w:rPr>
        <w:t>mode</w:t>
      </w:r>
      <w:proofErr w:type="gramEnd"/>
      <w:r w:rsidRPr="00EA1B94">
        <w:rPr>
          <w:b/>
          <w:color w:val="002776"/>
        </w:rPr>
        <w:t xml:space="preserve"> 1</w:t>
      </w:r>
      <w:r w:rsidRPr="00EA1B94">
        <w:rPr>
          <w:color w:val="002776"/>
        </w:rPr>
        <w:t xml:space="preserve"> </w:t>
      </w:r>
      <w:r w:rsidRPr="009268A1">
        <w:t>is the cross</w:t>
      </w:r>
      <w:r>
        <w:t xml:space="preserve"> </w:t>
      </w:r>
      <w:r w:rsidRPr="009268A1">
        <w:t xml:space="preserve">border supply of education services, where a local provider located in Australia delivers education services to offshore international students/customers. This includes the delivery of distance education and correspondence courses, </w:t>
      </w:r>
      <w:r>
        <w:t xml:space="preserve">and </w:t>
      </w:r>
      <w:r w:rsidRPr="009268A1">
        <w:t>royalties on education products;</w:t>
      </w:r>
    </w:p>
    <w:p w14:paraId="690693DE" w14:textId="77777777" w:rsidR="00705599" w:rsidRPr="009268A1" w:rsidRDefault="00705599" w:rsidP="00705599">
      <w:pPr>
        <w:pStyle w:val="Bullet1"/>
      </w:pPr>
      <w:r w:rsidRPr="00EA1B94">
        <w:rPr>
          <w:b/>
          <w:color w:val="002776"/>
        </w:rPr>
        <w:t>mode 2</w:t>
      </w:r>
      <w:r w:rsidRPr="00EA1B94">
        <w:rPr>
          <w:color w:val="002776"/>
        </w:rPr>
        <w:t xml:space="preserve"> </w:t>
      </w:r>
      <w:r w:rsidRPr="009268A1">
        <w:t xml:space="preserve">is the onshore consumption of education by international students, including both their expenditure on fees and </w:t>
      </w:r>
      <w:r>
        <w:t>other goods and services</w:t>
      </w:r>
      <w:r w:rsidRPr="009268A1">
        <w:t>;</w:t>
      </w:r>
    </w:p>
    <w:p w14:paraId="3C63AD0D" w14:textId="77777777" w:rsidR="00705599" w:rsidRPr="009268A1" w:rsidRDefault="00705599" w:rsidP="00705599">
      <w:pPr>
        <w:pStyle w:val="Bullet1"/>
      </w:pPr>
      <w:r w:rsidRPr="00EA1B94">
        <w:rPr>
          <w:b/>
          <w:color w:val="002776"/>
        </w:rPr>
        <w:t>mode 3</w:t>
      </w:r>
      <w:r w:rsidRPr="00EA1B94">
        <w:rPr>
          <w:color w:val="002776"/>
        </w:rPr>
        <w:t xml:space="preserve"> </w:t>
      </w:r>
      <w:r w:rsidRPr="009268A1">
        <w:t>is the offshore provision of international education, such as when an Australian university sets up a campus overseas; and</w:t>
      </w:r>
    </w:p>
    <w:p w14:paraId="56F299CC" w14:textId="77777777" w:rsidR="00705599" w:rsidRPr="009268A1" w:rsidRDefault="00705599" w:rsidP="00705599">
      <w:pPr>
        <w:pStyle w:val="Bullet1"/>
      </w:pPr>
      <w:proofErr w:type="gramStart"/>
      <w:r w:rsidRPr="00EA1B94">
        <w:rPr>
          <w:b/>
          <w:color w:val="002776"/>
        </w:rPr>
        <w:t>mode</w:t>
      </w:r>
      <w:proofErr w:type="gramEnd"/>
      <w:r w:rsidRPr="00EA1B94">
        <w:rPr>
          <w:b/>
          <w:color w:val="002776"/>
        </w:rPr>
        <w:t xml:space="preserve"> 4</w:t>
      </w:r>
      <w:r w:rsidRPr="00EA1B94">
        <w:rPr>
          <w:color w:val="002776"/>
        </w:rPr>
        <w:t xml:space="preserve"> </w:t>
      </w:r>
      <w:r w:rsidRPr="009268A1">
        <w:t>is the presence of Australian educators overseas for a period under 12 months for the provision of education services. This would include guest lectures and fly-in quality assurance checks.</w:t>
      </w:r>
    </w:p>
    <w:p w14:paraId="34030B4A" w14:textId="6644A616" w:rsidR="00705599" w:rsidRDefault="00705599" w:rsidP="00705599">
      <w:pPr>
        <w:pStyle w:val="BodyText"/>
      </w:pPr>
      <w:r>
        <w:t xml:space="preserve">The ABS seeks to capture exports under modes 1, 2 and 4 in the series </w:t>
      </w:r>
      <w:r w:rsidRPr="00540F6C">
        <w:rPr>
          <w:i/>
        </w:rPr>
        <w:t>International Trade in Goods and Services</w:t>
      </w:r>
      <w:r>
        <w:t xml:space="preserve"> (5368.0). However, this publication does not capture revenue from offshore campuses (mode 3). Experimental estimates of the value of service exports under mode 3 were last developed in 2002-03 </w:t>
      </w:r>
      <w:r w:rsidRPr="00E3121F">
        <w:t>(catalogue 5495.0 – Australian Outward Foreign Affiliates Trade, 2002-03)</w:t>
      </w:r>
      <w:r>
        <w:t xml:space="preserve">. Revenue from offshore education is discussed further in </w:t>
      </w:r>
      <w:proofErr w:type="gramStart"/>
      <w:r>
        <w:t xml:space="preserve">section </w:t>
      </w:r>
      <w:r w:rsidR="00C90DEE">
        <w:t> </w:t>
      </w:r>
      <w:proofErr w:type="gramEnd"/>
      <w:r>
        <w:fldChar w:fldCharType="begin"/>
      </w:r>
      <w:r>
        <w:instrText xml:space="preserve"> REF _Ref436924763 \r \h </w:instrText>
      </w:r>
      <w:r>
        <w:fldChar w:fldCharType="separate"/>
      </w:r>
      <w:r w:rsidR="00F03FA0">
        <w:t>2.3</w:t>
      </w:r>
      <w:r>
        <w:fldChar w:fldCharType="end"/>
      </w:r>
      <w:r>
        <w:t xml:space="preserve">. </w:t>
      </w:r>
    </w:p>
    <w:p w14:paraId="73D4EA19" w14:textId="77777777" w:rsidR="00705599" w:rsidRDefault="00705599" w:rsidP="00705599">
      <w:pPr>
        <w:pStyle w:val="BodyText"/>
      </w:pPr>
      <w:r>
        <w:t xml:space="preserve">A more detailed description of each of the categories in the ABS </w:t>
      </w:r>
      <w:r w:rsidRPr="00183136">
        <w:rPr>
          <w:i/>
        </w:rPr>
        <w:t>International Trade in Goods and Services</w:t>
      </w:r>
      <w:r>
        <w:t xml:space="preserve"> </w:t>
      </w:r>
      <w:r w:rsidR="00A54C9F">
        <w:t>publication</w:t>
      </w:r>
      <w:r w:rsidR="005C6A9F">
        <w:t>,</w:t>
      </w:r>
      <w:r w:rsidR="00A54C9F">
        <w:t xml:space="preserve"> </w:t>
      </w:r>
      <w:r w:rsidR="005C6A9F">
        <w:t xml:space="preserve">including </w:t>
      </w:r>
      <w:r w:rsidR="00A54C9F">
        <w:t>how export revenue is estimated by the ABS</w:t>
      </w:r>
      <w:r w:rsidR="005C6A9F">
        <w:t>,</w:t>
      </w:r>
      <w:r w:rsidR="00A54C9F">
        <w:t xml:space="preserve"> </w:t>
      </w:r>
      <w:r>
        <w:t xml:space="preserve">can be found in Appendix A. </w:t>
      </w:r>
    </w:p>
    <w:p w14:paraId="4A25C794" w14:textId="77777777" w:rsidR="00705599" w:rsidRPr="0030233D" w:rsidRDefault="00705599" w:rsidP="00705599">
      <w:pPr>
        <w:pStyle w:val="BodyText"/>
      </w:pPr>
      <w:r w:rsidRPr="0030233D">
        <w:t>The export revenue for</w:t>
      </w:r>
      <w:r>
        <w:t xml:space="preserve"> the Australian international education sector captured by the ABS</w:t>
      </w:r>
      <w:r w:rsidRPr="0030233D">
        <w:t xml:space="preserve"> </w:t>
      </w:r>
      <w:r>
        <w:t>over the</w:t>
      </w:r>
      <w:r w:rsidRPr="0030233D">
        <w:t xml:space="preserve"> 2014-15</w:t>
      </w:r>
      <w:r>
        <w:t xml:space="preserve"> </w:t>
      </w:r>
      <w:proofErr w:type="gramStart"/>
      <w:r>
        <w:t>period</w:t>
      </w:r>
      <w:proofErr w:type="gramEnd"/>
      <w:r>
        <w:t xml:space="preserve"> is summarised below in </w:t>
      </w:r>
      <w:r w:rsidR="00804704">
        <w:fldChar w:fldCharType="begin"/>
      </w:r>
      <w:r w:rsidR="00804704">
        <w:instrText xml:space="preserve"> REF _Ref437353093 \r \h </w:instrText>
      </w:r>
      <w:r w:rsidR="00804704">
        <w:fldChar w:fldCharType="separate"/>
      </w:r>
      <w:r w:rsidR="00F03FA0">
        <w:t>Table 2.1</w:t>
      </w:r>
      <w:r w:rsidR="00804704">
        <w:fldChar w:fldCharType="end"/>
      </w:r>
      <w:r w:rsidRPr="0030233D">
        <w:t>.</w:t>
      </w:r>
      <w:r>
        <w:t xml:space="preserve"> Export revenue from the </w:t>
      </w:r>
      <w:r>
        <w:lastRenderedPageBreak/>
        <w:t xml:space="preserve">provision of international education services was $18.8 billion, with mode 2 contributing approximately 97% at $18.2 billion. </w:t>
      </w:r>
      <w:r w:rsidRPr="00C541E0">
        <w:t xml:space="preserve">Of the remainder, mode 4 makes up </w:t>
      </w:r>
      <w:r>
        <w:t>2</w:t>
      </w:r>
      <w:r w:rsidRPr="00C541E0">
        <w:t>% at $</w:t>
      </w:r>
      <w:r>
        <w:t>418</w:t>
      </w:r>
      <w:r w:rsidRPr="00C541E0">
        <w:t xml:space="preserve"> million, and mode 1, 1% at 185 million.</w:t>
      </w:r>
      <w:r w:rsidR="00906682">
        <w:t xml:space="preserve"> </w:t>
      </w:r>
    </w:p>
    <w:p w14:paraId="26665468" w14:textId="77777777" w:rsidR="00705599" w:rsidRDefault="00705599" w:rsidP="00163EA3">
      <w:pPr>
        <w:pStyle w:val="CaptionTable"/>
        <w:outlineLvl w:val="0"/>
      </w:pPr>
      <w:bookmarkStart w:id="39" w:name="_Toc436922233"/>
      <w:bookmarkStart w:id="40" w:name="_Ref437353093"/>
      <w:bookmarkStart w:id="41" w:name="_Toc450809279"/>
      <w:r>
        <w:t>: Export value of international education captured by ABS, 2014-15</w:t>
      </w:r>
      <w:bookmarkEnd w:id="39"/>
      <w:bookmarkEnd w:id="40"/>
      <w:bookmarkEnd w:id="41"/>
    </w:p>
    <w:tbl>
      <w:tblPr>
        <w:tblStyle w:val="TableAE"/>
        <w:tblW w:w="0" w:type="auto"/>
        <w:tblLayout w:type="fixed"/>
        <w:tblLook w:val="04A0" w:firstRow="1" w:lastRow="0" w:firstColumn="1" w:lastColumn="0" w:noHBand="0" w:noVBand="1"/>
        <w:tblCaption w:val="Export value of international education captured by ABS"/>
        <w:tblDescription w:val="The table shows the export value of international education captured by Australian Bureau of Statistics by different mode and category in financial year 2014-15."/>
      </w:tblPr>
      <w:tblGrid>
        <w:gridCol w:w="851"/>
        <w:gridCol w:w="6041"/>
        <w:gridCol w:w="1382"/>
      </w:tblGrid>
      <w:tr w:rsidR="005A76BC" w14:paraId="6D0E4D18" w14:textId="77777777" w:rsidTr="00AA149D">
        <w:trPr>
          <w:cnfStyle w:val="100000000000" w:firstRow="1" w:lastRow="0" w:firstColumn="0" w:lastColumn="0" w:oddVBand="0" w:evenVBand="0" w:oddHBand="0" w:evenHBand="0" w:firstRowFirstColumn="0" w:firstRowLastColumn="0" w:lastRowFirstColumn="0" w:lastRowLastColumn="0"/>
          <w:tblHeader/>
        </w:trPr>
        <w:tc>
          <w:tcPr>
            <w:tcW w:w="851" w:type="dxa"/>
          </w:tcPr>
          <w:p w14:paraId="3EC0D2E1" w14:textId="77777777" w:rsidR="005A76BC" w:rsidRDefault="005A76BC" w:rsidP="000349C1">
            <w:pPr>
              <w:pStyle w:val="TableHeadingCentre"/>
            </w:pPr>
            <w:r>
              <w:t>Mode</w:t>
            </w:r>
          </w:p>
        </w:tc>
        <w:tc>
          <w:tcPr>
            <w:tcW w:w="6041" w:type="dxa"/>
          </w:tcPr>
          <w:p w14:paraId="0666C4F4" w14:textId="77777777" w:rsidR="005A76BC" w:rsidRDefault="005A76BC" w:rsidP="007B20B2">
            <w:pPr>
              <w:pStyle w:val="TableHeadingCentre"/>
              <w:jc w:val="left"/>
            </w:pPr>
            <w:r>
              <w:t>Category</w:t>
            </w:r>
          </w:p>
        </w:tc>
        <w:tc>
          <w:tcPr>
            <w:tcW w:w="1382" w:type="dxa"/>
          </w:tcPr>
          <w:p w14:paraId="2F9E757F" w14:textId="77777777" w:rsidR="005A76BC" w:rsidRDefault="005A76BC" w:rsidP="000349C1">
            <w:pPr>
              <w:pStyle w:val="TableHeadingCentre"/>
            </w:pPr>
            <w:r>
              <w:t>($m)</w:t>
            </w:r>
          </w:p>
        </w:tc>
      </w:tr>
      <w:tr w:rsidR="005A76BC" w14:paraId="2FB00B0E" w14:textId="77777777" w:rsidTr="007B20B2">
        <w:tc>
          <w:tcPr>
            <w:tcW w:w="851" w:type="dxa"/>
            <w:vAlign w:val="center"/>
          </w:tcPr>
          <w:p w14:paraId="58B08841" w14:textId="77777777" w:rsidR="005A76BC" w:rsidRDefault="005A76BC" w:rsidP="000349C1">
            <w:pPr>
              <w:pStyle w:val="TabletextLeft"/>
            </w:pPr>
            <w:r>
              <w:rPr>
                <w:rFonts w:cs="Arial"/>
              </w:rPr>
              <w:t>1</w:t>
            </w:r>
          </w:p>
        </w:tc>
        <w:tc>
          <w:tcPr>
            <w:tcW w:w="6041" w:type="dxa"/>
            <w:vAlign w:val="center"/>
          </w:tcPr>
          <w:p w14:paraId="07680D18" w14:textId="77777777" w:rsidR="005A76BC" w:rsidRDefault="005A76BC" w:rsidP="000349C1">
            <w:pPr>
              <w:pStyle w:val="TabletextLeft"/>
            </w:pPr>
            <w:r>
              <w:rPr>
                <w:rFonts w:cs="Arial"/>
              </w:rPr>
              <w:t>Royalties on education</w:t>
            </w:r>
          </w:p>
        </w:tc>
        <w:tc>
          <w:tcPr>
            <w:tcW w:w="1382" w:type="dxa"/>
            <w:vAlign w:val="center"/>
          </w:tcPr>
          <w:p w14:paraId="3DCAFF47" w14:textId="77777777" w:rsidR="005A76BC" w:rsidRDefault="005A76BC" w:rsidP="000349C1">
            <w:pPr>
              <w:pStyle w:val="TabletextLeft"/>
              <w:jc w:val="center"/>
            </w:pPr>
            <w:r>
              <w:rPr>
                <w:rFonts w:cs="Arial"/>
              </w:rPr>
              <w:t>37</w:t>
            </w:r>
          </w:p>
        </w:tc>
      </w:tr>
      <w:tr w:rsidR="005A76BC" w14:paraId="0C8DD6B0" w14:textId="77777777" w:rsidTr="007B20B2">
        <w:tc>
          <w:tcPr>
            <w:tcW w:w="851" w:type="dxa"/>
            <w:vAlign w:val="center"/>
          </w:tcPr>
          <w:p w14:paraId="0FA4DDC6" w14:textId="77777777" w:rsidR="005A76BC" w:rsidRDefault="005A76BC" w:rsidP="000349C1">
            <w:pPr>
              <w:pStyle w:val="TabletextLeft"/>
            </w:pPr>
            <w:r>
              <w:rPr>
                <w:rFonts w:cs="Arial"/>
              </w:rPr>
              <w:t>1</w:t>
            </w:r>
          </w:p>
        </w:tc>
        <w:tc>
          <w:tcPr>
            <w:tcW w:w="6041" w:type="dxa"/>
            <w:vAlign w:val="center"/>
          </w:tcPr>
          <w:p w14:paraId="42DCA58F" w14:textId="77777777" w:rsidR="005A76BC" w:rsidRDefault="005A76BC" w:rsidP="000349C1">
            <w:pPr>
              <w:pStyle w:val="TabletextLeft"/>
            </w:pPr>
            <w:r>
              <w:rPr>
                <w:rFonts w:cs="Arial"/>
              </w:rPr>
              <w:t>Correspondence courses</w:t>
            </w:r>
          </w:p>
        </w:tc>
        <w:tc>
          <w:tcPr>
            <w:tcW w:w="1382" w:type="dxa"/>
            <w:vAlign w:val="center"/>
          </w:tcPr>
          <w:p w14:paraId="25C8345F" w14:textId="77777777" w:rsidR="005A76BC" w:rsidRDefault="005A76BC" w:rsidP="000349C1">
            <w:pPr>
              <w:pStyle w:val="TabletextLeft"/>
              <w:jc w:val="center"/>
            </w:pPr>
            <w:r>
              <w:rPr>
                <w:rFonts w:cs="Arial"/>
              </w:rPr>
              <w:t>11</w:t>
            </w:r>
          </w:p>
        </w:tc>
      </w:tr>
      <w:tr w:rsidR="005A76BC" w14:paraId="15277489" w14:textId="77777777" w:rsidTr="007B20B2">
        <w:tc>
          <w:tcPr>
            <w:tcW w:w="851" w:type="dxa"/>
            <w:vAlign w:val="center"/>
          </w:tcPr>
          <w:p w14:paraId="3871DDED" w14:textId="77777777" w:rsidR="005A76BC" w:rsidRDefault="005A76BC" w:rsidP="000349C1">
            <w:pPr>
              <w:pStyle w:val="TabletextLeft"/>
            </w:pPr>
            <w:r>
              <w:rPr>
                <w:rFonts w:cs="Arial"/>
              </w:rPr>
              <w:t>1</w:t>
            </w:r>
          </w:p>
        </w:tc>
        <w:tc>
          <w:tcPr>
            <w:tcW w:w="6041" w:type="dxa"/>
            <w:vAlign w:val="center"/>
          </w:tcPr>
          <w:p w14:paraId="035BAB96" w14:textId="77777777" w:rsidR="005A76BC" w:rsidRDefault="005A76BC" w:rsidP="000349C1">
            <w:pPr>
              <w:pStyle w:val="TabletextLeft"/>
            </w:pPr>
            <w:r>
              <w:rPr>
                <w:rFonts w:cs="Arial"/>
              </w:rPr>
              <w:t>Education consultancy services</w:t>
            </w:r>
          </w:p>
        </w:tc>
        <w:tc>
          <w:tcPr>
            <w:tcW w:w="1382" w:type="dxa"/>
            <w:vAlign w:val="center"/>
          </w:tcPr>
          <w:p w14:paraId="6ED24ED7" w14:textId="77777777" w:rsidR="005A76BC" w:rsidRDefault="005A76BC" w:rsidP="000349C1">
            <w:pPr>
              <w:pStyle w:val="TabletextLeft"/>
              <w:jc w:val="center"/>
            </w:pPr>
            <w:r>
              <w:rPr>
                <w:rFonts w:cs="Arial"/>
              </w:rPr>
              <w:t>137</w:t>
            </w:r>
          </w:p>
        </w:tc>
      </w:tr>
      <w:tr w:rsidR="005A76BC" w14:paraId="446C2F76" w14:textId="77777777" w:rsidTr="007B20B2">
        <w:tc>
          <w:tcPr>
            <w:tcW w:w="851" w:type="dxa"/>
            <w:vAlign w:val="center"/>
          </w:tcPr>
          <w:p w14:paraId="25AE6AF0" w14:textId="77777777" w:rsidR="005A76BC" w:rsidRDefault="005A76BC" w:rsidP="000349C1">
            <w:pPr>
              <w:pStyle w:val="TabletextLeft"/>
            </w:pPr>
            <w:r>
              <w:rPr>
                <w:rFonts w:cs="Arial"/>
              </w:rPr>
              <w:t>2</w:t>
            </w:r>
          </w:p>
        </w:tc>
        <w:tc>
          <w:tcPr>
            <w:tcW w:w="6041" w:type="dxa"/>
            <w:vAlign w:val="center"/>
          </w:tcPr>
          <w:p w14:paraId="2F493163" w14:textId="77777777" w:rsidR="005A76BC" w:rsidRDefault="005A76BC" w:rsidP="000349C1">
            <w:pPr>
              <w:pStyle w:val="TabletextLeft"/>
            </w:pPr>
            <w:r>
              <w:rPr>
                <w:rFonts w:cs="Arial"/>
              </w:rPr>
              <w:t>Education related travel</w:t>
            </w:r>
          </w:p>
        </w:tc>
        <w:tc>
          <w:tcPr>
            <w:tcW w:w="1382" w:type="dxa"/>
            <w:vAlign w:val="center"/>
          </w:tcPr>
          <w:p w14:paraId="25F85F49" w14:textId="77777777" w:rsidR="005A76BC" w:rsidRDefault="005A76BC" w:rsidP="000349C1">
            <w:pPr>
              <w:pStyle w:val="TabletextLeft"/>
              <w:jc w:val="center"/>
            </w:pPr>
            <w:r>
              <w:rPr>
                <w:rFonts w:cs="Arial"/>
              </w:rPr>
              <w:t>18,172</w:t>
            </w:r>
          </w:p>
        </w:tc>
      </w:tr>
      <w:tr w:rsidR="005A76BC" w14:paraId="34AFCE94" w14:textId="77777777" w:rsidTr="007B20B2">
        <w:tc>
          <w:tcPr>
            <w:tcW w:w="851" w:type="dxa"/>
            <w:vAlign w:val="center"/>
          </w:tcPr>
          <w:p w14:paraId="0565A7B3" w14:textId="77777777" w:rsidR="005A76BC" w:rsidRDefault="005A76BC" w:rsidP="000349C1">
            <w:pPr>
              <w:pStyle w:val="TabletextLeft"/>
            </w:pPr>
            <w:r>
              <w:rPr>
                <w:rFonts w:cs="Arial"/>
              </w:rPr>
              <w:t>4</w:t>
            </w:r>
          </w:p>
        </w:tc>
        <w:tc>
          <w:tcPr>
            <w:tcW w:w="6041" w:type="dxa"/>
            <w:vAlign w:val="center"/>
          </w:tcPr>
          <w:p w14:paraId="27DF2BBC" w14:textId="77777777" w:rsidR="005A76BC" w:rsidRDefault="005A76BC" w:rsidP="000349C1">
            <w:pPr>
              <w:pStyle w:val="TabletextLeft"/>
            </w:pPr>
            <w:r>
              <w:rPr>
                <w:rFonts w:cs="Arial"/>
              </w:rPr>
              <w:t>Educational services provided through registered educational institutions</w:t>
            </w:r>
          </w:p>
        </w:tc>
        <w:tc>
          <w:tcPr>
            <w:tcW w:w="1382" w:type="dxa"/>
            <w:vAlign w:val="center"/>
          </w:tcPr>
          <w:p w14:paraId="379D9D7E" w14:textId="77777777" w:rsidR="005A76BC" w:rsidRDefault="005A76BC" w:rsidP="000349C1">
            <w:pPr>
              <w:pStyle w:val="TabletextLeft"/>
              <w:jc w:val="center"/>
            </w:pPr>
            <w:r>
              <w:rPr>
                <w:rFonts w:cs="Arial"/>
              </w:rPr>
              <w:t>341</w:t>
            </w:r>
          </w:p>
        </w:tc>
      </w:tr>
      <w:tr w:rsidR="005A76BC" w14:paraId="679EE1F3" w14:textId="77777777" w:rsidTr="007B20B2">
        <w:tc>
          <w:tcPr>
            <w:tcW w:w="851" w:type="dxa"/>
            <w:vAlign w:val="center"/>
          </w:tcPr>
          <w:p w14:paraId="5794DB81" w14:textId="77777777" w:rsidR="005A76BC" w:rsidRDefault="005A76BC" w:rsidP="000349C1">
            <w:pPr>
              <w:pStyle w:val="TabletextLeft"/>
            </w:pPr>
            <w:r>
              <w:rPr>
                <w:rFonts w:cs="Arial"/>
              </w:rPr>
              <w:t>4</w:t>
            </w:r>
          </w:p>
        </w:tc>
        <w:tc>
          <w:tcPr>
            <w:tcW w:w="6041" w:type="dxa"/>
            <w:vAlign w:val="center"/>
          </w:tcPr>
          <w:p w14:paraId="04B5D89B" w14:textId="77777777" w:rsidR="005A76BC" w:rsidRDefault="005A76BC" w:rsidP="000349C1">
            <w:pPr>
              <w:pStyle w:val="TabletextLeft"/>
            </w:pPr>
            <w:r>
              <w:rPr>
                <w:rFonts w:cs="Arial"/>
              </w:rPr>
              <w:t>Other educational services</w:t>
            </w:r>
          </w:p>
        </w:tc>
        <w:tc>
          <w:tcPr>
            <w:tcW w:w="1382" w:type="dxa"/>
            <w:vAlign w:val="center"/>
          </w:tcPr>
          <w:p w14:paraId="4F4365A2" w14:textId="77777777" w:rsidR="005A76BC" w:rsidRDefault="005A76BC" w:rsidP="000349C1">
            <w:pPr>
              <w:pStyle w:val="TabletextLeft"/>
              <w:jc w:val="center"/>
            </w:pPr>
            <w:r>
              <w:rPr>
                <w:rFonts w:cs="Arial"/>
              </w:rPr>
              <w:t>77</w:t>
            </w:r>
          </w:p>
        </w:tc>
      </w:tr>
      <w:tr w:rsidR="005A76BC" w14:paraId="64524646" w14:textId="77777777" w:rsidTr="007B20B2">
        <w:tc>
          <w:tcPr>
            <w:tcW w:w="851" w:type="dxa"/>
          </w:tcPr>
          <w:p w14:paraId="554F08E8" w14:textId="77777777" w:rsidR="005A76BC" w:rsidRPr="000349C1" w:rsidRDefault="005A76BC" w:rsidP="000349C1">
            <w:pPr>
              <w:pStyle w:val="TabletextLeft"/>
              <w:rPr>
                <w:b/>
              </w:rPr>
            </w:pPr>
            <w:r w:rsidRPr="000349C1">
              <w:rPr>
                <w:rFonts w:cs="Arial"/>
                <w:b/>
                <w:color w:val="002776"/>
                <w:lang w:eastAsia="en-AU"/>
              </w:rPr>
              <w:t>Total</w:t>
            </w:r>
          </w:p>
        </w:tc>
        <w:tc>
          <w:tcPr>
            <w:tcW w:w="6041" w:type="dxa"/>
          </w:tcPr>
          <w:p w14:paraId="5415A01F" w14:textId="77777777" w:rsidR="005A76BC" w:rsidRDefault="005A76BC" w:rsidP="000349C1">
            <w:pPr>
              <w:pStyle w:val="TabletextLeft"/>
            </w:pPr>
          </w:p>
        </w:tc>
        <w:tc>
          <w:tcPr>
            <w:tcW w:w="1382" w:type="dxa"/>
          </w:tcPr>
          <w:p w14:paraId="5CAC980E" w14:textId="77777777" w:rsidR="005A76BC" w:rsidRPr="000349C1" w:rsidRDefault="00F31EF7" w:rsidP="000349C1">
            <w:pPr>
              <w:pStyle w:val="TabletextLeft"/>
              <w:jc w:val="center"/>
            </w:pPr>
            <w:r w:rsidRPr="000349C1">
              <w:rPr>
                <w:rFonts w:cs="Arial"/>
                <w:color w:val="000000" w:themeColor="text1"/>
                <w:lang w:eastAsia="en-AU"/>
              </w:rPr>
              <w:t>18,775</w:t>
            </w:r>
          </w:p>
        </w:tc>
      </w:tr>
    </w:tbl>
    <w:p w14:paraId="435EC891" w14:textId="77777777" w:rsidR="00705599" w:rsidRDefault="00705599" w:rsidP="00705599">
      <w:pPr>
        <w:pStyle w:val="Source"/>
      </w:pPr>
      <w:r>
        <w:t>Source: ABS, 2015</w:t>
      </w:r>
    </w:p>
    <w:p w14:paraId="2641340D" w14:textId="77777777" w:rsidR="00705599" w:rsidRDefault="00705599" w:rsidP="00163EA3">
      <w:pPr>
        <w:pStyle w:val="Heading3"/>
      </w:pPr>
      <w:r>
        <w:t>International education exports not currently captured</w:t>
      </w:r>
    </w:p>
    <w:p w14:paraId="2E76943D" w14:textId="77777777" w:rsidR="00705599" w:rsidRDefault="00705599" w:rsidP="00705599">
      <w:pPr>
        <w:pStyle w:val="BodyText"/>
      </w:pPr>
      <w:r>
        <w:t xml:space="preserve">While the ABS captures most of the </w:t>
      </w:r>
      <w:r w:rsidRPr="0030233D">
        <w:t xml:space="preserve">export revenue </w:t>
      </w:r>
      <w:r>
        <w:t>generated by the Australian international education sector, some aspects are not currently included:</w:t>
      </w:r>
    </w:p>
    <w:p w14:paraId="1621C6DF" w14:textId="77777777" w:rsidR="00705599" w:rsidRDefault="00705599" w:rsidP="00705599">
      <w:pPr>
        <w:pStyle w:val="Bullet1"/>
      </w:pPr>
      <w:r>
        <w:t>revenue of offshore campuses (mode 3); and</w:t>
      </w:r>
    </w:p>
    <w:p w14:paraId="28D72344" w14:textId="77777777" w:rsidR="00705599" w:rsidRDefault="00705599" w:rsidP="00705599">
      <w:pPr>
        <w:pStyle w:val="Bullet1"/>
      </w:pPr>
      <w:proofErr w:type="gramStart"/>
      <w:r>
        <w:t>expenditure</w:t>
      </w:r>
      <w:proofErr w:type="gramEnd"/>
      <w:r>
        <w:t xml:space="preserve"> on fees and living expenses by </w:t>
      </w:r>
      <w:proofErr w:type="spellStart"/>
      <w:r>
        <w:t>ELICOS</w:t>
      </w:r>
      <w:proofErr w:type="spellEnd"/>
      <w:r>
        <w:t xml:space="preserve"> students on non-student visas.</w:t>
      </w:r>
    </w:p>
    <w:p w14:paraId="6070C1C4" w14:textId="77777777" w:rsidR="00705599" w:rsidRDefault="00F31EF7" w:rsidP="00705599">
      <w:pPr>
        <w:pStyle w:val="BodyText"/>
      </w:pPr>
      <w:r>
        <w:t>Furthermore, it should be noted that export revenue for</w:t>
      </w:r>
      <w:r w:rsidR="00705599">
        <w:t xml:space="preserve"> mode</w:t>
      </w:r>
      <w:r>
        <w:t>s</w:t>
      </w:r>
      <w:r w:rsidR="00705599">
        <w:t xml:space="preserve"> 1 and 4 </w:t>
      </w:r>
      <w:r>
        <w:t>are based on survey responses. As a result,</w:t>
      </w:r>
      <w:r w:rsidR="00705599">
        <w:t xml:space="preserve"> the estimates may be subject to sampling error – wherein the sampled institutions are not representative of the broader population. </w:t>
      </w:r>
    </w:p>
    <w:p w14:paraId="60C662C7" w14:textId="77777777" w:rsidR="008D579A" w:rsidRDefault="008D579A" w:rsidP="00705599">
      <w:pPr>
        <w:pStyle w:val="BodyText"/>
      </w:pPr>
      <w:r>
        <w:fldChar w:fldCharType="begin"/>
      </w:r>
      <w:r>
        <w:instrText xml:space="preserve"> REF _Ref438643541 \r \h </w:instrText>
      </w:r>
      <w:r>
        <w:fldChar w:fldCharType="separate"/>
      </w:r>
      <w:r w:rsidR="00F03FA0">
        <w:t>Figure 2.1</w:t>
      </w:r>
      <w:r>
        <w:fldChar w:fldCharType="end"/>
      </w:r>
      <w:r>
        <w:t xml:space="preserve"> provides a summary of the different modes of delivery. The boxes above the blue arrow indicate modes which are delivered to students overseas while the boxes below the green arrow indicate modes which involve students physically coming to Australia to study.</w:t>
      </w:r>
    </w:p>
    <w:p w14:paraId="35C85FAF" w14:textId="77777777" w:rsidR="008D579A" w:rsidRDefault="008D579A" w:rsidP="00163EA3">
      <w:pPr>
        <w:pStyle w:val="CaptionFigure"/>
        <w:outlineLvl w:val="0"/>
      </w:pPr>
      <w:bookmarkStart w:id="42" w:name="_Ref438643541"/>
      <w:bookmarkStart w:id="43" w:name="_Toc450809294"/>
      <w:r>
        <w:lastRenderedPageBreak/>
        <w:t>: Different modes of international education delivery</w:t>
      </w:r>
      <w:bookmarkEnd w:id="42"/>
      <w:bookmarkEnd w:id="43"/>
    </w:p>
    <w:p w14:paraId="630B8BEC" w14:textId="77777777" w:rsidR="008D579A" w:rsidRDefault="008D579A" w:rsidP="008D579A">
      <w:pPr>
        <w:pStyle w:val="BodyText"/>
        <w:jc w:val="center"/>
      </w:pPr>
      <w:r w:rsidRPr="006E5B03">
        <w:rPr>
          <w:noProof/>
          <w:lang w:eastAsia="en-AU"/>
        </w:rPr>
        <w:drawing>
          <wp:inline distT="0" distB="0" distL="0" distR="0" wp14:anchorId="4D461B6C" wp14:editId="34B08295">
            <wp:extent cx="3371850" cy="3028950"/>
            <wp:effectExtent l="0" t="0" r="6350" b="0"/>
            <wp:docPr id="14" name="Picture 14" descr="The table shows the export value of international education captured by Australian Bureau of Statistics by different mode and category in financial year 2014-15." title="Table 2.1 Export value of international education captured by ABS, 2014–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71850" cy="3028950"/>
                    </a:xfrm>
                    <a:prstGeom prst="rect">
                      <a:avLst/>
                    </a:prstGeom>
                    <a:noFill/>
                    <a:ln>
                      <a:noFill/>
                    </a:ln>
                  </pic:spPr>
                </pic:pic>
              </a:graphicData>
            </a:graphic>
          </wp:inline>
        </w:drawing>
      </w:r>
    </w:p>
    <w:p w14:paraId="4D03C449" w14:textId="77777777" w:rsidR="008D579A" w:rsidRDefault="008D579A" w:rsidP="00163EA3">
      <w:pPr>
        <w:pStyle w:val="Source"/>
        <w:outlineLvl w:val="0"/>
      </w:pPr>
      <w:r>
        <w:t xml:space="preserve">Source: Deloitte Access Economics. </w:t>
      </w:r>
    </w:p>
    <w:p w14:paraId="248DFF69" w14:textId="77777777" w:rsidR="008D579A" w:rsidRDefault="008D579A" w:rsidP="00705599">
      <w:pPr>
        <w:pStyle w:val="BodyText"/>
      </w:pPr>
    </w:p>
    <w:p w14:paraId="768C1F48" w14:textId="77777777" w:rsidR="00705599" w:rsidRDefault="00705599" w:rsidP="00163EA3">
      <w:pPr>
        <w:pStyle w:val="Heading2"/>
        <w:rPr>
          <w:lang w:eastAsia="en-AU"/>
        </w:rPr>
      </w:pPr>
      <w:bookmarkStart w:id="44" w:name="_Toc436922201"/>
      <w:bookmarkStart w:id="45" w:name="_Toc450809234"/>
      <w:proofErr w:type="spellStart"/>
      <w:r>
        <w:rPr>
          <w:lang w:eastAsia="en-AU"/>
        </w:rPr>
        <w:t>ELICOS</w:t>
      </w:r>
      <w:proofErr w:type="spellEnd"/>
      <w:r>
        <w:rPr>
          <w:lang w:eastAsia="en-AU"/>
        </w:rPr>
        <w:t xml:space="preserve"> students on non-student visas</w:t>
      </w:r>
      <w:bookmarkEnd w:id="44"/>
      <w:bookmarkEnd w:id="45"/>
    </w:p>
    <w:p w14:paraId="7898F993" w14:textId="77777777" w:rsidR="00705599" w:rsidRDefault="00705599" w:rsidP="00705599">
      <w:pPr>
        <w:pStyle w:val="BodyText"/>
      </w:pPr>
      <w:r>
        <w:t xml:space="preserve">This section will estimate the revenue from </w:t>
      </w:r>
      <w:proofErr w:type="spellStart"/>
      <w:r>
        <w:t>ELICOS</w:t>
      </w:r>
      <w:proofErr w:type="spellEnd"/>
      <w:r>
        <w:t xml:space="preserve"> students on non-student visas (</w:t>
      </w:r>
      <w:proofErr w:type="spellStart"/>
      <w:r>
        <w:t>NSV</w:t>
      </w:r>
      <w:proofErr w:type="spellEnd"/>
      <w:r>
        <w:t xml:space="preserve">) over the financial year 2014-15, which is not captured under education related personal travel. </w:t>
      </w:r>
    </w:p>
    <w:p w14:paraId="1FAB7650" w14:textId="77777777" w:rsidR="00705599" w:rsidRPr="00A329B2" w:rsidRDefault="00705599" w:rsidP="00705599">
      <w:pPr>
        <w:pStyle w:val="BodyText"/>
      </w:pPr>
      <w:r w:rsidRPr="00A329B2">
        <w:t xml:space="preserve">The ABS data series (catalogue number 5368.005) includes the expenditure of onshore international </w:t>
      </w:r>
      <w:proofErr w:type="spellStart"/>
      <w:r w:rsidRPr="00A329B2">
        <w:t>ELICOS</w:t>
      </w:r>
      <w:proofErr w:type="spellEnd"/>
      <w:r w:rsidRPr="00A329B2">
        <w:t xml:space="preserve"> students holding 570 </w:t>
      </w:r>
      <w:proofErr w:type="spellStart"/>
      <w:r w:rsidRPr="00A329B2">
        <w:t>ELICOS</w:t>
      </w:r>
      <w:proofErr w:type="spellEnd"/>
      <w:r w:rsidRPr="00A329B2">
        <w:t xml:space="preserve"> student visas</w:t>
      </w:r>
      <w:r w:rsidR="00A26AD4">
        <w:t xml:space="preserve"> (</w:t>
      </w:r>
      <w:proofErr w:type="spellStart"/>
      <w:r w:rsidR="00A26AD4">
        <w:t>SV</w:t>
      </w:r>
      <w:proofErr w:type="spellEnd"/>
      <w:r w:rsidR="00A26AD4">
        <w:t>)</w:t>
      </w:r>
      <w:r w:rsidRPr="00A329B2">
        <w:t xml:space="preserve"> on fees, and goods and services, under education related personal travel. In 2014-15, $1,001 million in total revenue was received from </w:t>
      </w:r>
      <w:proofErr w:type="spellStart"/>
      <w:r w:rsidRPr="00A329B2">
        <w:t>SV</w:t>
      </w:r>
      <w:proofErr w:type="spellEnd"/>
      <w:r w:rsidRPr="00A329B2">
        <w:t xml:space="preserve"> </w:t>
      </w:r>
      <w:proofErr w:type="spellStart"/>
      <w:r w:rsidRPr="00A329B2">
        <w:t>ELICOS</w:t>
      </w:r>
      <w:proofErr w:type="spellEnd"/>
      <w:r w:rsidRPr="00A329B2">
        <w:t xml:space="preserve"> students. Of this, 54% is attributable to fees ($544 million), with the remaining 46% ($457 million) attributable to goods and services. </w:t>
      </w:r>
    </w:p>
    <w:p w14:paraId="0FE6A2EC" w14:textId="1DA0F296" w:rsidR="00866F2A" w:rsidRDefault="00705599" w:rsidP="00705599">
      <w:pPr>
        <w:pStyle w:val="BodyText"/>
      </w:pPr>
      <w:r>
        <w:t xml:space="preserve">However, unlike students in other education sectors who are required to hold student visas to be admitted onshore for study, students enrolled in </w:t>
      </w:r>
      <w:proofErr w:type="spellStart"/>
      <w:r>
        <w:t>ELICOS</w:t>
      </w:r>
      <w:proofErr w:type="spellEnd"/>
      <w:r>
        <w:t xml:space="preserve"> may hold non-student visas, including visitor visas and working holiday maker (</w:t>
      </w:r>
      <w:proofErr w:type="spellStart"/>
      <w:r>
        <w:t>WHM</w:t>
      </w:r>
      <w:proofErr w:type="spellEnd"/>
      <w:r>
        <w:t>) visas. Their expenditure on fees and living expenses is currently being attributed to personal related travel by the ABS.</w:t>
      </w:r>
    </w:p>
    <w:p w14:paraId="428726A7" w14:textId="77777777" w:rsidR="00866F2A" w:rsidRDefault="00866F2A">
      <w:r>
        <w:br w:type="page"/>
      </w:r>
    </w:p>
    <w:p w14:paraId="7EBD938C" w14:textId="77777777" w:rsidR="00866F2A" w:rsidRPr="002D0A7C" w:rsidRDefault="00866F2A" w:rsidP="00163EA3">
      <w:pPr>
        <w:pStyle w:val="HeadingC"/>
        <w:pBdr>
          <w:top w:val="single" w:sz="4" w:space="1" w:color="auto"/>
          <w:left w:val="single" w:sz="4" w:space="4" w:color="auto"/>
          <w:bottom w:val="single" w:sz="4" w:space="1" w:color="auto"/>
          <w:right w:val="single" w:sz="4" w:space="4" w:color="auto"/>
        </w:pBdr>
        <w:shd w:val="clear" w:color="auto" w:fill="B0CAFF" w:themeFill="text2" w:themeFillTint="33"/>
        <w:jc w:val="center"/>
        <w:outlineLvl w:val="0"/>
      </w:pPr>
      <w:proofErr w:type="spellStart"/>
      <w:r>
        <w:lastRenderedPageBreak/>
        <w:t>ELICOS</w:t>
      </w:r>
      <w:proofErr w:type="spellEnd"/>
      <w:r>
        <w:t xml:space="preserve"> students on non-student visas</w:t>
      </w:r>
      <w:r w:rsidRPr="002D0A7C">
        <w:t xml:space="preserve"> - key findings</w:t>
      </w:r>
    </w:p>
    <w:p w14:paraId="49D250E7" w14:textId="77777777" w:rsidR="00866F2A" w:rsidRDefault="00866F2A" w:rsidP="00866F2A">
      <w:pPr>
        <w:pStyle w:val="BodyText"/>
        <w:pBdr>
          <w:top w:val="single" w:sz="4" w:space="1" w:color="auto"/>
          <w:left w:val="single" w:sz="4" w:space="4" w:color="auto"/>
          <w:bottom w:val="single" w:sz="4" w:space="1" w:color="auto"/>
          <w:right w:val="single" w:sz="4" w:space="4" w:color="auto"/>
        </w:pBdr>
        <w:shd w:val="clear" w:color="auto" w:fill="B0CAFF" w:themeFill="text2" w:themeFillTint="33"/>
      </w:pPr>
      <w:r w:rsidRPr="002D0A7C">
        <w:t xml:space="preserve">Deloitte Access Economics estimates </w:t>
      </w:r>
      <w:r w:rsidRPr="00EA1B94">
        <w:t xml:space="preserve">an additional $205 million in export revenue can be attributed to </w:t>
      </w:r>
      <w:proofErr w:type="spellStart"/>
      <w:r w:rsidRPr="00EA1B94">
        <w:t>ELICOS</w:t>
      </w:r>
      <w:proofErr w:type="spellEnd"/>
      <w:r w:rsidRPr="00EA1B94">
        <w:t xml:space="preserve"> students</w:t>
      </w:r>
      <w:r>
        <w:t xml:space="preserve"> on non-student visas in 2014-15, comprising:</w:t>
      </w:r>
    </w:p>
    <w:p w14:paraId="2E5EC135" w14:textId="77777777" w:rsidR="00866F2A" w:rsidRDefault="00866F2A" w:rsidP="00866F2A">
      <w:pPr>
        <w:pStyle w:val="Bullet1"/>
        <w:pBdr>
          <w:top w:val="single" w:sz="4" w:space="1" w:color="auto"/>
          <w:left w:val="single" w:sz="4" w:space="4" w:color="auto"/>
          <w:bottom w:val="single" w:sz="4" w:space="1" w:color="auto"/>
          <w:right w:val="single" w:sz="4" w:space="4" w:color="auto"/>
        </w:pBdr>
        <w:shd w:val="clear" w:color="auto" w:fill="B0CAFF" w:themeFill="text2" w:themeFillTint="33"/>
      </w:pPr>
      <w:r w:rsidRPr="00EA1B94">
        <w:t>$112 million</w:t>
      </w:r>
      <w:r>
        <w:t xml:space="preserve"> in education fees;</w:t>
      </w:r>
      <w:r w:rsidRPr="00EA1B94">
        <w:t xml:space="preserve"> and </w:t>
      </w:r>
    </w:p>
    <w:p w14:paraId="2E2537E2" w14:textId="0426CB79" w:rsidR="00866F2A" w:rsidRDefault="00866F2A" w:rsidP="00866F2A">
      <w:pPr>
        <w:pStyle w:val="Bullet1"/>
        <w:pBdr>
          <w:top w:val="single" w:sz="4" w:space="1" w:color="auto"/>
          <w:left w:val="single" w:sz="4" w:space="4" w:color="auto"/>
          <w:bottom w:val="single" w:sz="4" w:space="1" w:color="auto"/>
          <w:right w:val="single" w:sz="4" w:space="4" w:color="auto"/>
        </w:pBdr>
        <w:shd w:val="clear" w:color="auto" w:fill="B0CAFF" w:themeFill="text2" w:themeFillTint="33"/>
      </w:pPr>
      <w:r>
        <w:t xml:space="preserve">$93 million in </w:t>
      </w:r>
      <w:r w:rsidRPr="00EA1B94">
        <w:t>living expenses.</w:t>
      </w:r>
    </w:p>
    <w:p w14:paraId="6D7E2FCF" w14:textId="77777777" w:rsidR="00705599" w:rsidRPr="00C212B2" w:rsidRDefault="00705599" w:rsidP="00705599">
      <w:pPr>
        <w:pStyle w:val="BodyText"/>
        <w:rPr>
          <w:lang w:eastAsia="en-AU"/>
        </w:rPr>
      </w:pPr>
      <w:r>
        <w:t>The methodology, assumptions, and limitations behind the estimated revenue figure are described in the sections below.</w:t>
      </w:r>
    </w:p>
    <w:p w14:paraId="1CFD023A" w14:textId="77777777" w:rsidR="00705599" w:rsidRDefault="00705599" w:rsidP="00163EA3">
      <w:pPr>
        <w:pStyle w:val="Heading3"/>
      </w:pPr>
      <w:r>
        <w:t>Background</w:t>
      </w:r>
    </w:p>
    <w:p w14:paraId="314B1F72" w14:textId="77777777" w:rsidR="00705599" w:rsidRDefault="00705599" w:rsidP="00705599">
      <w:pPr>
        <w:pStyle w:val="BodyText"/>
      </w:pPr>
      <w:r w:rsidRPr="003B260D">
        <w:t xml:space="preserve">The </w:t>
      </w:r>
      <w:proofErr w:type="spellStart"/>
      <w:r w:rsidRPr="003B260D">
        <w:t>ELICOS</w:t>
      </w:r>
      <w:proofErr w:type="spellEnd"/>
      <w:r w:rsidRPr="003B260D">
        <w:t xml:space="preserve"> sector is an important part of Australian international education, </w:t>
      </w:r>
      <w:r>
        <w:t>accounting for</w:t>
      </w:r>
      <w:r w:rsidRPr="003B260D">
        <w:t xml:space="preserve"> 137,469 international enrolments from students on student visas in 2014.</w:t>
      </w:r>
      <w:r w:rsidRPr="003B260D">
        <w:rPr>
          <w:rStyle w:val="FootnoteReference"/>
        </w:rPr>
        <w:footnoteReference w:id="2"/>
      </w:r>
      <w:r w:rsidRPr="003B260D">
        <w:t xml:space="preserve"> While the sector had experienced a decline in enrolments over the 2009 to 2011 period, falling from a high of 138,450 enrolments to 95,252 enrolments, the sector has since been in recovery, averaging a growth rate of 13% per annum over the 2011 to 2014 period</w:t>
      </w:r>
      <w:r>
        <w:t xml:space="preserve"> (</w:t>
      </w:r>
      <w:proofErr w:type="spellStart"/>
      <w:r w:rsidRPr="00EA1B94">
        <w:t>DET</w:t>
      </w:r>
      <w:proofErr w:type="spellEnd"/>
      <w:r w:rsidRPr="00EA1B94">
        <w:t xml:space="preserve">, </w:t>
      </w:r>
      <w:proofErr w:type="spellStart"/>
      <w:r w:rsidRPr="00EA1B94">
        <w:t>2015</w:t>
      </w:r>
      <w:r w:rsidRPr="00E4503E">
        <w:t>a</w:t>
      </w:r>
      <w:proofErr w:type="spellEnd"/>
      <w:r w:rsidRPr="00E4503E">
        <w:t>).</w:t>
      </w:r>
    </w:p>
    <w:p w14:paraId="2A0230FB" w14:textId="77777777" w:rsidR="00705599" w:rsidRDefault="00705599" w:rsidP="00705599">
      <w:pPr>
        <w:pStyle w:val="BodyText"/>
      </w:pPr>
      <w:r>
        <w:t xml:space="preserve">The sector is also important for its linkages to the other sectors of international education. </w:t>
      </w:r>
      <w:proofErr w:type="spellStart"/>
      <w:r w:rsidRPr="00EA1B94">
        <w:t>DET</w:t>
      </w:r>
      <w:proofErr w:type="spellEnd"/>
      <w:r w:rsidRPr="00EA1B94">
        <w:t xml:space="preserve"> (</w:t>
      </w:r>
      <w:proofErr w:type="spellStart"/>
      <w:r w:rsidRPr="00EA1B94">
        <w:t>2015b</w:t>
      </w:r>
      <w:proofErr w:type="spellEnd"/>
      <w:r w:rsidRPr="00EA1B94">
        <w:t>)</w:t>
      </w:r>
      <w:r w:rsidRPr="00E4503E">
        <w:t xml:space="preserve"> finds</w:t>
      </w:r>
      <w:r>
        <w:t xml:space="preserve"> that of the students commencing Higher Education and VET studies in 2014, 29% and 36% of the respective cohorts were previously enrolled in </w:t>
      </w:r>
      <w:proofErr w:type="spellStart"/>
      <w:r>
        <w:t>ELICOS</w:t>
      </w:r>
      <w:proofErr w:type="spellEnd"/>
      <w:r>
        <w:t xml:space="preserve"> courses. Consequently, enrolments in the </w:t>
      </w:r>
      <w:proofErr w:type="spellStart"/>
      <w:r>
        <w:t>ELICOS</w:t>
      </w:r>
      <w:proofErr w:type="spellEnd"/>
      <w:r>
        <w:t xml:space="preserve"> sector are often used as leading indicators for future </w:t>
      </w:r>
      <w:r w:rsidR="00F31EF7">
        <w:t xml:space="preserve">international </w:t>
      </w:r>
      <w:r>
        <w:t xml:space="preserve">commencements in the tertiary education sectors. </w:t>
      </w:r>
    </w:p>
    <w:p w14:paraId="311DDB7C" w14:textId="77777777" w:rsidR="00705599" w:rsidRDefault="00705599" w:rsidP="00705599">
      <w:pPr>
        <w:pStyle w:val="BodyText"/>
      </w:pPr>
      <w:r>
        <w:t xml:space="preserve">While progression to further studies is an important driver for many </w:t>
      </w:r>
      <w:proofErr w:type="spellStart"/>
      <w:r>
        <w:t>ELICOS</w:t>
      </w:r>
      <w:proofErr w:type="spellEnd"/>
      <w:r>
        <w:t xml:space="preserve"> students, there are also many other motivations for students choosing to study </w:t>
      </w:r>
      <w:proofErr w:type="spellStart"/>
      <w:r>
        <w:t>ELICOS</w:t>
      </w:r>
      <w:proofErr w:type="spellEnd"/>
      <w:r>
        <w:t xml:space="preserve"> courses in Australia. An English Australia survey (2012) found that while 56% of respondents were preparing for further studies, over 30% of </w:t>
      </w:r>
      <w:proofErr w:type="spellStart"/>
      <w:r>
        <w:t>ELICOS</w:t>
      </w:r>
      <w:proofErr w:type="spellEnd"/>
      <w:r>
        <w:t xml:space="preserve"> students studied to improve either ‘future employment opportunities’ or ‘current employment’ prospects. A further 10% had either personal interest in learning a new language or wanted to experience living in a different country.  </w:t>
      </w:r>
    </w:p>
    <w:p w14:paraId="6179F6C4" w14:textId="77777777" w:rsidR="00705599" w:rsidRDefault="00705599" w:rsidP="00705599">
      <w:pPr>
        <w:pStyle w:val="BodyText"/>
      </w:pPr>
      <w:r>
        <w:t xml:space="preserve">Consultations with industry stakeholders similarly revealed that there is no single driver for </w:t>
      </w:r>
      <w:proofErr w:type="spellStart"/>
      <w:r>
        <w:t>ELICOS</w:t>
      </w:r>
      <w:proofErr w:type="spellEnd"/>
      <w:r>
        <w:t xml:space="preserve"> students studying in Australia on non-student visas. While some students are visiting Australia with the primary aim of tourism, studying English either for fun or to gain a better understanding of the culture, as is popular among</w:t>
      </w:r>
      <w:r w:rsidRPr="00AE2ABD">
        <w:t xml:space="preserve"> </w:t>
      </w:r>
      <w:r>
        <w:t xml:space="preserve">students from European and South American source markets, it is by no means the sole driver. </w:t>
      </w:r>
    </w:p>
    <w:p w14:paraId="1EFCAB6D" w14:textId="77777777" w:rsidR="00705599" w:rsidRPr="003245FE" w:rsidRDefault="00F31EF7" w:rsidP="00705599">
      <w:pPr>
        <w:pStyle w:val="BodyText"/>
      </w:pPr>
      <w:r>
        <w:t>Stakeholders</w:t>
      </w:r>
      <w:r w:rsidR="00705599">
        <w:t xml:space="preserve"> also noted that some </w:t>
      </w:r>
      <w:proofErr w:type="spellStart"/>
      <w:r w:rsidR="00705599">
        <w:t>WHM</w:t>
      </w:r>
      <w:proofErr w:type="spellEnd"/>
      <w:r w:rsidR="00705599">
        <w:t xml:space="preserve"> visa holders who find their English to be inadequate for immediate work may choose to enrol in an </w:t>
      </w:r>
      <w:proofErr w:type="spellStart"/>
      <w:r w:rsidR="00705599">
        <w:t>ELICOS</w:t>
      </w:r>
      <w:proofErr w:type="spellEnd"/>
      <w:r w:rsidR="00705599">
        <w:t xml:space="preserve"> course to improve their employment prospects, while some pathway students find it easier to initially enter Australia on a </w:t>
      </w:r>
      <w:proofErr w:type="spellStart"/>
      <w:r w:rsidR="00705599">
        <w:t>NSV</w:t>
      </w:r>
      <w:proofErr w:type="spellEnd"/>
      <w:r w:rsidR="00705599">
        <w:t xml:space="preserve"> visa. They can then use the </w:t>
      </w:r>
      <w:proofErr w:type="spellStart"/>
      <w:r w:rsidR="00705599">
        <w:t>ELICOS</w:t>
      </w:r>
      <w:proofErr w:type="spellEnd"/>
      <w:r w:rsidR="00705599">
        <w:t xml:space="preserve"> course as a trial for deciding whether to pursue future studies in Australia.</w:t>
      </w:r>
      <w:r w:rsidR="00705599" w:rsidRPr="0098493F">
        <w:t xml:space="preserve"> </w:t>
      </w:r>
      <w:r w:rsidR="00705599" w:rsidRPr="003C4F3E">
        <w:t>Austrade</w:t>
      </w:r>
      <w:r w:rsidR="00705599">
        <w:t xml:space="preserve"> data on student visa </w:t>
      </w:r>
      <w:r w:rsidR="00705599" w:rsidRPr="00E4503E">
        <w:t xml:space="preserve">grants </w:t>
      </w:r>
      <w:r w:rsidR="00705599" w:rsidRPr="00EA1B94">
        <w:t>(2014),</w:t>
      </w:r>
      <w:r w:rsidR="00705599" w:rsidRPr="00E4503E">
        <w:t xml:space="preserve"> finds that over</w:t>
      </w:r>
      <w:r w:rsidR="00705599" w:rsidRPr="00261974">
        <w:t xml:space="preserve"> 14% of all student visa grantees in 2013-14 last held a visitor or </w:t>
      </w:r>
      <w:proofErr w:type="spellStart"/>
      <w:r w:rsidR="00705599" w:rsidRPr="00261974">
        <w:t>WHM</w:t>
      </w:r>
      <w:proofErr w:type="spellEnd"/>
      <w:r w:rsidR="00705599" w:rsidRPr="00261974">
        <w:t xml:space="preserve"> visa</w:t>
      </w:r>
      <w:r w:rsidR="00705599">
        <w:t xml:space="preserve">. Although </w:t>
      </w:r>
      <w:r w:rsidR="00705599" w:rsidRPr="0098493F">
        <w:t xml:space="preserve">not all students would have taken an </w:t>
      </w:r>
      <w:proofErr w:type="spellStart"/>
      <w:r w:rsidR="00705599" w:rsidRPr="0098493F">
        <w:t>ELICOS</w:t>
      </w:r>
      <w:proofErr w:type="spellEnd"/>
      <w:r w:rsidR="00705599" w:rsidRPr="0098493F">
        <w:t xml:space="preserve"> course during their </w:t>
      </w:r>
      <w:r w:rsidR="00705599">
        <w:t>initial</w:t>
      </w:r>
      <w:r w:rsidR="00705599" w:rsidRPr="0098493F">
        <w:t xml:space="preserve"> stay in Australia, it </w:t>
      </w:r>
      <w:r w:rsidR="00705599">
        <w:t xml:space="preserve">supports the evidence </w:t>
      </w:r>
      <w:r>
        <w:t xml:space="preserve">from the consultations </w:t>
      </w:r>
      <w:r w:rsidR="00705599">
        <w:t xml:space="preserve">that some students would prefer to </w:t>
      </w:r>
      <w:r w:rsidR="00705599">
        <w:lastRenderedPageBreak/>
        <w:t xml:space="preserve">experience the Australian education system and lifestyle prior to committing to further studies. </w:t>
      </w:r>
    </w:p>
    <w:p w14:paraId="5E492F7D" w14:textId="77777777" w:rsidR="00705599" w:rsidRDefault="00921041" w:rsidP="00163EA3">
      <w:pPr>
        <w:pStyle w:val="Heading3"/>
      </w:pPr>
      <w:r>
        <w:t xml:space="preserve">Estimates of </w:t>
      </w:r>
      <w:proofErr w:type="spellStart"/>
      <w:r>
        <w:t>NSV</w:t>
      </w:r>
      <w:proofErr w:type="spellEnd"/>
      <w:r>
        <w:t xml:space="preserve"> </w:t>
      </w:r>
      <w:proofErr w:type="spellStart"/>
      <w:r>
        <w:t>ELICOS</w:t>
      </w:r>
      <w:proofErr w:type="spellEnd"/>
      <w:r>
        <w:t xml:space="preserve"> revenue</w:t>
      </w:r>
    </w:p>
    <w:p w14:paraId="38AFC5C6" w14:textId="77777777" w:rsidR="00705599" w:rsidRDefault="00705599" w:rsidP="00705599">
      <w:pPr>
        <w:pStyle w:val="BodyText"/>
      </w:pPr>
      <w:r>
        <w:t xml:space="preserve">While there is annual data on the </w:t>
      </w:r>
      <w:proofErr w:type="spellStart"/>
      <w:r>
        <w:t>SV</w:t>
      </w:r>
      <w:proofErr w:type="spellEnd"/>
      <w:r>
        <w:t xml:space="preserve"> </w:t>
      </w:r>
      <w:proofErr w:type="spellStart"/>
      <w:r>
        <w:t>ELICOS</w:t>
      </w:r>
      <w:proofErr w:type="spellEnd"/>
      <w:r>
        <w:t xml:space="preserve"> market, with student </w:t>
      </w:r>
      <w:r w:rsidRPr="00EB0D0D">
        <w:t>enrolment</w:t>
      </w:r>
      <w:r>
        <w:t xml:space="preserve"> data from the </w:t>
      </w:r>
      <w:proofErr w:type="spellStart"/>
      <w:r>
        <w:t>DET</w:t>
      </w:r>
      <w:proofErr w:type="spellEnd"/>
      <w:r>
        <w:t xml:space="preserve"> and revenue from the ABS, there is limited data on the likely size and characteristics of the </w:t>
      </w:r>
      <w:proofErr w:type="spellStart"/>
      <w:r>
        <w:t>NSV</w:t>
      </w:r>
      <w:proofErr w:type="spellEnd"/>
      <w:r>
        <w:t xml:space="preserve"> </w:t>
      </w:r>
      <w:proofErr w:type="spellStart"/>
      <w:r>
        <w:t>ELICOS</w:t>
      </w:r>
      <w:proofErr w:type="spellEnd"/>
      <w:r>
        <w:t xml:space="preserve"> market. The annual </w:t>
      </w:r>
      <w:r w:rsidRPr="00EA1B94">
        <w:rPr>
          <w:i/>
        </w:rPr>
        <w:t xml:space="preserve">English Australia Survey of Major </w:t>
      </w:r>
      <w:proofErr w:type="spellStart"/>
      <w:r w:rsidRPr="00EA1B94">
        <w:rPr>
          <w:i/>
        </w:rPr>
        <w:t>ELICOS</w:t>
      </w:r>
      <w:proofErr w:type="spellEnd"/>
      <w:r w:rsidRPr="00EA1B94">
        <w:rPr>
          <w:i/>
        </w:rPr>
        <w:t xml:space="preserve"> Regional Markets</w:t>
      </w:r>
      <w:r w:rsidRPr="00A54E65">
        <w:t xml:space="preserve"> </w:t>
      </w:r>
      <w:r>
        <w:t xml:space="preserve">is </w:t>
      </w:r>
      <w:r w:rsidRPr="00A54E65">
        <w:t>the</w:t>
      </w:r>
      <w:r>
        <w:t xml:space="preserve"> most up-to-date source of information with the widest coverage.</w:t>
      </w:r>
    </w:p>
    <w:p w14:paraId="4A42FDF8" w14:textId="77777777" w:rsidR="00705599" w:rsidRDefault="00956BCD" w:rsidP="00705599">
      <w:pPr>
        <w:pStyle w:val="BodyText"/>
      </w:pPr>
      <w:r>
        <w:t>The English Australia (2015) s</w:t>
      </w:r>
      <w:r w:rsidR="00705599">
        <w:t xml:space="preserve">urvey of the </w:t>
      </w:r>
      <w:proofErr w:type="spellStart"/>
      <w:r w:rsidR="00705599">
        <w:t>ELICOS</w:t>
      </w:r>
      <w:proofErr w:type="spellEnd"/>
      <w:r w:rsidR="00705599">
        <w:t xml:space="preserve"> market finds that of responding colleges, enrolments from </w:t>
      </w:r>
      <w:proofErr w:type="spellStart"/>
      <w:r w:rsidR="00705599">
        <w:t>SV</w:t>
      </w:r>
      <w:proofErr w:type="spellEnd"/>
      <w:r w:rsidR="00705599">
        <w:t xml:space="preserve"> holders made up 66% of total enrolments in 2014, while those on visitor visas and </w:t>
      </w:r>
      <w:proofErr w:type="spellStart"/>
      <w:r w:rsidR="00705599">
        <w:t>WHM</w:t>
      </w:r>
      <w:proofErr w:type="spellEnd"/>
      <w:r w:rsidR="00705599">
        <w:t xml:space="preserve"> visas constituted 19% and 11% of enrolments respectively (</w:t>
      </w:r>
      <w:r>
        <w:fldChar w:fldCharType="begin"/>
      </w:r>
      <w:r>
        <w:instrText xml:space="preserve"> REF _Ref437334311 \r \h </w:instrText>
      </w:r>
      <w:r>
        <w:fldChar w:fldCharType="separate"/>
      </w:r>
      <w:r w:rsidR="00F03FA0">
        <w:t>Chart 2.1</w:t>
      </w:r>
      <w:r>
        <w:fldChar w:fldCharType="end"/>
      </w:r>
      <w:r w:rsidR="00705599">
        <w:t>).</w:t>
      </w:r>
      <w:r w:rsidR="00705599">
        <w:rPr>
          <w:rStyle w:val="FootnoteReference"/>
        </w:rPr>
        <w:footnoteReference w:id="3"/>
      </w:r>
      <w:r w:rsidR="00705599">
        <w:t xml:space="preserve"> </w:t>
      </w:r>
    </w:p>
    <w:p w14:paraId="0715E00D" w14:textId="77777777" w:rsidR="00705599" w:rsidRPr="00E777B3" w:rsidRDefault="00705599" w:rsidP="00163EA3">
      <w:pPr>
        <w:pStyle w:val="CaptionChart"/>
        <w:outlineLvl w:val="0"/>
      </w:pPr>
      <w:bookmarkStart w:id="46" w:name="_Ref437334311"/>
      <w:bookmarkStart w:id="47" w:name="_Toc450809266"/>
      <w:r>
        <w:t xml:space="preserve">: </w:t>
      </w:r>
      <w:proofErr w:type="spellStart"/>
      <w:r>
        <w:t>ELICOS</w:t>
      </w:r>
      <w:proofErr w:type="spellEnd"/>
      <w:r>
        <w:t xml:space="preserve"> enrolments by visa type, 2014</w:t>
      </w:r>
      <w:bookmarkEnd w:id="46"/>
      <w:bookmarkEnd w:id="47"/>
    </w:p>
    <w:p w14:paraId="6D40F4BD" w14:textId="77777777" w:rsidR="00705599" w:rsidRDefault="00705599" w:rsidP="00705599">
      <w:r w:rsidRPr="009B39B5">
        <w:rPr>
          <w:noProof/>
          <w:lang w:eastAsia="en-AU"/>
        </w:rPr>
        <w:drawing>
          <wp:inline distT="0" distB="0" distL="0" distR="0" wp14:anchorId="55653429" wp14:editId="6AA52D22">
            <wp:extent cx="4572153" cy="2447925"/>
            <wp:effectExtent l="0" t="0" r="0" b="0"/>
            <wp:docPr id="46" name="Picture 46" descr="The figure shows a summary of the different modes of international education delivery." title="Figure 2.1: Different modes of international education deli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0447" cy="2447012"/>
                    </a:xfrm>
                    <a:prstGeom prst="rect">
                      <a:avLst/>
                    </a:prstGeom>
                    <a:noFill/>
                    <a:ln>
                      <a:noFill/>
                    </a:ln>
                  </pic:spPr>
                </pic:pic>
              </a:graphicData>
            </a:graphic>
          </wp:inline>
        </w:drawing>
      </w:r>
    </w:p>
    <w:p w14:paraId="6FF9E254" w14:textId="77777777" w:rsidR="00705599" w:rsidRDefault="00705599" w:rsidP="00163EA3">
      <w:pPr>
        <w:pStyle w:val="Source"/>
        <w:outlineLvl w:val="0"/>
      </w:pPr>
      <w:r>
        <w:t>Source: English Australia, 2015</w:t>
      </w:r>
    </w:p>
    <w:p w14:paraId="606CB177" w14:textId="77777777" w:rsidR="00705599" w:rsidRDefault="00705599" w:rsidP="00705599">
      <w:pPr>
        <w:pStyle w:val="BodyText"/>
      </w:pPr>
      <w:r>
        <w:t xml:space="preserve">The English Australia survey also shows that </w:t>
      </w:r>
      <w:proofErr w:type="spellStart"/>
      <w:r>
        <w:t>NSV</w:t>
      </w:r>
      <w:proofErr w:type="spellEnd"/>
      <w:r>
        <w:t xml:space="preserve"> students have distinct profiles compared to their </w:t>
      </w:r>
      <w:proofErr w:type="spellStart"/>
      <w:r>
        <w:t>SV</w:t>
      </w:r>
      <w:proofErr w:type="spellEnd"/>
      <w:r>
        <w:t xml:space="preserve"> counterparts. For instance, they tend to study for shorter lengths of time (</w:t>
      </w:r>
      <w:r w:rsidR="00956BCD">
        <w:fldChar w:fldCharType="begin"/>
      </w:r>
      <w:r w:rsidR="00956BCD">
        <w:instrText xml:space="preserve"> REF _Ref437334343 \r \h </w:instrText>
      </w:r>
      <w:r w:rsidR="00956BCD">
        <w:fldChar w:fldCharType="separate"/>
      </w:r>
      <w:r w:rsidR="00F03FA0">
        <w:t>Chart 2.2</w:t>
      </w:r>
      <w:r w:rsidR="00956BCD">
        <w:fldChar w:fldCharType="end"/>
      </w:r>
      <w:r>
        <w:t>)</w:t>
      </w:r>
      <w:r w:rsidRPr="009268A1">
        <w:t>,</w:t>
      </w:r>
      <w:r>
        <w:t xml:space="preserve"> with </w:t>
      </w:r>
      <w:r w:rsidRPr="009268A1">
        <w:t xml:space="preserve">the average </w:t>
      </w:r>
      <w:proofErr w:type="spellStart"/>
      <w:r w:rsidRPr="009268A1">
        <w:t>SV</w:t>
      </w:r>
      <w:proofErr w:type="spellEnd"/>
      <w:r w:rsidRPr="009268A1">
        <w:t xml:space="preserve"> enrolment </w:t>
      </w:r>
      <w:r>
        <w:t>standing at</w:t>
      </w:r>
      <w:r w:rsidRPr="009268A1">
        <w:t xml:space="preserve"> 16.3 weeks</w:t>
      </w:r>
      <w:r>
        <w:t xml:space="preserve"> in 2014</w:t>
      </w:r>
      <w:r w:rsidRPr="009268A1">
        <w:t xml:space="preserve">, compared to just 4.8 weeks for visitor visa enrolments. A weighted </w:t>
      </w:r>
      <w:r>
        <w:t xml:space="preserve">average of </w:t>
      </w:r>
      <w:proofErr w:type="spellStart"/>
      <w:r>
        <w:t>NSV</w:t>
      </w:r>
      <w:proofErr w:type="spellEnd"/>
      <w:r>
        <w:t xml:space="preserve"> lengths of stay of 6.3 weeks</w:t>
      </w:r>
      <w:r w:rsidRPr="009268A1">
        <w:t xml:space="preserve"> has been calculated based on the</w:t>
      </w:r>
      <w:r>
        <w:t xml:space="preserve"> </w:t>
      </w:r>
      <w:r w:rsidRPr="009268A1">
        <w:t>proportio</w:t>
      </w:r>
      <w:r>
        <w:t xml:space="preserve">ns of the different surveyed </w:t>
      </w:r>
      <w:proofErr w:type="spellStart"/>
      <w:r>
        <w:t>NSV</w:t>
      </w:r>
      <w:proofErr w:type="spellEnd"/>
      <w:r>
        <w:t xml:space="preserve"> types. </w:t>
      </w:r>
    </w:p>
    <w:p w14:paraId="44E1134C" w14:textId="77777777" w:rsidR="00705599" w:rsidRDefault="00705599" w:rsidP="00705599">
      <w:pPr>
        <w:pStyle w:val="CaptionChart"/>
      </w:pPr>
      <w:bookmarkStart w:id="48" w:name="_Ref437334343"/>
      <w:bookmarkStart w:id="49" w:name="_Toc450809267"/>
      <w:r>
        <w:lastRenderedPageBreak/>
        <w:t xml:space="preserve">: </w:t>
      </w:r>
      <w:proofErr w:type="spellStart"/>
      <w:r>
        <w:t>ELICOS</w:t>
      </w:r>
      <w:proofErr w:type="spellEnd"/>
      <w:r>
        <w:t xml:space="preserve"> average course study length by visa type, 2014</w:t>
      </w:r>
      <w:bookmarkEnd w:id="48"/>
      <w:bookmarkEnd w:id="49"/>
    </w:p>
    <w:p w14:paraId="09AE2820" w14:textId="77777777" w:rsidR="00705599" w:rsidRDefault="00705599" w:rsidP="00705599">
      <w:r w:rsidRPr="009B39B5">
        <w:rPr>
          <w:noProof/>
          <w:lang w:eastAsia="en-AU"/>
        </w:rPr>
        <w:drawing>
          <wp:inline distT="0" distB="0" distL="0" distR="0" wp14:anchorId="560CB065" wp14:editId="31A0C32B">
            <wp:extent cx="4689074" cy="2409825"/>
            <wp:effectExtent l="0" t="0" r="10160" b="3175"/>
            <wp:docPr id="47" name="Picture 47" descr="The table shows the export value of Non Student Visa ELICOS enrolments by state in financial year 2014–15." title="Table 2.2: Export value of NSV ELICOS enrolments,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91237" cy="2410937"/>
                    </a:xfrm>
                    <a:prstGeom prst="rect">
                      <a:avLst/>
                    </a:prstGeom>
                    <a:noFill/>
                    <a:ln>
                      <a:noFill/>
                    </a:ln>
                  </pic:spPr>
                </pic:pic>
              </a:graphicData>
            </a:graphic>
          </wp:inline>
        </w:drawing>
      </w:r>
    </w:p>
    <w:p w14:paraId="7945FB1C" w14:textId="77777777" w:rsidR="00705599" w:rsidRDefault="00705599" w:rsidP="00163EA3">
      <w:pPr>
        <w:pStyle w:val="Source"/>
        <w:outlineLvl w:val="0"/>
      </w:pPr>
      <w:r>
        <w:t>Source: English Australia, 2015</w:t>
      </w:r>
    </w:p>
    <w:p w14:paraId="0CBF56D0" w14:textId="77777777" w:rsidR="00705599" w:rsidRDefault="00956BCD" w:rsidP="00705599">
      <w:pPr>
        <w:pStyle w:val="BodyText"/>
      </w:pPr>
      <w:r>
        <w:t>Since not all providers respond to the English Australia survey, t</w:t>
      </w:r>
      <w:r w:rsidR="00705599">
        <w:t xml:space="preserve">he accuracy of the estimation results will be dependent upon how well the </w:t>
      </w:r>
      <w:r>
        <w:t xml:space="preserve">English Australia </w:t>
      </w:r>
      <w:r w:rsidR="00705599">
        <w:t xml:space="preserve">survey respondents reflect the overall </w:t>
      </w:r>
      <w:proofErr w:type="spellStart"/>
      <w:r w:rsidR="00705599">
        <w:t>ELICOS</w:t>
      </w:r>
      <w:proofErr w:type="spellEnd"/>
      <w:r w:rsidR="00705599">
        <w:t xml:space="preserve"> provider population. While the survey invited all 329 registered </w:t>
      </w:r>
      <w:proofErr w:type="spellStart"/>
      <w:r w:rsidR="00705599">
        <w:t>ELICOS</w:t>
      </w:r>
      <w:proofErr w:type="spellEnd"/>
      <w:r w:rsidR="00705599">
        <w:t xml:space="preserve"> institutions to participate, it had an overall response rate of 48% in 2015. The majority of responses (61%) were from English Australia member organisations, with the remaining 39% from non-members. </w:t>
      </w:r>
    </w:p>
    <w:p w14:paraId="237223C9" w14:textId="77777777" w:rsidR="00705599" w:rsidRDefault="00705599" w:rsidP="00705599">
      <w:pPr>
        <w:pStyle w:val="BodyText"/>
      </w:pPr>
      <w:r>
        <w:t xml:space="preserve">As the survey is skewed towards both English Australia members and big providers (with English Australia members reportedly covering 88% of total </w:t>
      </w:r>
      <w:proofErr w:type="spellStart"/>
      <w:r>
        <w:t>ELICOS</w:t>
      </w:r>
      <w:proofErr w:type="spellEnd"/>
      <w:r>
        <w:t xml:space="preserve"> enrolments in the sector), it is possible that responding providers may have different characteristics from non-responding providers, and attract </w:t>
      </w:r>
      <w:proofErr w:type="spellStart"/>
      <w:r>
        <w:t>SV</w:t>
      </w:r>
      <w:proofErr w:type="spellEnd"/>
      <w:r>
        <w:t xml:space="preserve"> versus </w:t>
      </w:r>
      <w:proofErr w:type="spellStart"/>
      <w:r>
        <w:t>NSV</w:t>
      </w:r>
      <w:proofErr w:type="spellEnd"/>
      <w:r>
        <w:t xml:space="preserve"> international students in different proportions. </w:t>
      </w:r>
    </w:p>
    <w:p w14:paraId="6CD38EAA" w14:textId="77777777" w:rsidR="00705599" w:rsidRPr="000349C1" w:rsidRDefault="00705599" w:rsidP="000349C1">
      <w:pPr>
        <w:pStyle w:val="BodyText"/>
      </w:pPr>
      <w:r w:rsidRPr="000349C1">
        <w:t xml:space="preserve">Consequently, the consultation participants have emphasised the importance of a government led initiative for a mandatory national census of the sector to work out the total number of </w:t>
      </w:r>
      <w:proofErr w:type="spellStart"/>
      <w:r w:rsidRPr="000349C1">
        <w:t>ELICOS</w:t>
      </w:r>
      <w:proofErr w:type="spellEnd"/>
      <w:r w:rsidRPr="000349C1">
        <w:t xml:space="preserve"> students who enrol over a 12 month period.</w:t>
      </w:r>
    </w:p>
    <w:p w14:paraId="0B14F5E3" w14:textId="77777777" w:rsidR="006B3D5E" w:rsidRDefault="006B3D5E" w:rsidP="006B3D5E">
      <w:pPr>
        <w:pStyle w:val="BodyText"/>
      </w:pPr>
      <w:r>
        <w:t xml:space="preserve">However, given the limitations in the data, the English Australia survey data on the likely size and characteristics of the </w:t>
      </w:r>
      <w:proofErr w:type="spellStart"/>
      <w:r>
        <w:t>NSV</w:t>
      </w:r>
      <w:proofErr w:type="spellEnd"/>
      <w:r>
        <w:t xml:space="preserve"> </w:t>
      </w:r>
      <w:proofErr w:type="spellStart"/>
      <w:r>
        <w:t>ELICOS</w:t>
      </w:r>
      <w:proofErr w:type="spellEnd"/>
      <w:r>
        <w:t xml:space="preserve"> cohort for each state</w:t>
      </w:r>
      <w:r w:rsidR="00995A9C">
        <w:t xml:space="preserve"> are applied to the population </w:t>
      </w:r>
      <w:proofErr w:type="spellStart"/>
      <w:r w:rsidR="00995A9C">
        <w:t>SV</w:t>
      </w:r>
      <w:proofErr w:type="spellEnd"/>
      <w:r w:rsidR="00995A9C">
        <w:t xml:space="preserve"> data to estimate the likely size of the </w:t>
      </w:r>
      <w:proofErr w:type="spellStart"/>
      <w:r w:rsidR="00995A9C">
        <w:t>NSV</w:t>
      </w:r>
      <w:proofErr w:type="spellEnd"/>
      <w:r w:rsidR="00995A9C">
        <w:t xml:space="preserve"> population, and their expenditure on fees and goods and services. This data</w:t>
      </w:r>
      <w:r>
        <w:t xml:space="preserve"> includ</w:t>
      </w:r>
      <w:r w:rsidR="00995A9C">
        <w:t>es</w:t>
      </w:r>
      <w:r>
        <w:t xml:space="preserve">: </w:t>
      </w:r>
    </w:p>
    <w:p w14:paraId="3E29CF1F" w14:textId="77777777" w:rsidR="006B3D5E" w:rsidRDefault="006B3D5E" w:rsidP="006B3D5E">
      <w:pPr>
        <w:pStyle w:val="Bullet1"/>
      </w:pPr>
      <w:r>
        <w:t xml:space="preserve">the proportion of </w:t>
      </w:r>
      <w:proofErr w:type="spellStart"/>
      <w:r>
        <w:t>SV</w:t>
      </w:r>
      <w:proofErr w:type="spellEnd"/>
      <w:r>
        <w:t xml:space="preserve"> to </w:t>
      </w:r>
      <w:proofErr w:type="spellStart"/>
      <w:r>
        <w:t>NSV</w:t>
      </w:r>
      <w:proofErr w:type="spellEnd"/>
      <w:r>
        <w:t xml:space="preserve"> enrolments; </w:t>
      </w:r>
    </w:p>
    <w:p w14:paraId="64FBA0F1" w14:textId="77777777" w:rsidR="006B3D5E" w:rsidRDefault="006B3D5E" w:rsidP="006B3D5E">
      <w:pPr>
        <w:pStyle w:val="Bullet1"/>
      </w:pPr>
      <w:r>
        <w:t xml:space="preserve">the average length of study; and </w:t>
      </w:r>
    </w:p>
    <w:p w14:paraId="245A1EBC" w14:textId="77777777" w:rsidR="00FC334A" w:rsidRDefault="006B3D5E" w:rsidP="00E74E03">
      <w:pPr>
        <w:pStyle w:val="Bullet1"/>
      </w:pPr>
      <w:r>
        <w:t>the average expenditure on fees (and goods and services) per week</w:t>
      </w:r>
    </w:p>
    <w:p w14:paraId="3059DC54" w14:textId="77777777" w:rsidR="003957D1" w:rsidRDefault="003957D1" w:rsidP="00E74E03">
      <w:pPr>
        <w:pStyle w:val="Bullet1"/>
        <w:numPr>
          <w:ilvl w:val="0"/>
          <w:numId w:val="0"/>
        </w:numPr>
      </w:pPr>
      <w:r>
        <w:t xml:space="preserve">The full estimation methodology is given in </w:t>
      </w:r>
      <w:r>
        <w:fldChar w:fldCharType="begin"/>
      </w:r>
      <w:r>
        <w:instrText xml:space="preserve"> REF _Ref441652618 \r \h </w:instrText>
      </w:r>
      <w:r>
        <w:fldChar w:fldCharType="separate"/>
      </w:r>
      <w:r w:rsidR="00F03FA0">
        <w:t>Appendix B</w:t>
      </w:r>
      <w:r>
        <w:fldChar w:fldCharType="end"/>
      </w:r>
      <w:r>
        <w:t>.</w:t>
      </w:r>
    </w:p>
    <w:p w14:paraId="026647AE" w14:textId="6D8F5BAD" w:rsidR="00400FB6" w:rsidRDefault="00705599" w:rsidP="00705599">
      <w:pPr>
        <w:pStyle w:val="BodyText"/>
      </w:pPr>
      <w:r>
        <w:t xml:space="preserve">The estimated results for the 2014-15 export revenue from </w:t>
      </w:r>
      <w:proofErr w:type="spellStart"/>
      <w:r>
        <w:t>NSV</w:t>
      </w:r>
      <w:proofErr w:type="spellEnd"/>
      <w:r>
        <w:t xml:space="preserve"> </w:t>
      </w:r>
      <w:proofErr w:type="spellStart"/>
      <w:r>
        <w:t>ELICOS</w:t>
      </w:r>
      <w:proofErr w:type="spellEnd"/>
      <w:r>
        <w:t xml:space="preserve"> enrolments are presented below in </w:t>
      </w:r>
      <w:r w:rsidR="00CC325B">
        <w:fldChar w:fldCharType="begin"/>
      </w:r>
      <w:r w:rsidR="00CC325B">
        <w:instrText xml:space="preserve"> REF _Ref437335186 \r \h </w:instrText>
      </w:r>
      <w:r w:rsidR="00CC325B">
        <w:fldChar w:fldCharType="separate"/>
      </w:r>
      <w:r w:rsidR="00F03FA0">
        <w:t>Table 2.2</w:t>
      </w:r>
      <w:r w:rsidR="00CC325B">
        <w:fldChar w:fldCharType="end"/>
      </w:r>
      <w:r>
        <w:t xml:space="preserve">. </w:t>
      </w:r>
      <w:r w:rsidR="00400FB6" w:rsidRPr="00E74E03">
        <w:t xml:space="preserve">In total, </w:t>
      </w:r>
      <w:r w:rsidR="00A26AD4">
        <w:t xml:space="preserve">approximately </w:t>
      </w:r>
      <w:r w:rsidR="00A26AD4" w:rsidRPr="00E74E03">
        <w:rPr>
          <w:b/>
          <w:color w:val="002776" w:themeColor="text2"/>
        </w:rPr>
        <w:t xml:space="preserve">$205 million in </w:t>
      </w:r>
      <w:r w:rsidR="00400FB6" w:rsidRPr="00A26AD4">
        <w:rPr>
          <w:b/>
          <w:color w:val="002776" w:themeColor="text2"/>
        </w:rPr>
        <w:t xml:space="preserve">export revenue </w:t>
      </w:r>
      <w:r w:rsidR="00A26AD4" w:rsidRPr="00E74E03">
        <w:rPr>
          <w:b/>
          <w:color w:val="002776" w:themeColor="text2"/>
        </w:rPr>
        <w:t xml:space="preserve">is attributable to the </w:t>
      </w:r>
      <w:proofErr w:type="spellStart"/>
      <w:r w:rsidR="003957D1" w:rsidRPr="00A26AD4">
        <w:rPr>
          <w:b/>
          <w:color w:val="002776" w:themeColor="text2"/>
        </w:rPr>
        <w:t>NSV</w:t>
      </w:r>
      <w:proofErr w:type="spellEnd"/>
      <w:r w:rsidR="003957D1" w:rsidRPr="00A26AD4">
        <w:rPr>
          <w:b/>
          <w:color w:val="002776" w:themeColor="text2"/>
        </w:rPr>
        <w:t xml:space="preserve"> </w:t>
      </w:r>
      <w:proofErr w:type="spellStart"/>
      <w:r w:rsidR="003957D1" w:rsidRPr="00A26AD4">
        <w:rPr>
          <w:b/>
          <w:color w:val="002776" w:themeColor="text2"/>
        </w:rPr>
        <w:t>ELICOS</w:t>
      </w:r>
      <w:proofErr w:type="spellEnd"/>
      <w:r w:rsidR="003957D1" w:rsidRPr="00A26AD4">
        <w:rPr>
          <w:b/>
          <w:color w:val="002776" w:themeColor="text2"/>
        </w:rPr>
        <w:t xml:space="preserve"> sector </w:t>
      </w:r>
      <w:r w:rsidR="00400FB6" w:rsidRPr="00A26AD4">
        <w:rPr>
          <w:b/>
          <w:color w:val="002776" w:themeColor="text2"/>
        </w:rPr>
        <w:t xml:space="preserve">over the 2014-15 </w:t>
      </w:r>
      <w:proofErr w:type="gramStart"/>
      <w:r w:rsidR="00400FB6" w:rsidRPr="00A26AD4">
        <w:rPr>
          <w:b/>
          <w:color w:val="002776" w:themeColor="text2"/>
        </w:rPr>
        <w:t>period</w:t>
      </w:r>
      <w:proofErr w:type="gramEnd"/>
      <w:r w:rsidR="00A66E3B">
        <w:rPr>
          <w:b/>
          <w:color w:val="002776" w:themeColor="text2"/>
        </w:rPr>
        <w:t xml:space="preserve">, received from </w:t>
      </w:r>
      <w:r w:rsidR="00A66E3B" w:rsidRPr="000349C1">
        <w:rPr>
          <w:b/>
          <w:color w:val="002776" w:themeColor="text2"/>
        </w:rPr>
        <w:lastRenderedPageBreak/>
        <w:t>71,940</w:t>
      </w:r>
      <w:r w:rsidR="00635D3F">
        <w:rPr>
          <w:b/>
          <w:color w:val="002776" w:themeColor="text2"/>
        </w:rPr>
        <w:t> </w:t>
      </w:r>
      <w:r w:rsidR="00A66E3B" w:rsidRPr="000349C1">
        <w:rPr>
          <w:b/>
          <w:color w:val="002776" w:themeColor="text2"/>
        </w:rPr>
        <w:t>international enrolments</w:t>
      </w:r>
      <w:r w:rsidR="003957D1" w:rsidRPr="00A26AD4">
        <w:rPr>
          <w:b/>
          <w:color w:val="002776" w:themeColor="text2"/>
        </w:rPr>
        <w:t>.</w:t>
      </w:r>
      <w:r w:rsidR="00400FB6" w:rsidRPr="00E74E03">
        <w:rPr>
          <w:color w:val="002776" w:themeColor="text2"/>
        </w:rPr>
        <w:t xml:space="preserve"> </w:t>
      </w:r>
      <w:r w:rsidR="003957D1">
        <w:t xml:space="preserve">Of this, $112 </w:t>
      </w:r>
      <w:r w:rsidR="00400FB6">
        <w:t xml:space="preserve">million is attributable to fees, with the remaining </w:t>
      </w:r>
      <w:r w:rsidR="00400FB6" w:rsidRPr="00453B11">
        <w:t xml:space="preserve">$93 million </w:t>
      </w:r>
      <w:r w:rsidR="00400FB6">
        <w:t>attributable to student</w:t>
      </w:r>
      <w:r w:rsidR="00400FB6" w:rsidRPr="00453B11">
        <w:t xml:space="preserve"> ex</w:t>
      </w:r>
      <w:r w:rsidR="00400FB6">
        <w:t>penditure on goods and services.</w:t>
      </w:r>
      <w:r w:rsidR="00400FB6">
        <w:rPr>
          <w:rStyle w:val="FootnoteReference"/>
        </w:rPr>
        <w:footnoteReference w:id="4"/>
      </w:r>
      <w:r w:rsidR="00400FB6">
        <w:t xml:space="preserve"> Although a sizeable proportion of </w:t>
      </w:r>
      <w:proofErr w:type="spellStart"/>
      <w:r w:rsidR="00400FB6">
        <w:t>ELICOS</w:t>
      </w:r>
      <w:proofErr w:type="spellEnd"/>
      <w:r w:rsidR="00400FB6">
        <w:t xml:space="preserve"> enrolments are from </w:t>
      </w:r>
      <w:proofErr w:type="spellStart"/>
      <w:r w:rsidR="00400FB6">
        <w:t>NSV</w:t>
      </w:r>
      <w:proofErr w:type="spellEnd"/>
      <w:r w:rsidR="00400FB6">
        <w:t xml:space="preserve"> students, standing at 34% of all enrolments in 2014 (English Australia 2015), their shorter lengths of study mean that they make up only 17% of total </w:t>
      </w:r>
      <w:proofErr w:type="spellStart"/>
      <w:r w:rsidR="00400FB6">
        <w:t>ELICOS</w:t>
      </w:r>
      <w:proofErr w:type="spellEnd"/>
      <w:r w:rsidR="00400FB6">
        <w:t xml:space="preserve"> export revenue.</w:t>
      </w:r>
    </w:p>
    <w:p w14:paraId="28D8846D" w14:textId="77777777" w:rsidR="00705599" w:rsidRPr="003C5ED1" w:rsidRDefault="00705599" w:rsidP="00400FB6">
      <w:pPr>
        <w:pStyle w:val="CaptionTable"/>
      </w:pPr>
      <w:bookmarkStart w:id="50" w:name="_Toc442005338"/>
      <w:bookmarkStart w:id="51" w:name="_Toc442269117"/>
      <w:bookmarkStart w:id="52" w:name="_Toc442370030"/>
      <w:bookmarkStart w:id="53" w:name="_Toc436922234"/>
      <w:bookmarkStart w:id="54" w:name="_Ref437335186"/>
      <w:bookmarkStart w:id="55" w:name="_Toc450809280"/>
      <w:bookmarkEnd w:id="50"/>
      <w:bookmarkEnd w:id="51"/>
      <w:bookmarkEnd w:id="52"/>
      <w:r>
        <w:t xml:space="preserve">: Export value of </w:t>
      </w:r>
      <w:proofErr w:type="spellStart"/>
      <w:r>
        <w:t>NSV</w:t>
      </w:r>
      <w:proofErr w:type="spellEnd"/>
      <w:r>
        <w:t xml:space="preserve"> </w:t>
      </w:r>
      <w:proofErr w:type="spellStart"/>
      <w:r>
        <w:t>ELICOS</w:t>
      </w:r>
      <w:proofErr w:type="spellEnd"/>
      <w:r>
        <w:t xml:space="preserve"> enrolments, 2014-15</w:t>
      </w:r>
      <w:bookmarkEnd w:id="53"/>
      <w:bookmarkEnd w:id="54"/>
      <w:bookmarkEnd w:id="55"/>
    </w:p>
    <w:tbl>
      <w:tblPr>
        <w:tblW w:w="5000" w:type="pct"/>
        <w:tblLayout w:type="fixed"/>
        <w:tblLook w:val="04A0" w:firstRow="1" w:lastRow="0" w:firstColumn="1" w:lastColumn="0" w:noHBand="0" w:noVBand="1"/>
        <w:tblCaption w:val="Table 2.2: Export value of NSV ELICOS enrolments, 2014–15"/>
        <w:tblDescription w:val="The table shows the export value of Non Student Visa ELICOS enrolments by state in financial year 2014–15."/>
      </w:tblPr>
      <w:tblGrid>
        <w:gridCol w:w="2189"/>
        <w:gridCol w:w="893"/>
        <w:gridCol w:w="893"/>
        <w:gridCol w:w="893"/>
        <w:gridCol w:w="893"/>
        <w:gridCol w:w="893"/>
        <w:gridCol w:w="893"/>
        <w:gridCol w:w="889"/>
      </w:tblGrid>
      <w:tr w:rsidR="00705599" w:rsidRPr="00D44557" w14:paraId="25C1F6EF" w14:textId="77777777" w:rsidTr="00705599">
        <w:trPr>
          <w:trHeight w:val="270"/>
        </w:trPr>
        <w:tc>
          <w:tcPr>
            <w:tcW w:w="1298" w:type="pct"/>
            <w:tcBorders>
              <w:top w:val="single" w:sz="12" w:space="0" w:color="002776"/>
              <w:left w:val="nil"/>
              <w:bottom w:val="single" w:sz="4" w:space="0" w:color="002776"/>
              <w:right w:val="nil"/>
            </w:tcBorders>
            <w:shd w:val="clear" w:color="auto" w:fill="auto"/>
            <w:noWrap/>
            <w:vAlign w:val="bottom"/>
            <w:hideMark/>
          </w:tcPr>
          <w:p w14:paraId="155D1581" w14:textId="77777777" w:rsidR="00705599" w:rsidRPr="000349C1" w:rsidRDefault="00705599" w:rsidP="00705599">
            <w:pPr>
              <w:keepNext/>
              <w:keepLines/>
              <w:rPr>
                <w:rFonts w:cs="Arial"/>
                <w:b/>
                <w:bCs/>
                <w:color w:val="002776" w:themeColor="text2"/>
                <w:szCs w:val="22"/>
                <w:lang w:eastAsia="en-AU"/>
              </w:rPr>
            </w:pPr>
            <w:r w:rsidRPr="000349C1">
              <w:rPr>
                <w:rFonts w:cs="Arial"/>
                <w:b/>
                <w:bCs/>
                <w:color w:val="002776" w:themeColor="text2"/>
                <w:szCs w:val="22"/>
                <w:lang w:eastAsia="en-AU"/>
              </w:rPr>
              <w:t>($m)</w:t>
            </w:r>
          </w:p>
        </w:tc>
        <w:tc>
          <w:tcPr>
            <w:tcW w:w="529" w:type="pct"/>
            <w:tcBorders>
              <w:top w:val="single" w:sz="12" w:space="0" w:color="002776"/>
              <w:left w:val="nil"/>
              <w:bottom w:val="single" w:sz="4" w:space="0" w:color="002776"/>
              <w:right w:val="nil"/>
            </w:tcBorders>
            <w:shd w:val="clear" w:color="auto" w:fill="auto"/>
            <w:noWrap/>
            <w:vAlign w:val="bottom"/>
            <w:hideMark/>
          </w:tcPr>
          <w:p w14:paraId="2F0EC06B" w14:textId="77777777" w:rsidR="00705599" w:rsidRPr="000349C1" w:rsidRDefault="00705599" w:rsidP="00705599">
            <w:pPr>
              <w:keepNext/>
              <w:keepLines/>
              <w:jc w:val="center"/>
              <w:rPr>
                <w:rFonts w:cs="Arial"/>
                <w:b/>
                <w:bCs/>
                <w:color w:val="002776" w:themeColor="text2"/>
                <w:szCs w:val="22"/>
                <w:lang w:eastAsia="en-AU"/>
              </w:rPr>
            </w:pPr>
            <w:r w:rsidRPr="000349C1">
              <w:rPr>
                <w:rFonts w:cs="Arial"/>
                <w:b/>
                <w:bCs/>
                <w:color w:val="002776" w:themeColor="text2"/>
                <w:szCs w:val="22"/>
                <w:lang w:eastAsia="en-AU"/>
              </w:rPr>
              <w:t>NSW</w:t>
            </w:r>
          </w:p>
        </w:tc>
        <w:tc>
          <w:tcPr>
            <w:tcW w:w="529" w:type="pct"/>
            <w:tcBorders>
              <w:top w:val="single" w:sz="12" w:space="0" w:color="002776"/>
              <w:left w:val="nil"/>
              <w:bottom w:val="single" w:sz="4" w:space="0" w:color="002776"/>
              <w:right w:val="nil"/>
            </w:tcBorders>
            <w:shd w:val="clear" w:color="auto" w:fill="auto"/>
            <w:noWrap/>
            <w:vAlign w:val="bottom"/>
            <w:hideMark/>
          </w:tcPr>
          <w:p w14:paraId="63F89871" w14:textId="77777777" w:rsidR="00705599" w:rsidRPr="000349C1" w:rsidRDefault="00705599" w:rsidP="00705599">
            <w:pPr>
              <w:keepNext/>
              <w:keepLines/>
              <w:jc w:val="center"/>
              <w:rPr>
                <w:rFonts w:cs="Arial"/>
                <w:b/>
                <w:bCs/>
                <w:color w:val="002776" w:themeColor="text2"/>
                <w:szCs w:val="22"/>
                <w:lang w:eastAsia="en-AU"/>
              </w:rPr>
            </w:pPr>
            <w:r w:rsidRPr="000349C1">
              <w:rPr>
                <w:rFonts w:cs="Arial"/>
                <w:b/>
                <w:bCs/>
                <w:color w:val="002776" w:themeColor="text2"/>
                <w:szCs w:val="22"/>
                <w:lang w:eastAsia="en-AU"/>
              </w:rPr>
              <w:t>Vic</w:t>
            </w:r>
          </w:p>
        </w:tc>
        <w:tc>
          <w:tcPr>
            <w:tcW w:w="529" w:type="pct"/>
            <w:tcBorders>
              <w:top w:val="single" w:sz="12" w:space="0" w:color="002776"/>
              <w:left w:val="nil"/>
              <w:bottom w:val="single" w:sz="4" w:space="0" w:color="002776"/>
              <w:right w:val="nil"/>
            </w:tcBorders>
            <w:shd w:val="clear" w:color="auto" w:fill="auto"/>
            <w:noWrap/>
            <w:vAlign w:val="bottom"/>
            <w:hideMark/>
          </w:tcPr>
          <w:p w14:paraId="52FD2381" w14:textId="77777777" w:rsidR="00705599" w:rsidRPr="000349C1" w:rsidRDefault="00705599" w:rsidP="00705599">
            <w:pPr>
              <w:keepNext/>
              <w:keepLines/>
              <w:jc w:val="center"/>
              <w:rPr>
                <w:rFonts w:cs="Arial"/>
                <w:b/>
                <w:bCs/>
                <w:color w:val="002776" w:themeColor="text2"/>
                <w:szCs w:val="22"/>
                <w:lang w:eastAsia="en-AU"/>
              </w:rPr>
            </w:pPr>
            <w:r w:rsidRPr="000349C1">
              <w:rPr>
                <w:rFonts w:cs="Arial"/>
                <w:b/>
                <w:bCs/>
                <w:color w:val="002776" w:themeColor="text2"/>
                <w:szCs w:val="22"/>
                <w:lang w:eastAsia="en-AU"/>
              </w:rPr>
              <w:t>Qld</w:t>
            </w:r>
          </w:p>
        </w:tc>
        <w:tc>
          <w:tcPr>
            <w:tcW w:w="529" w:type="pct"/>
            <w:tcBorders>
              <w:top w:val="single" w:sz="12" w:space="0" w:color="002776"/>
              <w:left w:val="nil"/>
              <w:bottom w:val="single" w:sz="4" w:space="0" w:color="002776"/>
              <w:right w:val="nil"/>
            </w:tcBorders>
            <w:shd w:val="clear" w:color="auto" w:fill="auto"/>
            <w:noWrap/>
            <w:vAlign w:val="bottom"/>
            <w:hideMark/>
          </w:tcPr>
          <w:p w14:paraId="544800C0" w14:textId="77777777" w:rsidR="00705599" w:rsidRPr="000349C1" w:rsidRDefault="00705599" w:rsidP="00705599">
            <w:pPr>
              <w:keepNext/>
              <w:keepLines/>
              <w:jc w:val="center"/>
              <w:rPr>
                <w:rFonts w:cs="Arial"/>
                <w:b/>
                <w:bCs/>
                <w:color w:val="002776" w:themeColor="text2"/>
                <w:szCs w:val="22"/>
                <w:lang w:eastAsia="en-AU"/>
              </w:rPr>
            </w:pPr>
            <w:r w:rsidRPr="000349C1">
              <w:rPr>
                <w:rFonts w:cs="Arial"/>
                <w:b/>
                <w:bCs/>
                <w:color w:val="002776" w:themeColor="text2"/>
                <w:szCs w:val="22"/>
                <w:lang w:eastAsia="en-AU"/>
              </w:rPr>
              <w:t>SA</w:t>
            </w:r>
          </w:p>
        </w:tc>
        <w:tc>
          <w:tcPr>
            <w:tcW w:w="529" w:type="pct"/>
            <w:tcBorders>
              <w:top w:val="single" w:sz="12" w:space="0" w:color="002776"/>
              <w:left w:val="nil"/>
              <w:bottom w:val="single" w:sz="4" w:space="0" w:color="002776"/>
              <w:right w:val="nil"/>
            </w:tcBorders>
            <w:shd w:val="clear" w:color="auto" w:fill="auto"/>
            <w:noWrap/>
            <w:vAlign w:val="bottom"/>
            <w:hideMark/>
          </w:tcPr>
          <w:p w14:paraId="6951AD60" w14:textId="77777777" w:rsidR="00705599" w:rsidRPr="000349C1" w:rsidRDefault="00705599" w:rsidP="00705599">
            <w:pPr>
              <w:keepNext/>
              <w:keepLines/>
              <w:jc w:val="center"/>
              <w:rPr>
                <w:rFonts w:cs="Arial"/>
                <w:b/>
                <w:bCs/>
                <w:color w:val="002776" w:themeColor="text2"/>
                <w:szCs w:val="22"/>
                <w:lang w:eastAsia="en-AU"/>
              </w:rPr>
            </w:pPr>
            <w:r w:rsidRPr="000349C1">
              <w:rPr>
                <w:rFonts w:cs="Arial"/>
                <w:b/>
                <w:bCs/>
                <w:color w:val="002776" w:themeColor="text2"/>
                <w:szCs w:val="22"/>
                <w:lang w:eastAsia="en-AU"/>
              </w:rPr>
              <w:t>WA</w:t>
            </w:r>
          </w:p>
        </w:tc>
        <w:tc>
          <w:tcPr>
            <w:tcW w:w="529" w:type="pct"/>
            <w:tcBorders>
              <w:top w:val="single" w:sz="12" w:space="0" w:color="002776"/>
              <w:left w:val="nil"/>
              <w:bottom w:val="single" w:sz="4" w:space="0" w:color="002776"/>
              <w:right w:val="nil"/>
            </w:tcBorders>
            <w:shd w:val="clear" w:color="auto" w:fill="auto"/>
            <w:noWrap/>
            <w:vAlign w:val="bottom"/>
            <w:hideMark/>
          </w:tcPr>
          <w:p w14:paraId="7D751DBA" w14:textId="77777777" w:rsidR="00705599" w:rsidRPr="000349C1" w:rsidRDefault="00705599" w:rsidP="00705599">
            <w:pPr>
              <w:keepNext/>
              <w:keepLines/>
              <w:jc w:val="center"/>
              <w:rPr>
                <w:rFonts w:cs="Arial"/>
                <w:b/>
                <w:bCs/>
                <w:color w:val="002776" w:themeColor="text2"/>
                <w:szCs w:val="22"/>
                <w:lang w:eastAsia="en-AU"/>
              </w:rPr>
            </w:pPr>
            <w:r w:rsidRPr="000349C1">
              <w:rPr>
                <w:rFonts w:cs="Arial"/>
                <w:b/>
                <w:bCs/>
                <w:color w:val="002776" w:themeColor="text2"/>
                <w:szCs w:val="22"/>
                <w:lang w:eastAsia="en-AU"/>
              </w:rPr>
              <w:t>Other</w:t>
            </w:r>
          </w:p>
        </w:tc>
        <w:tc>
          <w:tcPr>
            <w:tcW w:w="527" w:type="pct"/>
            <w:tcBorders>
              <w:top w:val="single" w:sz="12" w:space="0" w:color="002776"/>
              <w:left w:val="nil"/>
              <w:bottom w:val="single" w:sz="4" w:space="0" w:color="002776"/>
              <w:right w:val="nil"/>
            </w:tcBorders>
            <w:shd w:val="clear" w:color="auto" w:fill="auto"/>
            <w:noWrap/>
            <w:vAlign w:val="bottom"/>
            <w:hideMark/>
          </w:tcPr>
          <w:p w14:paraId="11027151" w14:textId="77777777" w:rsidR="00705599" w:rsidRPr="000349C1" w:rsidRDefault="00705599" w:rsidP="00705599">
            <w:pPr>
              <w:keepNext/>
              <w:keepLines/>
              <w:jc w:val="center"/>
              <w:rPr>
                <w:rFonts w:cs="Arial"/>
                <w:b/>
                <w:bCs/>
                <w:color w:val="002776" w:themeColor="text2"/>
                <w:szCs w:val="22"/>
                <w:lang w:eastAsia="en-AU"/>
              </w:rPr>
            </w:pPr>
            <w:proofErr w:type="spellStart"/>
            <w:r w:rsidRPr="000349C1">
              <w:rPr>
                <w:rFonts w:cs="Arial"/>
                <w:b/>
                <w:bCs/>
                <w:color w:val="002776" w:themeColor="text2"/>
                <w:szCs w:val="22"/>
                <w:lang w:eastAsia="en-AU"/>
              </w:rPr>
              <w:t>Aus</w:t>
            </w:r>
            <w:proofErr w:type="spellEnd"/>
          </w:p>
        </w:tc>
      </w:tr>
      <w:tr w:rsidR="00705599" w:rsidRPr="004F6F58" w14:paraId="7F015C76" w14:textId="77777777" w:rsidTr="00705599">
        <w:trPr>
          <w:trHeight w:val="312"/>
        </w:trPr>
        <w:tc>
          <w:tcPr>
            <w:tcW w:w="1298" w:type="pct"/>
            <w:tcBorders>
              <w:top w:val="nil"/>
              <w:left w:val="nil"/>
              <w:bottom w:val="nil"/>
              <w:right w:val="nil"/>
            </w:tcBorders>
            <w:shd w:val="clear" w:color="auto" w:fill="auto"/>
            <w:noWrap/>
            <w:vAlign w:val="bottom"/>
            <w:hideMark/>
          </w:tcPr>
          <w:p w14:paraId="1D2B05BE" w14:textId="77777777" w:rsidR="00705599" w:rsidRPr="000349C1" w:rsidRDefault="00705599" w:rsidP="00705599">
            <w:pPr>
              <w:keepNext/>
              <w:keepLines/>
              <w:rPr>
                <w:rFonts w:cs="Arial"/>
                <w:iCs/>
                <w:sz w:val="20"/>
                <w:lang w:eastAsia="en-AU"/>
              </w:rPr>
            </w:pPr>
            <w:r w:rsidRPr="000349C1">
              <w:rPr>
                <w:rFonts w:cs="Arial"/>
                <w:iCs/>
                <w:sz w:val="20"/>
                <w:lang w:eastAsia="en-AU"/>
              </w:rPr>
              <w:t>Fees</w:t>
            </w:r>
          </w:p>
        </w:tc>
        <w:tc>
          <w:tcPr>
            <w:tcW w:w="529" w:type="pct"/>
            <w:tcBorders>
              <w:top w:val="nil"/>
              <w:left w:val="nil"/>
              <w:bottom w:val="nil"/>
              <w:right w:val="nil"/>
            </w:tcBorders>
            <w:shd w:val="clear" w:color="auto" w:fill="auto"/>
            <w:noWrap/>
            <w:vAlign w:val="bottom"/>
            <w:hideMark/>
          </w:tcPr>
          <w:p w14:paraId="1688187A" w14:textId="77777777" w:rsidR="00705599" w:rsidRPr="004F6F58" w:rsidRDefault="00705599" w:rsidP="000349C1">
            <w:pPr>
              <w:keepNext/>
              <w:keepLines/>
              <w:jc w:val="center"/>
              <w:rPr>
                <w:rFonts w:cs="Arial"/>
                <w:sz w:val="20"/>
              </w:rPr>
            </w:pPr>
            <w:r w:rsidRPr="003B260D">
              <w:rPr>
                <w:sz w:val="20"/>
              </w:rPr>
              <w:t>40</w:t>
            </w:r>
          </w:p>
        </w:tc>
        <w:tc>
          <w:tcPr>
            <w:tcW w:w="529" w:type="pct"/>
            <w:tcBorders>
              <w:top w:val="nil"/>
              <w:left w:val="nil"/>
              <w:bottom w:val="nil"/>
              <w:right w:val="nil"/>
            </w:tcBorders>
            <w:shd w:val="clear" w:color="auto" w:fill="auto"/>
            <w:noWrap/>
            <w:vAlign w:val="bottom"/>
            <w:hideMark/>
          </w:tcPr>
          <w:p w14:paraId="7E1FBA9C" w14:textId="77777777" w:rsidR="00705599" w:rsidRPr="004F6F58" w:rsidRDefault="00705599" w:rsidP="000349C1">
            <w:pPr>
              <w:keepNext/>
              <w:keepLines/>
              <w:jc w:val="center"/>
              <w:rPr>
                <w:rFonts w:cs="Arial"/>
                <w:sz w:val="20"/>
              </w:rPr>
            </w:pPr>
            <w:r w:rsidRPr="003B260D">
              <w:rPr>
                <w:sz w:val="20"/>
              </w:rPr>
              <w:t>22</w:t>
            </w:r>
          </w:p>
        </w:tc>
        <w:tc>
          <w:tcPr>
            <w:tcW w:w="529" w:type="pct"/>
            <w:tcBorders>
              <w:top w:val="nil"/>
              <w:left w:val="nil"/>
              <w:bottom w:val="nil"/>
              <w:right w:val="nil"/>
            </w:tcBorders>
            <w:shd w:val="clear" w:color="auto" w:fill="auto"/>
            <w:noWrap/>
            <w:vAlign w:val="bottom"/>
            <w:hideMark/>
          </w:tcPr>
          <w:p w14:paraId="2246FF04" w14:textId="77777777" w:rsidR="00705599" w:rsidRPr="004F6F58" w:rsidRDefault="00705599" w:rsidP="000349C1">
            <w:pPr>
              <w:keepNext/>
              <w:keepLines/>
              <w:jc w:val="center"/>
              <w:rPr>
                <w:rFonts w:cs="Arial"/>
                <w:sz w:val="20"/>
              </w:rPr>
            </w:pPr>
            <w:r w:rsidRPr="003B260D">
              <w:rPr>
                <w:sz w:val="20"/>
              </w:rPr>
              <w:t>36</w:t>
            </w:r>
          </w:p>
        </w:tc>
        <w:tc>
          <w:tcPr>
            <w:tcW w:w="529" w:type="pct"/>
            <w:tcBorders>
              <w:top w:val="nil"/>
              <w:left w:val="nil"/>
              <w:bottom w:val="nil"/>
              <w:right w:val="nil"/>
            </w:tcBorders>
            <w:shd w:val="clear" w:color="auto" w:fill="auto"/>
            <w:noWrap/>
            <w:vAlign w:val="bottom"/>
            <w:hideMark/>
          </w:tcPr>
          <w:p w14:paraId="18B1F82C" w14:textId="77777777" w:rsidR="00705599" w:rsidRPr="004F6F58" w:rsidRDefault="00705599" w:rsidP="000349C1">
            <w:pPr>
              <w:keepNext/>
              <w:keepLines/>
              <w:jc w:val="center"/>
              <w:rPr>
                <w:rFonts w:cs="Arial"/>
                <w:sz w:val="20"/>
              </w:rPr>
            </w:pPr>
            <w:r w:rsidRPr="003B260D">
              <w:rPr>
                <w:sz w:val="20"/>
              </w:rPr>
              <w:t>1</w:t>
            </w:r>
          </w:p>
        </w:tc>
        <w:tc>
          <w:tcPr>
            <w:tcW w:w="529" w:type="pct"/>
            <w:tcBorders>
              <w:top w:val="nil"/>
              <w:left w:val="nil"/>
              <w:bottom w:val="nil"/>
              <w:right w:val="nil"/>
            </w:tcBorders>
            <w:shd w:val="clear" w:color="auto" w:fill="auto"/>
            <w:noWrap/>
            <w:vAlign w:val="bottom"/>
            <w:hideMark/>
          </w:tcPr>
          <w:p w14:paraId="7E8A80E7" w14:textId="77777777" w:rsidR="00705599" w:rsidRPr="004F6F58" w:rsidRDefault="00705599" w:rsidP="000349C1">
            <w:pPr>
              <w:keepNext/>
              <w:keepLines/>
              <w:jc w:val="center"/>
              <w:rPr>
                <w:rFonts w:cs="Arial"/>
                <w:sz w:val="20"/>
              </w:rPr>
            </w:pPr>
            <w:r w:rsidRPr="003B260D">
              <w:rPr>
                <w:sz w:val="20"/>
              </w:rPr>
              <w:t>11</w:t>
            </w:r>
          </w:p>
        </w:tc>
        <w:tc>
          <w:tcPr>
            <w:tcW w:w="529" w:type="pct"/>
            <w:tcBorders>
              <w:top w:val="nil"/>
              <w:left w:val="nil"/>
              <w:bottom w:val="nil"/>
              <w:right w:val="nil"/>
            </w:tcBorders>
            <w:shd w:val="clear" w:color="auto" w:fill="auto"/>
            <w:noWrap/>
            <w:vAlign w:val="bottom"/>
            <w:hideMark/>
          </w:tcPr>
          <w:p w14:paraId="228024B7" w14:textId="77777777" w:rsidR="00705599" w:rsidRPr="004F6F58" w:rsidRDefault="00705599" w:rsidP="000349C1">
            <w:pPr>
              <w:keepNext/>
              <w:keepLines/>
              <w:jc w:val="center"/>
              <w:rPr>
                <w:rFonts w:cs="Arial"/>
                <w:sz w:val="20"/>
              </w:rPr>
            </w:pPr>
            <w:r w:rsidRPr="003B260D">
              <w:rPr>
                <w:sz w:val="20"/>
              </w:rPr>
              <w:t>2</w:t>
            </w:r>
          </w:p>
        </w:tc>
        <w:tc>
          <w:tcPr>
            <w:tcW w:w="527" w:type="pct"/>
            <w:tcBorders>
              <w:top w:val="nil"/>
              <w:left w:val="nil"/>
              <w:bottom w:val="nil"/>
              <w:right w:val="nil"/>
            </w:tcBorders>
            <w:shd w:val="clear" w:color="auto" w:fill="auto"/>
            <w:noWrap/>
            <w:vAlign w:val="bottom"/>
            <w:hideMark/>
          </w:tcPr>
          <w:p w14:paraId="290D51A1" w14:textId="77777777" w:rsidR="00705599" w:rsidRPr="004F6F58" w:rsidRDefault="00705599" w:rsidP="000349C1">
            <w:pPr>
              <w:keepNext/>
              <w:keepLines/>
              <w:jc w:val="center"/>
              <w:rPr>
                <w:rFonts w:cs="Arial"/>
                <w:sz w:val="20"/>
              </w:rPr>
            </w:pPr>
            <w:r w:rsidRPr="003B260D">
              <w:rPr>
                <w:sz w:val="20"/>
              </w:rPr>
              <w:t>112</w:t>
            </w:r>
          </w:p>
        </w:tc>
      </w:tr>
      <w:tr w:rsidR="00705599" w:rsidRPr="004F6F58" w14:paraId="7193D760" w14:textId="77777777" w:rsidTr="00705599">
        <w:trPr>
          <w:trHeight w:val="255"/>
        </w:trPr>
        <w:tc>
          <w:tcPr>
            <w:tcW w:w="1298" w:type="pct"/>
            <w:tcBorders>
              <w:top w:val="nil"/>
              <w:left w:val="nil"/>
              <w:bottom w:val="nil"/>
              <w:right w:val="nil"/>
            </w:tcBorders>
            <w:shd w:val="clear" w:color="auto" w:fill="auto"/>
            <w:noWrap/>
            <w:vAlign w:val="bottom"/>
            <w:hideMark/>
          </w:tcPr>
          <w:p w14:paraId="724505F0" w14:textId="77777777" w:rsidR="00705599" w:rsidRPr="000349C1" w:rsidRDefault="00705599" w:rsidP="00705599">
            <w:pPr>
              <w:keepNext/>
              <w:keepLines/>
              <w:rPr>
                <w:rFonts w:cs="Arial"/>
                <w:iCs/>
                <w:sz w:val="20"/>
                <w:lang w:eastAsia="en-AU"/>
              </w:rPr>
            </w:pPr>
            <w:r w:rsidRPr="000349C1">
              <w:rPr>
                <w:rFonts w:cs="Arial"/>
                <w:iCs/>
                <w:sz w:val="20"/>
                <w:lang w:eastAsia="en-AU"/>
              </w:rPr>
              <w:t>Goods &amp; Services</w:t>
            </w:r>
          </w:p>
        </w:tc>
        <w:tc>
          <w:tcPr>
            <w:tcW w:w="529" w:type="pct"/>
            <w:tcBorders>
              <w:top w:val="nil"/>
              <w:left w:val="nil"/>
              <w:bottom w:val="nil"/>
              <w:right w:val="nil"/>
            </w:tcBorders>
            <w:shd w:val="clear" w:color="auto" w:fill="auto"/>
            <w:noWrap/>
            <w:vAlign w:val="bottom"/>
            <w:hideMark/>
          </w:tcPr>
          <w:p w14:paraId="5D01B7C1" w14:textId="77777777" w:rsidR="00705599" w:rsidRPr="004F6F58" w:rsidRDefault="00705599" w:rsidP="000349C1">
            <w:pPr>
              <w:keepNext/>
              <w:keepLines/>
              <w:jc w:val="center"/>
              <w:rPr>
                <w:rFonts w:cs="Arial"/>
                <w:sz w:val="20"/>
              </w:rPr>
            </w:pPr>
            <w:r w:rsidRPr="003B260D">
              <w:rPr>
                <w:sz w:val="20"/>
              </w:rPr>
              <w:t>36</w:t>
            </w:r>
          </w:p>
        </w:tc>
        <w:tc>
          <w:tcPr>
            <w:tcW w:w="529" w:type="pct"/>
            <w:tcBorders>
              <w:top w:val="nil"/>
              <w:left w:val="nil"/>
              <w:bottom w:val="nil"/>
              <w:right w:val="nil"/>
            </w:tcBorders>
            <w:shd w:val="clear" w:color="auto" w:fill="auto"/>
            <w:noWrap/>
            <w:vAlign w:val="bottom"/>
            <w:hideMark/>
          </w:tcPr>
          <w:p w14:paraId="25F352CA" w14:textId="77777777" w:rsidR="00705599" w:rsidRPr="004F6F58" w:rsidRDefault="00705599" w:rsidP="000349C1">
            <w:pPr>
              <w:keepNext/>
              <w:keepLines/>
              <w:jc w:val="center"/>
              <w:rPr>
                <w:rFonts w:cs="Arial"/>
                <w:sz w:val="20"/>
              </w:rPr>
            </w:pPr>
            <w:r w:rsidRPr="003B260D">
              <w:rPr>
                <w:sz w:val="20"/>
              </w:rPr>
              <w:t>18</w:t>
            </w:r>
          </w:p>
        </w:tc>
        <w:tc>
          <w:tcPr>
            <w:tcW w:w="529" w:type="pct"/>
            <w:tcBorders>
              <w:top w:val="nil"/>
              <w:left w:val="nil"/>
              <w:bottom w:val="nil"/>
              <w:right w:val="nil"/>
            </w:tcBorders>
            <w:shd w:val="clear" w:color="auto" w:fill="auto"/>
            <w:noWrap/>
            <w:vAlign w:val="bottom"/>
            <w:hideMark/>
          </w:tcPr>
          <w:p w14:paraId="02BBC389" w14:textId="77777777" w:rsidR="00705599" w:rsidRPr="004F6F58" w:rsidRDefault="00705599" w:rsidP="000349C1">
            <w:pPr>
              <w:keepNext/>
              <w:keepLines/>
              <w:jc w:val="center"/>
              <w:rPr>
                <w:rFonts w:cs="Arial"/>
                <w:sz w:val="20"/>
              </w:rPr>
            </w:pPr>
            <w:r w:rsidRPr="003B260D">
              <w:rPr>
                <w:sz w:val="20"/>
              </w:rPr>
              <w:t>26</w:t>
            </w:r>
          </w:p>
        </w:tc>
        <w:tc>
          <w:tcPr>
            <w:tcW w:w="529" w:type="pct"/>
            <w:tcBorders>
              <w:top w:val="nil"/>
              <w:left w:val="nil"/>
              <w:bottom w:val="nil"/>
              <w:right w:val="nil"/>
            </w:tcBorders>
            <w:shd w:val="clear" w:color="auto" w:fill="auto"/>
            <w:noWrap/>
            <w:vAlign w:val="bottom"/>
            <w:hideMark/>
          </w:tcPr>
          <w:p w14:paraId="7849226D" w14:textId="77777777" w:rsidR="00705599" w:rsidRPr="004F6F58" w:rsidRDefault="00705599" w:rsidP="000349C1">
            <w:pPr>
              <w:keepNext/>
              <w:keepLines/>
              <w:jc w:val="center"/>
              <w:rPr>
                <w:rFonts w:cs="Arial"/>
                <w:sz w:val="20"/>
              </w:rPr>
            </w:pPr>
            <w:r w:rsidRPr="003B260D">
              <w:rPr>
                <w:sz w:val="20"/>
              </w:rPr>
              <w:t>1</w:t>
            </w:r>
          </w:p>
        </w:tc>
        <w:tc>
          <w:tcPr>
            <w:tcW w:w="529" w:type="pct"/>
            <w:tcBorders>
              <w:top w:val="nil"/>
              <w:left w:val="nil"/>
              <w:bottom w:val="nil"/>
              <w:right w:val="nil"/>
            </w:tcBorders>
            <w:shd w:val="clear" w:color="auto" w:fill="auto"/>
            <w:noWrap/>
            <w:vAlign w:val="bottom"/>
            <w:hideMark/>
          </w:tcPr>
          <w:p w14:paraId="28BAB0A1" w14:textId="77777777" w:rsidR="00705599" w:rsidRPr="004F6F58" w:rsidRDefault="00705599" w:rsidP="000349C1">
            <w:pPr>
              <w:keepNext/>
              <w:keepLines/>
              <w:jc w:val="center"/>
              <w:rPr>
                <w:rFonts w:cs="Arial"/>
                <w:sz w:val="20"/>
              </w:rPr>
            </w:pPr>
            <w:r w:rsidRPr="003B260D">
              <w:rPr>
                <w:sz w:val="20"/>
              </w:rPr>
              <w:t>9</w:t>
            </w:r>
          </w:p>
        </w:tc>
        <w:tc>
          <w:tcPr>
            <w:tcW w:w="529" w:type="pct"/>
            <w:tcBorders>
              <w:top w:val="nil"/>
              <w:left w:val="nil"/>
              <w:bottom w:val="nil"/>
              <w:right w:val="nil"/>
            </w:tcBorders>
            <w:shd w:val="clear" w:color="auto" w:fill="auto"/>
            <w:noWrap/>
            <w:vAlign w:val="bottom"/>
            <w:hideMark/>
          </w:tcPr>
          <w:p w14:paraId="1D16D2A7" w14:textId="77777777" w:rsidR="00705599" w:rsidRPr="004F6F58" w:rsidRDefault="00705599" w:rsidP="000349C1">
            <w:pPr>
              <w:keepNext/>
              <w:keepLines/>
              <w:jc w:val="center"/>
              <w:rPr>
                <w:rFonts w:cs="Arial"/>
                <w:sz w:val="20"/>
              </w:rPr>
            </w:pPr>
            <w:r w:rsidRPr="003B260D">
              <w:rPr>
                <w:sz w:val="20"/>
              </w:rPr>
              <w:t>2</w:t>
            </w:r>
          </w:p>
        </w:tc>
        <w:tc>
          <w:tcPr>
            <w:tcW w:w="527" w:type="pct"/>
            <w:tcBorders>
              <w:top w:val="nil"/>
              <w:left w:val="nil"/>
              <w:bottom w:val="nil"/>
              <w:right w:val="nil"/>
            </w:tcBorders>
            <w:shd w:val="clear" w:color="auto" w:fill="auto"/>
            <w:noWrap/>
            <w:vAlign w:val="bottom"/>
            <w:hideMark/>
          </w:tcPr>
          <w:p w14:paraId="0F9C130F" w14:textId="77777777" w:rsidR="00705599" w:rsidRPr="004F6F58" w:rsidRDefault="00705599" w:rsidP="000349C1">
            <w:pPr>
              <w:keepNext/>
              <w:keepLines/>
              <w:jc w:val="center"/>
              <w:rPr>
                <w:rFonts w:cs="Arial"/>
                <w:sz w:val="20"/>
              </w:rPr>
            </w:pPr>
            <w:r w:rsidRPr="003B260D">
              <w:rPr>
                <w:sz w:val="20"/>
              </w:rPr>
              <w:t>93</w:t>
            </w:r>
          </w:p>
        </w:tc>
      </w:tr>
      <w:tr w:rsidR="00705599" w:rsidRPr="004F6F58" w14:paraId="3D724D3C" w14:textId="77777777" w:rsidTr="00705599">
        <w:trPr>
          <w:trHeight w:val="255"/>
        </w:trPr>
        <w:tc>
          <w:tcPr>
            <w:tcW w:w="1298" w:type="pct"/>
            <w:tcBorders>
              <w:top w:val="nil"/>
              <w:left w:val="nil"/>
              <w:bottom w:val="single" w:sz="12" w:space="0" w:color="002776"/>
              <w:right w:val="nil"/>
            </w:tcBorders>
            <w:shd w:val="clear" w:color="auto" w:fill="auto"/>
            <w:noWrap/>
            <w:vAlign w:val="bottom"/>
            <w:hideMark/>
          </w:tcPr>
          <w:p w14:paraId="4FBA6F2A" w14:textId="77777777" w:rsidR="00705599" w:rsidRPr="000349C1" w:rsidRDefault="00705599" w:rsidP="00705599">
            <w:pPr>
              <w:keepNext/>
              <w:keepLines/>
              <w:rPr>
                <w:rFonts w:cs="Arial"/>
                <w:b/>
                <w:bCs/>
                <w:iCs/>
                <w:color w:val="002776" w:themeColor="text2"/>
                <w:sz w:val="20"/>
                <w:lang w:eastAsia="en-AU"/>
              </w:rPr>
            </w:pPr>
            <w:r w:rsidRPr="000349C1">
              <w:rPr>
                <w:rFonts w:cs="Arial"/>
                <w:b/>
                <w:bCs/>
                <w:iCs/>
                <w:color w:val="002776" w:themeColor="text2"/>
                <w:sz w:val="20"/>
                <w:lang w:eastAsia="en-AU"/>
              </w:rPr>
              <w:t>Total</w:t>
            </w:r>
          </w:p>
        </w:tc>
        <w:tc>
          <w:tcPr>
            <w:tcW w:w="529" w:type="pct"/>
            <w:tcBorders>
              <w:top w:val="nil"/>
              <w:left w:val="nil"/>
              <w:bottom w:val="single" w:sz="12" w:space="0" w:color="002776"/>
              <w:right w:val="nil"/>
            </w:tcBorders>
            <w:shd w:val="clear" w:color="auto" w:fill="auto"/>
            <w:noWrap/>
            <w:vAlign w:val="bottom"/>
            <w:hideMark/>
          </w:tcPr>
          <w:p w14:paraId="3E4790AC" w14:textId="77777777" w:rsidR="00705599" w:rsidRPr="000349C1" w:rsidRDefault="00705599" w:rsidP="000349C1">
            <w:pPr>
              <w:keepNext/>
              <w:keepLines/>
              <w:jc w:val="center"/>
              <w:rPr>
                <w:rFonts w:cs="Arial"/>
                <w:color w:val="000000" w:themeColor="text1"/>
                <w:sz w:val="20"/>
              </w:rPr>
            </w:pPr>
            <w:r w:rsidRPr="000349C1">
              <w:rPr>
                <w:color w:val="000000" w:themeColor="text1"/>
                <w:sz w:val="20"/>
              </w:rPr>
              <w:t>77</w:t>
            </w:r>
          </w:p>
        </w:tc>
        <w:tc>
          <w:tcPr>
            <w:tcW w:w="529" w:type="pct"/>
            <w:tcBorders>
              <w:top w:val="nil"/>
              <w:left w:val="nil"/>
              <w:bottom w:val="single" w:sz="12" w:space="0" w:color="002776"/>
              <w:right w:val="nil"/>
            </w:tcBorders>
            <w:shd w:val="clear" w:color="auto" w:fill="auto"/>
            <w:noWrap/>
            <w:vAlign w:val="bottom"/>
            <w:hideMark/>
          </w:tcPr>
          <w:p w14:paraId="5A85FE55" w14:textId="77777777" w:rsidR="00705599" w:rsidRPr="000349C1" w:rsidRDefault="00705599" w:rsidP="000349C1">
            <w:pPr>
              <w:keepNext/>
              <w:keepLines/>
              <w:jc w:val="center"/>
              <w:rPr>
                <w:rFonts w:cs="Arial"/>
                <w:color w:val="000000" w:themeColor="text1"/>
                <w:sz w:val="20"/>
              </w:rPr>
            </w:pPr>
            <w:r w:rsidRPr="000349C1">
              <w:rPr>
                <w:color w:val="000000" w:themeColor="text1"/>
                <w:sz w:val="20"/>
              </w:rPr>
              <w:t>40</w:t>
            </w:r>
          </w:p>
        </w:tc>
        <w:tc>
          <w:tcPr>
            <w:tcW w:w="529" w:type="pct"/>
            <w:tcBorders>
              <w:top w:val="nil"/>
              <w:left w:val="nil"/>
              <w:bottom w:val="single" w:sz="12" w:space="0" w:color="002776"/>
              <w:right w:val="nil"/>
            </w:tcBorders>
            <w:shd w:val="clear" w:color="auto" w:fill="auto"/>
            <w:noWrap/>
            <w:vAlign w:val="bottom"/>
            <w:hideMark/>
          </w:tcPr>
          <w:p w14:paraId="617AF9A3" w14:textId="77777777" w:rsidR="00705599" w:rsidRPr="000349C1" w:rsidRDefault="00705599" w:rsidP="000349C1">
            <w:pPr>
              <w:keepNext/>
              <w:keepLines/>
              <w:jc w:val="center"/>
              <w:rPr>
                <w:rFonts w:cs="Arial"/>
                <w:color w:val="000000" w:themeColor="text1"/>
                <w:sz w:val="20"/>
              </w:rPr>
            </w:pPr>
            <w:r w:rsidRPr="000349C1">
              <w:rPr>
                <w:color w:val="000000" w:themeColor="text1"/>
                <w:sz w:val="20"/>
              </w:rPr>
              <w:t>62</w:t>
            </w:r>
          </w:p>
        </w:tc>
        <w:tc>
          <w:tcPr>
            <w:tcW w:w="529" w:type="pct"/>
            <w:tcBorders>
              <w:top w:val="nil"/>
              <w:left w:val="nil"/>
              <w:bottom w:val="single" w:sz="12" w:space="0" w:color="002776"/>
              <w:right w:val="nil"/>
            </w:tcBorders>
            <w:shd w:val="clear" w:color="auto" w:fill="auto"/>
            <w:noWrap/>
            <w:vAlign w:val="bottom"/>
            <w:hideMark/>
          </w:tcPr>
          <w:p w14:paraId="45C7DE99" w14:textId="77777777" w:rsidR="00705599" w:rsidRPr="000349C1" w:rsidRDefault="00705599" w:rsidP="000349C1">
            <w:pPr>
              <w:keepNext/>
              <w:keepLines/>
              <w:jc w:val="center"/>
              <w:rPr>
                <w:rFonts w:cs="Arial"/>
                <w:color w:val="000000" w:themeColor="text1"/>
                <w:sz w:val="20"/>
              </w:rPr>
            </w:pPr>
            <w:r w:rsidRPr="000349C1">
              <w:rPr>
                <w:color w:val="000000" w:themeColor="text1"/>
                <w:sz w:val="20"/>
              </w:rPr>
              <w:t>3</w:t>
            </w:r>
          </w:p>
        </w:tc>
        <w:tc>
          <w:tcPr>
            <w:tcW w:w="529" w:type="pct"/>
            <w:tcBorders>
              <w:top w:val="nil"/>
              <w:left w:val="nil"/>
              <w:bottom w:val="single" w:sz="12" w:space="0" w:color="002776"/>
              <w:right w:val="nil"/>
            </w:tcBorders>
            <w:shd w:val="clear" w:color="auto" w:fill="auto"/>
            <w:noWrap/>
            <w:vAlign w:val="bottom"/>
            <w:hideMark/>
          </w:tcPr>
          <w:p w14:paraId="1FB35B24" w14:textId="77777777" w:rsidR="00705599" w:rsidRPr="000349C1" w:rsidRDefault="00705599" w:rsidP="000349C1">
            <w:pPr>
              <w:keepNext/>
              <w:keepLines/>
              <w:jc w:val="center"/>
              <w:rPr>
                <w:rFonts w:cs="Arial"/>
                <w:color w:val="000000" w:themeColor="text1"/>
                <w:sz w:val="20"/>
              </w:rPr>
            </w:pPr>
            <w:r w:rsidRPr="000349C1">
              <w:rPr>
                <w:color w:val="000000" w:themeColor="text1"/>
                <w:sz w:val="20"/>
              </w:rPr>
              <w:t>20</w:t>
            </w:r>
          </w:p>
        </w:tc>
        <w:tc>
          <w:tcPr>
            <w:tcW w:w="529" w:type="pct"/>
            <w:tcBorders>
              <w:top w:val="nil"/>
              <w:left w:val="nil"/>
              <w:bottom w:val="single" w:sz="12" w:space="0" w:color="002776"/>
              <w:right w:val="nil"/>
            </w:tcBorders>
            <w:shd w:val="clear" w:color="auto" w:fill="auto"/>
            <w:noWrap/>
            <w:vAlign w:val="bottom"/>
            <w:hideMark/>
          </w:tcPr>
          <w:p w14:paraId="3EBC3976" w14:textId="77777777" w:rsidR="00705599" w:rsidRPr="000349C1" w:rsidRDefault="00705599" w:rsidP="000349C1">
            <w:pPr>
              <w:keepNext/>
              <w:keepLines/>
              <w:jc w:val="center"/>
              <w:rPr>
                <w:rFonts w:cs="Arial"/>
                <w:color w:val="000000" w:themeColor="text1"/>
                <w:sz w:val="20"/>
              </w:rPr>
            </w:pPr>
            <w:r w:rsidRPr="000349C1">
              <w:rPr>
                <w:color w:val="000000" w:themeColor="text1"/>
                <w:sz w:val="20"/>
              </w:rPr>
              <w:t>4</w:t>
            </w:r>
          </w:p>
        </w:tc>
        <w:tc>
          <w:tcPr>
            <w:tcW w:w="527" w:type="pct"/>
            <w:tcBorders>
              <w:top w:val="nil"/>
              <w:left w:val="nil"/>
              <w:bottom w:val="single" w:sz="12" w:space="0" w:color="002776"/>
              <w:right w:val="nil"/>
            </w:tcBorders>
            <w:shd w:val="clear" w:color="auto" w:fill="auto"/>
            <w:noWrap/>
            <w:vAlign w:val="bottom"/>
            <w:hideMark/>
          </w:tcPr>
          <w:p w14:paraId="55F54559" w14:textId="77777777" w:rsidR="00705599" w:rsidRPr="000349C1" w:rsidRDefault="00705599" w:rsidP="000349C1">
            <w:pPr>
              <w:keepNext/>
              <w:keepLines/>
              <w:jc w:val="center"/>
              <w:rPr>
                <w:rFonts w:cs="Arial"/>
                <w:color w:val="000000" w:themeColor="text1"/>
                <w:sz w:val="20"/>
              </w:rPr>
            </w:pPr>
            <w:r w:rsidRPr="000349C1">
              <w:rPr>
                <w:color w:val="000000" w:themeColor="text1"/>
                <w:sz w:val="20"/>
              </w:rPr>
              <w:t>205</w:t>
            </w:r>
          </w:p>
        </w:tc>
      </w:tr>
    </w:tbl>
    <w:p w14:paraId="6509D1D5" w14:textId="77777777" w:rsidR="00705599" w:rsidRDefault="00705599" w:rsidP="00705599">
      <w:pPr>
        <w:pStyle w:val="Source"/>
        <w:keepNext/>
        <w:keepLines/>
      </w:pPr>
      <w:r>
        <w:t>Source:</w:t>
      </w:r>
      <w:r w:rsidR="00285257">
        <w:t xml:space="preserve"> Deloitte Access Economics.</w:t>
      </w:r>
    </w:p>
    <w:p w14:paraId="44C3CCD1" w14:textId="77777777" w:rsidR="00705599" w:rsidRDefault="00705599" w:rsidP="00705599">
      <w:pPr>
        <w:pStyle w:val="BodyText"/>
      </w:pPr>
      <w:r>
        <w:t xml:space="preserve">There are also some variations between states, with </w:t>
      </w:r>
      <w:proofErr w:type="spellStart"/>
      <w:r>
        <w:t>NSV</w:t>
      </w:r>
      <w:proofErr w:type="spellEnd"/>
      <w:r>
        <w:t xml:space="preserve"> international students gravitating toward popular tourist states. </w:t>
      </w:r>
      <w:r w:rsidRPr="003B260D">
        <w:t xml:space="preserve">For instance in Queensland, </w:t>
      </w:r>
      <w:proofErr w:type="spellStart"/>
      <w:r w:rsidRPr="003B260D">
        <w:t>NSV</w:t>
      </w:r>
      <w:proofErr w:type="spellEnd"/>
      <w:r w:rsidRPr="003B260D">
        <w:t xml:space="preserve"> enrolments ma</w:t>
      </w:r>
      <w:r w:rsidR="00033565">
        <w:t>de</w:t>
      </w:r>
      <w:r w:rsidRPr="003B260D">
        <w:t xml:space="preserve"> up 25% of the </w:t>
      </w:r>
      <w:proofErr w:type="spellStart"/>
      <w:r w:rsidRPr="003B260D">
        <w:t>ELICOS</w:t>
      </w:r>
      <w:proofErr w:type="spellEnd"/>
      <w:r w:rsidRPr="003B260D">
        <w:t xml:space="preserve"> sector’s export revenue (</w:t>
      </w:r>
      <w:r w:rsidR="00033565">
        <w:fldChar w:fldCharType="begin"/>
      </w:r>
      <w:r w:rsidR="00033565">
        <w:instrText xml:space="preserve"> REF _Ref437335535 \r \h </w:instrText>
      </w:r>
      <w:r w:rsidR="00033565">
        <w:fldChar w:fldCharType="separate"/>
      </w:r>
      <w:r w:rsidR="00F03FA0">
        <w:t>Chart 2.3</w:t>
      </w:r>
      <w:r w:rsidR="00033565">
        <w:fldChar w:fldCharType="end"/>
      </w:r>
      <w:r w:rsidRPr="003B260D">
        <w:t>).</w:t>
      </w:r>
      <w:r>
        <w:t xml:space="preserve"> This reflects observations by consultation participants that </w:t>
      </w:r>
      <w:proofErr w:type="spellStart"/>
      <w:r>
        <w:t>NSV</w:t>
      </w:r>
      <w:proofErr w:type="spellEnd"/>
      <w:r>
        <w:t xml:space="preserve"> international students (especially those on tourist visas) were more likely to choose destinations based on lifestyle, and were more likely to be attracted to metropolitan areas such as Sydney, Melbourne, or the Gold Coast. In contrast, </w:t>
      </w:r>
      <w:r w:rsidR="00033565">
        <w:t xml:space="preserve">participants noted that </w:t>
      </w:r>
      <w:r>
        <w:t xml:space="preserve">regional areas tend to attract </w:t>
      </w:r>
      <w:proofErr w:type="spellStart"/>
      <w:r>
        <w:t>SV</w:t>
      </w:r>
      <w:proofErr w:type="spellEnd"/>
      <w:r>
        <w:t xml:space="preserve"> students who were on pathway programs to enter their preferred universities in those regions. </w:t>
      </w:r>
    </w:p>
    <w:p w14:paraId="2695521B" w14:textId="77777777" w:rsidR="00705599" w:rsidRDefault="00705599" w:rsidP="00705599">
      <w:pPr>
        <w:pStyle w:val="CaptionChart"/>
      </w:pPr>
      <w:bookmarkStart w:id="56" w:name="_Ref437335535"/>
      <w:bookmarkStart w:id="57" w:name="_Toc450809268"/>
      <w:r>
        <w:t xml:space="preserve">: </w:t>
      </w:r>
      <w:proofErr w:type="spellStart"/>
      <w:r>
        <w:t>ELICOS</w:t>
      </w:r>
      <w:proofErr w:type="spellEnd"/>
      <w:r>
        <w:t xml:space="preserve"> export revenue by source, 2014-15</w:t>
      </w:r>
      <w:bookmarkEnd w:id="56"/>
      <w:bookmarkEnd w:id="57"/>
    </w:p>
    <w:p w14:paraId="497BAA07" w14:textId="77777777" w:rsidR="00705599" w:rsidRDefault="00705599" w:rsidP="000349C1">
      <w:pPr>
        <w:pStyle w:val="Source"/>
        <w:ind w:firstLine="567"/>
      </w:pPr>
      <w:r w:rsidRPr="00D31065">
        <w:rPr>
          <w:noProof/>
          <w:lang w:eastAsia="en-AU"/>
        </w:rPr>
        <w:drawing>
          <wp:inline distT="0" distB="0" distL="0" distR="0" wp14:anchorId="5A466751" wp14:editId="459ED862">
            <wp:extent cx="4431600" cy="2718000"/>
            <wp:effectExtent l="0" t="0" r="0" b="0"/>
            <wp:docPr id="50" name="Picture 50" descr="The chart shows the ELICOS export revenue by source and state in financial year 2014–15." title="Chart 2.3: ELICOS export revenue by source,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31600" cy="2718000"/>
                    </a:xfrm>
                    <a:prstGeom prst="rect">
                      <a:avLst/>
                    </a:prstGeom>
                    <a:noFill/>
                    <a:ln>
                      <a:noFill/>
                    </a:ln>
                  </pic:spPr>
                </pic:pic>
              </a:graphicData>
            </a:graphic>
          </wp:inline>
        </w:drawing>
      </w:r>
    </w:p>
    <w:p w14:paraId="2836AEAE" w14:textId="77777777" w:rsidR="000E327E" w:rsidRDefault="00705599" w:rsidP="000349C1">
      <w:pPr>
        <w:pStyle w:val="Source"/>
      </w:pPr>
      <w:r>
        <w:t>Source: Deloitte Access Economics</w:t>
      </w:r>
      <w:r w:rsidR="00285257">
        <w:t>.</w:t>
      </w:r>
    </w:p>
    <w:p w14:paraId="54D7FE69" w14:textId="77777777" w:rsidR="006F21EE" w:rsidRDefault="006F21EE" w:rsidP="00E74E03">
      <w:pPr>
        <w:pStyle w:val="BodyText"/>
        <w:rPr>
          <w:lang w:eastAsia="en-AU"/>
        </w:rPr>
      </w:pPr>
      <w:r>
        <w:lastRenderedPageBreak/>
        <w:t xml:space="preserve">While </w:t>
      </w:r>
      <w:proofErr w:type="spellStart"/>
      <w:r>
        <w:t>ELICOS</w:t>
      </w:r>
      <w:proofErr w:type="spellEnd"/>
      <w:r>
        <w:t xml:space="preserve"> students are an important component of the non-student visa market, </w:t>
      </w:r>
      <w:proofErr w:type="spellStart"/>
      <w:r>
        <w:t>ELICOS</w:t>
      </w:r>
      <w:proofErr w:type="spellEnd"/>
      <w:r>
        <w:t xml:space="preserve"> students are not the only sector that educates those on non-student visas</w:t>
      </w:r>
      <w:r w:rsidRPr="00ED369D">
        <w:t xml:space="preserve">. In particular, </w:t>
      </w:r>
      <w:r>
        <w:t xml:space="preserve">the revenue from </w:t>
      </w:r>
      <w:r w:rsidRPr="00ED369D">
        <w:t>study tour</w:t>
      </w:r>
      <w:r>
        <w:t>s</w:t>
      </w:r>
      <w:r w:rsidRPr="00ED369D">
        <w:t>, which are</w:t>
      </w:r>
      <w:r w:rsidRPr="00ED369D">
        <w:rPr>
          <w:rFonts w:cs="Arial"/>
        </w:rPr>
        <w:t xml:space="preserve"> short-term programs </w:t>
      </w:r>
      <w:r>
        <w:rPr>
          <w:rFonts w:cs="Arial"/>
        </w:rPr>
        <w:t>that</w:t>
      </w:r>
      <w:r w:rsidRPr="00ED369D">
        <w:rPr>
          <w:rFonts w:cs="Arial"/>
        </w:rPr>
        <w:t xml:space="preserve"> combine English language lessons with sightseeing and educational excursions</w:t>
      </w:r>
      <w:r>
        <w:rPr>
          <w:rFonts w:cs="Arial"/>
        </w:rPr>
        <w:t xml:space="preserve"> (typically tourist visas) provided through the schools sector, is also not captured under education related personal travel. While the revenue from these students is likely to be smaller than that for </w:t>
      </w:r>
      <w:proofErr w:type="spellStart"/>
      <w:r>
        <w:rPr>
          <w:rFonts w:cs="Arial"/>
        </w:rPr>
        <w:t>ELICOS</w:t>
      </w:r>
      <w:proofErr w:type="spellEnd"/>
      <w:r>
        <w:rPr>
          <w:rFonts w:cs="Arial"/>
        </w:rPr>
        <w:t xml:space="preserve"> providers it is still significant. Consultation stakeholders suggest that the majority of study tour students are aged between 12 to 16, and stay in Australia for an average of two weeks. </w:t>
      </w:r>
      <w:r w:rsidR="00400FB6" w:rsidRPr="00E74E03">
        <w:rPr>
          <w:rFonts w:cs="Arial"/>
          <w:b/>
          <w:color w:val="002776" w:themeColor="text2"/>
        </w:rPr>
        <w:t>Public schools, which account for the majority of study tours, hosted over 19,000 students in 2015</w:t>
      </w:r>
      <w:r w:rsidR="00400FB6" w:rsidRPr="002B16FC">
        <w:rPr>
          <w:rFonts w:cs="Arial"/>
          <w:b/>
          <w:color w:val="002776" w:themeColor="text2"/>
        </w:rPr>
        <w:t>.</w:t>
      </w:r>
      <w:r w:rsidR="00400FB6" w:rsidRPr="00E74E03">
        <w:rPr>
          <w:rFonts w:cs="Arial"/>
          <w:color w:val="002776" w:themeColor="text2"/>
        </w:rPr>
        <w:t xml:space="preserve"> </w:t>
      </w:r>
      <w:r w:rsidR="00554B21" w:rsidRPr="00E74E03">
        <w:rPr>
          <w:rFonts w:cs="Arial"/>
        </w:rPr>
        <w:t xml:space="preserve">Based on the average student revenue for five states and territories, it is estimated that export revenue from the public school study tour sector </w:t>
      </w:r>
      <w:r w:rsidR="000977C7">
        <w:rPr>
          <w:rFonts w:cs="Arial"/>
        </w:rPr>
        <w:t xml:space="preserve">nationally </w:t>
      </w:r>
      <w:r w:rsidR="00554B21" w:rsidRPr="00E74E03">
        <w:rPr>
          <w:rFonts w:cs="Arial"/>
        </w:rPr>
        <w:t>was approximately $13.7 million in 2015.</w:t>
      </w:r>
      <w:r w:rsidR="00554B21" w:rsidRPr="00E74E03">
        <w:rPr>
          <w:rStyle w:val="FootnoteReference"/>
          <w:rFonts w:cs="Arial"/>
        </w:rPr>
        <w:footnoteReference w:id="5"/>
      </w:r>
      <w:r w:rsidR="00554B21" w:rsidRPr="00E74E03">
        <w:rPr>
          <w:rFonts w:cs="Arial"/>
        </w:rPr>
        <w:t xml:space="preserve"> </w:t>
      </w:r>
      <w:r w:rsidR="00400FB6" w:rsidRPr="00E74E03">
        <w:rPr>
          <w:rFonts w:cs="Arial"/>
        </w:rPr>
        <w:t xml:space="preserve">Additionally, </w:t>
      </w:r>
      <w:r w:rsidR="00400FB6">
        <w:rPr>
          <w:rFonts w:cs="Arial"/>
        </w:rPr>
        <w:t>the schools sector hosted professional visits for teachers from other countries.</w:t>
      </w:r>
    </w:p>
    <w:p w14:paraId="7D47DAA2" w14:textId="77777777" w:rsidR="000E327E" w:rsidRPr="000E327E" w:rsidRDefault="000E327E" w:rsidP="00163EA3">
      <w:pPr>
        <w:pStyle w:val="Heading2"/>
        <w:rPr>
          <w:lang w:eastAsia="en-AU"/>
        </w:rPr>
      </w:pPr>
      <w:bookmarkStart w:id="58" w:name="_Ref436924763"/>
      <w:bookmarkStart w:id="59" w:name="_Toc450809235"/>
      <w:r>
        <w:rPr>
          <w:lang w:eastAsia="en-AU"/>
        </w:rPr>
        <w:t>Offshore revenue</w:t>
      </w:r>
      <w:bookmarkEnd w:id="58"/>
      <w:bookmarkEnd w:id="59"/>
    </w:p>
    <w:p w14:paraId="489B668C" w14:textId="77777777" w:rsidR="00823123" w:rsidRDefault="00823123" w:rsidP="00823123">
      <w:pPr>
        <w:pStyle w:val="BodyText"/>
        <w:rPr>
          <w:lang w:eastAsia="en-AU"/>
        </w:rPr>
      </w:pPr>
      <w:r>
        <w:rPr>
          <w:lang w:eastAsia="en-AU"/>
        </w:rPr>
        <w:t xml:space="preserve">While not as significant as onshore international education, in terms of student numbers and recent rates of growth, offshore delivery of international education is a significant component of international education services for Australia, with about one quarter of all international students located offshore (PC, </w:t>
      </w:r>
      <w:proofErr w:type="spellStart"/>
      <w:r>
        <w:rPr>
          <w:lang w:eastAsia="en-AU"/>
        </w:rPr>
        <w:t>2015</w:t>
      </w:r>
      <w:r w:rsidR="000E01F2">
        <w:rPr>
          <w:lang w:eastAsia="en-AU"/>
        </w:rPr>
        <w:t>a</w:t>
      </w:r>
      <w:proofErr w:type="spellEnd"/>
      <w:r>
        <w:rPr>
          <w:lang w:eastAsia="en-AU"/>
        </w:rPr>
        <w:t xml:space="preserve">). </w:t>
      </w:r>
    </w:p>
    <w:p w14:paraId="0CB9DFB4" w14:textId="77777777" w:rsidR="00823123" w:rsidRDefault="00823123" w:rsidP="00823123">
      <w:pPr>
        <w:pStyle w:val="BodyText"/>
        <w:rPr>
          <w:lang w:eastAsia="en-AU"/>
        </w:rPr>
      </w:pPr>
      <w:r>
        <w:rPr>
          <w:lang w:eastAsia="en-AU"/>
        </w:rPr>
        <w:t>Australia (in particular, Australian universities) has led the world in establishing new branch campuses of Australian institutions overseas and developing further offshore education services</w:t>
      </w:r>
      <w:r w:rsidR="002E262C">
        <w:rPr>
          <w:lang w:eastAsia="en-AU"/>
        </w:rPr>
        <w:t>, including</w:t>
      </w:r>
      <w:r>
        <w:rPr>
          <w:lang w:eastAsia="en-AU"/>
        </w:rPr>
        <w:t xml:space="preserve"> through online delivery modes</w:t>
      </w:r>
      <w:r>
        <w:rPr>
          <w:i/>
          <w:lang w:eastAsia="en-AU"/>
        </w:rPr>
        <w:t xml:space="preserve"> </w:t>
      </w:r>
      <w:r>
        <w:rPr>
          <w:lang w:eastAsia="en-AU"/>
        </w:rPr>
        <w:t>(Macdonald, 2006).</w:t>
      </w:r>
    </w:p>
    <w:p w14:paraId="51C7C3DF" w14:textId="5E91AA64" w:rsidR="00C235A3" w:rsidRDefault="00823123" w:rsidP="00823123">
      <w:pPr>
        <w:pStyle w:val="BodyText"/>
        <w:spacing w:after="120"/>
        <w:rPr>
          <w:lang w:eastAsia="en-AU"/>
        </w:rPr>
      </w:pPr>
      <w:r>
        <w:rPr>
          <w:lang w:eastAsia="en-AU"/>
        </w:rPr>
        <w:t>Offshore international education includes formal schooling, VET and higher education, as well as non-accredited education programs at various levels. M</w:t>
      </w:r>
      <w:r w:rsidRPr="00AF6BEF">
        <w:rPr>
          <w:lang w:eastAsia="en-AU"/>
        </w:rPr>
        <w:t xml:space="preserve">ost </w:t>
      </w:r>
      <w:r>
        <w:rPr>
          <w:lang w:eastAsia="en-AU"/>
        </w:rPr>
        <w:t xml:space="preserve">offshore international students </w:t>
      </w:r>
      <w:r w:rsidRPr="00AF6BEF">
        <w:rPr>
          <w:lang w:eastAsia="en-AU"/>
        </w:rPr>
        <w:t>(around 70 per cent) are studying</w:t>
      </w:r>
      <w:r>
        <w:rPr>
          <w:lang w:eastAsia="en-AU"/>
        </w:rPr>
        <w:t xml:space="preserve"> in the higher education sector. </w:t>
      </w:r>
      <w:r w:rsidRPr="00AF6BEF">
        <w:rPr>
          <w:lang w:eastAsia="en-AU"/>
        </w:rPr>
        <w:t>In the VET sector, private VET providers have a higher proportion of international students onshore while the opposite is true for public VET providers</w:t>
      </w:r>
      <w:r>
        <w:rPr>
          <w:lang w:eastAsia="en-AU"/>
        </w:rPr>
        <w:t xml:space="preserve"> (PC, </w:t>
      </w:r>
      <w:proofErr w:type="spellStart"/>
      <w:r>
        <w:rPr>
          <w:lang w:eastAsia="en-AU"/>
        </w:rPr>
        <w:t>2015</w:t>
      </w:r>
      <w:r w:rsidR="00961AEE">
        <w:rPr>
          <w:lang w:eastAsia="en-AU"/>
        </w:rPr>
        <w:t>a</w:t>
      </w:r>
      <w:proofErr w:type="spellEnd"/>
      <w:r>
        <w:rPr>
          <w:lang w:eastAsia="en-AU"/>
        </w:rPr>
        <w:t>). In schooling, a small number of independent and government schools deliver Australian high school curricula and certificates offshore, either through licensing and partnership arrangements or through ‘</w:t>
      </w:r>
      <w:r w:rsidRPr="006C15BF">
        <w:rPr>
          <w:lang w:eastAsia="en-AU"/>
        </w:rPr>
        <w:t>in situ</w:t>
      </w:r>
      <w:r>
        <w:rPr>
          <w:lang w:eastAsia="en-AU"/>
        </w:rPr>
        <w:t>’ branch campuses.</w:t>
      </w:r>
    </w:p>
    <w:p w14:paraId="1542AAE7" w14:textId="77777777" w:rsidR="00C235A3" w:rsidRDefault="00C235A3">
      <w:pPr>
        <w:rPr>
          <w:lang w:eastAsia="en-AU"/>
        </w:rPr>
      </w:pPr>
      <w:r>
        <w:rPr>
          <w:lang w:eastAsia="en-AU"/>
        </w:rPr>
        <w:br w:type="page"/>
      </w:r>
    </w:p>
    <w:p w14:paraId="625BAFE4" w14:textId="77777777" w:rsidR="00C235A3" w:rsidRPr="002D0A7C" w:rsidRDefault="00C235A3" w:rsidP="00163EA3">
      <w:pPr>
        <w:pStyle w:val="HeadingC"/>
        <w:pBdr>
          <w:top w:val="single" w:sz="4" w:space="1" w:color="auto"/>
          <w:left w:val="single" w:sz="4" w:space="4" w:color="auto"/>
          <w:bottom w:val="single" w:sz="4" w:space="1" w:color="auto"/>
          <w:right w:val="single" w:sz="4" w:space="4" w:color="auto"/>
        </w:pBdr>
        <w:shd w:val="clear" w:color="auto" w:fill="B0CAFF" w:themeFill="text2" w:themeFillTint="33"/>
        <w:jc w:val="center"/>
        <w:outlineLvl w:val="0"/>
      </w:pPr>
      <w:r w:rsidRPr="002D0A7C">
        <w:lastRenderedPageBreak/>
        <w:t>Offshore international education revenue - key findings:</w:t>
      </w:r>
    </w:p>
    <w:p w14:paraId="7277B3EA" w14:textId="77777777" w:rsidR="00C235A3" w:rsidRPr="00CF0675" w:rsidRDefault="00C235A3" w:rsidP="00C235A3">
      <w:pPr>
        <w:pStyle w:val="BodyText"/>
        <w:pBdr>
          <w:top w:val="single" w:sz="4" w:space="1" w:color="auto"/>
          <w:left w:val="single" w:sz="4" w:space="4" w:color="auto"/>
          <w:bottom w:val="single" w:sz="4" w:space="1" w:color="auto"/>
          <w:right w:val="single" w:sz="4" w:space="4" w:color="auto"/>
        </w:pBdr>
        <w:shd w:val="clear" w:color="auto" w:fill="B0CAFF" w:themeFill="text2" w:themeFillTint="33"/>
      </w:pPr>
      <w:r w:rsidRPr="00CF0675">
        <w:t xml:space="preserve">Deloitte Access Economics estimates the value of international offshore education export income to be around </w:t>
      </w:r>
      <w:r w:rsidRPr="004213EC">
        <w:rPr>
          <w:rStyle w:val="Boldword"/>
          <w:b w:val="0"/>
          <w:color w:val="auto"/>
        </w:rPr>
        <w:t>$</w:t>
      </w:r>
      <w:r>
        <w:rPr>
          <w:rStyle w:val="Boldword"/>
          <w:b w:val="0"/>
          <w:color w:val="auto"/>
        </w:rPr>
        <w:t>434</w:t>
      </w:r>
      <w:r w:rsidRPr="004213EC">
        <w:rPr>
          <w:rStyle w:val="Boldword"/>
          <w:b w:val="0"/>
          <w:color w:val="auto"/>
        </w:rPr>
        <w:t xml:space="preserve"> </w:t>
      </w:r>
      <w:r w:rsidRPr="006E5B03">
        <w:rPr>
          <w:rStyle w:val="Boldword"/>
          <w:b w:val="0"/>
          <w:color w:val="auto"/>
        </w:rPr>
        <w:t>million in 2014, this comprises:</w:t>
      </w:r>
    </w:p>
    <w:p w14:paraId="753DFC09" w14:textId="77777777" w:rsidR="00C235A3" w:rsidRPr="006E5B03" w:rsidRDefault="00C235A3" w:rsidP="00C235A3">
      <w:pPr>
        <w:pStyle w:val="Bullet1"/>
        <w:pBdr>
          <w:top w:val="single" w:sz="4" w:space="1" w:color="auto"/>
          <w:left w:val="single" w:sz="4" w:space="4" w:color="auto"/>
          <w:bottom w:val="single" w:sz="4" w:space="1" w:color="auto"/>
          <w:right w:val="single" w:sz="4" w:space="4" w:color="auto"/>
        </w:pBdr>
        <w:shd w:val="clear" w:color="auto" w:fill="B0CAFF" w:themeFill="text2" w:themeFillTint="33"/>
        <w:rPr>
          <w:rStyle w:val="Boldword"/>
          <w:b w:val="0"/>
          <w:color w:val="auto"/>
        </w:rPr>
      </w:pPr>
      <w:r w:rsidRPr="004213EC">
        <w:rPr>
          <w:rStyle w:val="Boldword"/>
          <w:b w:val="0"/>
          <w:color w:val="auto"/>
        </w:rPr>
        <w:t>$382 million from offshore higher education.</w:t>
      </w:r>
    </w:p>
    <w:p w14:paraId="65FAD1FD" w14:textId="77777777" w:rsidR="00C235A3" w:rsidRPr="00CF0675" w:rsidRDefault="00C235A3" w:rsidP="00C235A3">
      <w:pPr>
        <w:pStyle w:val="Bullet1"/>
        <w:pBdr>
          <w:top w:val="single" w:sz="4" w:space="1" w:color="auto"/>
          <w:left w:val="single" w:sz="4" w:space="4" w:color="auto"/>
          <w:bottom w:val="single" w:sz="4" w:space="1" w:color="auto"/>
          <w:right w:val="single" w:sz="4" w:space="4" w:color="auto"/>
        </w:pBdr>
        <w:shd w:val="clear" w:color="auto" w:fill="B0CAFF" w:themeFill="text2" w:themeFillTint="33"/>
      </w:pPr>
      <w:r w:rsidRPr="006E5B03">
        <w:rPr>
          <w:rStyle w:val="Boldword"/>
          <w:b w:val="0"/>
          <w:color w:val="auto"/>
        </w:rPr>
        <w:t>$</w:t>
      </w:r>
      <w:r>
        <w:rPr>
          <w:rStyle w:val="Boldword"/>
          <w:b w:val="0"/>
          <w:color w:val="auto"/>
        </w:rPr>
        <w:t>53</w:t>
      </w:r>
      <w:r w:rsidRPr="004213EC">
        <w:rPr>
          <w:rStyle w:val="Boldword"/>
          <w:b w:val="0"/>
          <w:color w:val="auto"/>
        </w:rPr>
        <w:t xml:space="preserve"> </w:t>
      </w:r>
      <w:r w:rsidRPr="006E5B03">
        <w:rPr>
          <w:rStyle w:val="Boldword"/>
          <w:b w:val="0"/>
          <w:color w:val="auto"/>
        </w:rPr>
        <w:t>million</w:t>
      </w:r>
      <w:r w:rsidRPr="00CF0675">
        <w:t xml:space="preserve"> from offshore </w:t>
      </w:r>
      <w:r w:rsidRPr="004213EC">
        <w:rPr>
          <w:rStyle w:val="Boldword"/>
          <w:b w:val="0"/>
          <w:color w:val="auto"/>
        </w:rPr>
        <w:t>VET</w:t>
      </w:r>
      <w:r w:rsidRPr="00CF0675">
        <w:t>.</w:t>
      </w:r>
    </w:p>
    <w:p w14:paraId="39A31AF6" w14:textId="6256C654" w:rsidR="00C235A3" w:rsidRDefault="00C235A3" w:rsidP="00677B28">
      <w:pPr>
        <w:pStyle w:val="BodyText"/>
        <w:pBdr>
          <w:top w:val="single" w:sz="4" w:space="1" w:color="auto"/>
          <w:left w:val="single" w:sz="4" w:space="4" w:color="auto"/>
          <w:bottom w:val="single" w:sz="4" w:space="1" w:color="auto"/>
          <w:right w:val="single" w:sz="4" w:space="4" w:color="auto"/>
        </w:pBdr>
        <w:shd w:val="clear" w:color="auto" w:fill="B0CAFF" w:themeFill="text2" w:themeFillTint="33"/>
        <w:spacing w:after="120"/>
      </w:pPr>
      <w:r w:rsidRPr="00CF0675">
        <w:t xml:space="preserve">While there is some provision of international education in </w:t>
      </w:r>
      <w:r w:rsidRPr="004213EC">
        <w:rPr>
          <w:rStyle w:val="Boldword"/>
          <w:b w:val="0"/>
          <w:color w:val="auto"/>
        </w:rPr>
        <w:t>schools</w:t>
      </w:r>
      <w:r w:rsidRPr="00CF0675">
        <w:t xml:space="preserve"> offshore, the value of these services is likely to be small.</w:t>
      </w:r>
    </w:p>
    <w:p w14:paraId="74F07715" w14:textId="77777777" w:rsidR="00823123" w:rsidRDefault="00823123" w:rsidP="00163EA3">
      <w:pPr>
        <w:pStyle w:val="Heading3"/>
        <w:rPr>
          <w:lang w:eastAsia="en-AU"/>
        </w:rPr>
      </w:pPr>
      <w:r>
        <w:rPr>
          <w:lang w:eastAsia="en-AU"/>
        </w:rPr>
        <w:t>Offshore higher education</w:t>
      </w:r>
    </w:p>
    <w:p w14:paraId="48155B10" w14:textId="77777777" w:rsidR="00823123" w:rsidRDefault="00823123" w:rsidP="00823123">
      <w:pPr>
        <w:pStyle w:val="BodyText"/>
        <w:rPr>
          <w:lang w:eastAsia="en-AU"/>
        </w:rPr>
      </w:pPr>
      <w:r>
        <w:rPr>
          <w:lang w:eastAsia="en-AU"/>
        </w:rPr>
        <w:t>In 2014 there were over 800 higher education programs offered by Australian universities offshore, delivered predominately offshore through ‘in situ’ branch campuses (Universities Australia, 2014). In 2014, there were:</w:t>
      </w:r>
    </w:p>
    <w:p w14:paraId="76534701" w14:textId="77777777" w:rsidR="00823123" w:rsidRDefault="00823123" w:rsidP="00823123">
      <w:pPr>
        <w:pStyle w:val="Bullet1"/>
      </w:pPr>
      <w:r>
        <w:t>31 offshore Australian university campuses associated with 14 different Australian universities</w:t>
      </w:r>
      <w:r w:rsidR="00961AEE">
        <w:t>;</w:t>
      </w:r>
    </w:p>
    <w:p w14:paraId="73D7FB87" w14:textId="77777777" w:rsidR="00823123" w:rsidRDefault="00823123" w:rsidP="00823123">
      <w:pPr>
        <w:pStyle w:val="Bullet1"/>
      </w:pPr>
      <w:r>
        <w:t xml:space="preserve">10 Australian universities </w:t>
      </w:r>
      <w:r w:rsidR="002E262C">
        <w:t xml:space="preserve">providing </w:t>
      </w:r>
      <w:r>
        <w:t>offshore programs by distance</w:t>
      </w:r>
      <w:r w:rsidR="00961AEE">
        <w:t>; and</w:t>
      </w:r>
    </w:p>
    <w:p w14:paraId="3FD96826" w14:textId="77777777" w:rsidR="00823123" w:rsidRDefault="00823123" w:rsidP="00823123">
      <w:pPr>
        <w:pStyle w:val="Bullet1"/>
      </w:pPr>
      <w:r>
        <w:t>14 universities deliver</w:t>
      </w:r>
      <w:r w:rsidR="002E262C">
        <w:t>ing</w:t>
      </w:r>
      <w:r>
        <w:t xml:space="preserve"> a complement of the offshore course </w:t>
      </w:r>
      <w:r w:rsidR="002E262C">
        <w:t>with</w:t>
      </w:r>
      <w:r>
        <w:t>in Australia (Universities Australia, 201</w:t>
      </w:r>
      <w:r w:rsidR="00961AEE">
        <w:t>4</w:t>
      </w:r>
      <w:r>
        <w:t>).</w:t>
      </w:r>
    </w:p>
    <w:p w14:paraId="127D4842" w14:textId="005CEC40" w:rsidR="00823123" w:rsidRDefault="00823123" w:rsidP="00823123">
      <w:pPr>
        <w:pStyle w:val="BodyText"/>
      </w:pPr>
      <w:r>
        <w:t xml:space="preserve">As shown in </w:t>
      </w:r>
      <w:r>
        <w:fldChar w:fldCharType="begin"/>
      </w:r>
      <w:r>
        <w:instrText xml:space="preserve"> REF _Ref435706544 \r \h </w:instrText>
      </w:r>
      <w:r>
        <w:fldChar w:fldCharType="separate"/>
      </w:r>
      <w:r w:rsidR="00F03FA0">
        <w:t>Figure 2.2</w:t>
      </w:r>
      <w:r>
        <w:fldChar w:fldCharType="end"/>
      </w:r>
      <w:r>
        <w:t>, the largest source country for higher education offshore programs is Malaysia, with a total of nine campuses located there, from a total of five Australian universities. Singapore, China and Hong Kong also have a large Australian offshore higher education presence. Australian university offshore campuses are predominantly based in Asia, but there is also presence in the Middle East and Africa (</w:t>
      </w:r>
      <w:proofErr w:type="spellStart"/>
      <w:r>
        <w:t>DET</w:t>
      </w:r>
      <w:proofErr w:type="spellEnd"/>
      <w:r>
        <w:t xml:space="preserve">, </w:t>
      </w:r>
      <w:proofErr w:type="spellStart"/>
      <w:r>
        <w:t>2015</w:t>
      </w:r>
      <w:r w:rsidR="00961AEE">
        <w:t>e</w:t>
      </w:r>
      <w:proofErr w:type="spellEnd"/>
      <w:r>
        <w:t>)</w:t>
      </w:r>
      <w:r w:rsidR="00677B28">
        <w:t>.</w:t>
      </w:r>
    </w:p>
    <w:p w14:paraId="6B49C645" w14:textId="77777777" w:rsidR="00823123" w:rsidRDefault="000349C1" w:rsidP="00823123">
      <w:pPr>
        <w:pStyle w:val="CaptionFigure"/>
      </w:pPr>
      <w:bookmarkStart w:id="60" w:name="_Toc450809295"/>
      <w:r>
        <w:t>:</w:t>
      </w:r>
      <w:r w:rsidR="00823123">
        <w:t xml:space="preserve"> </w:t>
      </w:r>
      <w:bookmarkStart w:id="61" w:name="_Toc435710779"/>
      <w:bookmarkStart w:id="62" w:name="_Ref435706544"/>
      <w:r w:rsidR="00823123">
        <w:t>Top four source countries for offshore programs</w:t>
      </w:r>
      <w:bookmarkEnd w:id="61"/>
      <w:bookmarkEnd w:id="60"/>
      <w:r w:rsidR="00823123">
        <w:t xml:space="preserve"> </w:t>
      </w:r>
      <w:bookmarkEnd w:id="62"/>
    </w:p>
    <w:p w14:paraId="08482B0C" w14:textId="77777777" w:rsidR="00823123" w:rsidRDefault="00823123" w:rsidP="00823123">
      <w:pPr>
        <w:pStyle w:val="BodyText"/>
        <w:jc w:val="center"/>
        <w:rPr>
          <w:lang w:eastAsia="en-AU"/>
        </w:rPr>
      </w:pPr>
      <w:r>
        <w:rPr>
          <w:noProof/>
          <w:lang w:eastAsia="en-AU"/>
        </w:rPr>
        <w:drawing>
          <wp:inline distT="0" distB="0" distL="0" distR="0" wp14:anchorId="6029E66C" wp14:editId="0181FA68">
            <wp:extent cx="2762250" cy="1657120"/>
            <wp:effectExtent l="0" t="0" r="0" b="0"/>
            <wp:docPr id="11" name="Picture 11" descr="The figure shows top four source countries for higher education offshore programs." title="Figure 2.2: Top four source countries for offshore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77508" cy="1666273"/>
                    </a:xfrm>
                    <a:prstGeom prst="rect">
                      <a:avLst/>
                    </a:prstGeom>
                    <a:noFill/>
                  </pic:spPr>
                </pic:pic>
              </a:graphicData>
            </a:graphic>
          </wp:inline>
        </w:drawing>
      </w:r>
    </w:p>
    <w:p w14:paraId="53A82714" w14:textId="77777777" w:rsidR="00823123" w:rsidRDefault="00823123" w:rsidP="00163EA3">
      <w:pPr>
        <w:pStyle w:val="Source"/>
        <w:spacing w:before="120"/>
        <w:outlineLvl w:val="0"/>
        <w:rPr>
          <w:lang w:eastAsia="en-AU"/>
        </w:rPr>
      </w:pPr>
      <w:r>
        <w:rPr>
          <w:lang w:eastAsia="en-AU"/>
        </w:rPr>
        <w:t>Source: Universities Australia, 2014</w:t>
      </w:r>
    </w:p>
    <w:p w14:paraId="74EFFB2F" w14:textId="77777777" w:rsidR="00823123" w:rsidRDefault="00823123" w:rsidP="00823123">
      <w:pPr>
        <w:pStyle w:val="BodyText"/>
        <w:rPr>
          <w:lang w:eastAsia="en-AU"/>
        </w:rPr>
      </w:pPr>
      <w:r>
        <w:rPr>
          <w:lang w:eastAsia="en-AU"/>
        </w:rPr>
        <w:t xml:space="preserve">In 2014 there were just over 110,000 international students enrolled in Australian offshore higher education programs, with around 23% studying by distance, as shown in </w:t>
      </w:r>
      <w:r>
        <w:rPr>
          <w:lang w:eastAsia="en-AU"/>
        </w:rPr>
        <w:fldChar w:fldCharType="begin"/>
      </w:r>
      <w:r>
        <w:rPr>
          <w:lang w:eastAsia="en-AU"/>
        </w:rPr>
        <w:instrText xml:space="preserve"> REF _Ref435708214 \r \h </w:instrText>
      </w:r>
      <w:r>
        <w:rPr>
          <w:lang w:eastAsia="en-AU"/>
        </w:rPr>
      </w:r>
      <w:r>
        <w:rPr>
          <w:lang w:eastAsia="en-AU"/>
        </w:rPr>
        <w:fldChar w:fldCharType="separate"/>
      </w:r>
      <w:r w:rsidR="00F03FA0">
        <w:rPr>
          <w:lang w:eastAsia="en-AU"/>
        </w:rPr>
        <w:t>Chart 2.4</w:t>
      </w:r>
      <w:r>
        <w:rPr>
          <w:lang w:eastAsia="en-AU"/>
        </w:rPr>
        <w:fldChar w:fldCharType="end"/>
      </w:r>
      <w:r>
        <w:rPr>
          <w:lang w:eastAsia="en-AU"/>
        </w:rPr>
        <w:t xml:space="preserve">. </w:t>
      </w:r>
    </w:p>
    <w:p w14:paraId="358440DF" w14:textId="77777777" w:rsidR="00823123" w:rsidRDefault="00823123" w:rsidP="00823123">
      <w:pPr>
        <w:pStyle w:val="BodyText"/>
        <w:rPr>
          <w:lang w:eastAsia="en-AU"/>
        </w:rPr>
      </w:pPr>
      <w:r>
        <w:rPr>
          <w:lang w:eastAsia="en-AU"/>
        </w:rPr>
        <w:t>Recent years have seen slow rates of growth in offshore international student numbers, with the total number of students growing by just over 1% in 2014, compared to over 8% growth for international students studying onshore (</w:t>
      </w:r>
      <w:proofErr w:type="spellStart"/>
      <w:r>
        <w:rPr>
          <w:lang w:eastAsia="en-AU"/>
        </w:rPr>
        <w:t>DET</w:t>
      </w:r>
      <w:proofErr w:type="spellEnd"/>
      <w:r>
        <w:rPr>
          <w:lang w:eastAsia="en-AU"/>
        </w:rPr>
        <w:t xml:space="preserve">, </w:t>
      </w:r>
      <w:proofErr w:type="spellStart"/>
      <w:r>
        <w:rPr>
          <w:lang w:eastAsia="en-AU"/>
        </w:rPr>
        <w:t>2015</w:t>
      </w:r>
      <w:r w:rsidR="00961AEE">
        <w:rPr>
          <w:lang w:eastAsia="en-AU"/>
        </w:rPr>
        <w:t>e</w:t>
      </w:r>
      <w:proofErr w:type="spellEnd"/>
      <w:r>
        <w:rPr>
          <w:lang w:eastAsia="en-AU"/>
        </w:rPr>
        <w:t xml:space="preserve">). However, the offshore international education market continues to present a significant market growth </w:t>
      </w:r>
      <w:r>
        <w:rPr>
          <w:lang w:eastAsia="en-AU"/>
        </w:rPr>
        <w:lastRenderedPageBreak/>
        <w:t>opportunity for Australian universities and other higher education providers, in particular as capacity constraints in the delivery of onshore international education become more apparent with further growth in the sector.</w:t>
      </w:r>
    </w:p>
    <w:p w14:paraId="2DB97C29" w14:textId="77777777" w:rsidR="00823123" w:rsidRDefault="000349C1" w:rsidP="00823123">
      <w:pPr>
        <w:pStyle w:val="CaptionChart"/>
        <w:rPr>
          <w:lang w:eastAsia="en-AU"/>
        </w:rPr>
      </w:pPr>
      <w:bookmarkStart w:id="63" w:name="_Toc450809269"/>
      <w:r>
        <w:rPr>
          <w:lang w:eastAsia="en-AU"/>
        </w:rPr>
        <w:t>:</w:t>
      </w:r>
      <w:r w:rsidR="00823123">
        <w:rPr>
          <w:lang w:eastAsia="en-AU"/>
        </w:rPr>
        <w:t xml:space="preserve"> </w:t>
      </w:r>
      <w:bookmarkStart w:id="64" w:name="_Ref435708214"/>
      <w:bookmarkStart w:id="65" w:name="_Toc435710778"/>
      <w:r w:rsidR="00823123">
        <w:rPr>
          <w:lang w:eastAsia="en-AU"/>
        </w:rPr>
        <w:t>Offshore higher education student numbers, 2012-2014</w:t>
      </w:r>
      <w:bookmarkEnd w:id="64"/>
      <w:bookmarkEnd w:id="65"/>
      <w:bookmarkEnd w:id="63"/>
    </w:p>
    <w:p w14:paraId="3FDCFFDF" w14:textId="77777777" w:rsidR="00823123" w:rsidRDefault="00823123" w:rsidP="00823123">
      <w:pPr>
        <w:pStyle w:val="BodyText"/>
        <w:jc w:val="center"/>
        <w:rPr>
          <w:lang w:eastAsia="en-AU"/>
        </w:rPr>
      </w:pPr>
      <w:r>
        <w:rPr>
          <w:noProof/>
          <w:lang w:eastAsia="en-AU"/>
        </w:rPr>
        <w:drawing>
          <wp:inline distT="0" distB="0" distL="0" distR="0" wp14:anchorId="4E5D7D4C" wp14:editId="07EF1362">
            <wp:extent cx="4219575" cy="2993377"/>
            <wp:effectExtent l="0" t="0" r="0" b="4445"/>
            <wp:docPr id="18" name="Picture 18" descr="The chart shows the offshore higher education student numbers from year 2012 to 2014." title="Chart 2.4: Offshore higher education student numbers, 2012–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23878" cy="2996430"/>
                    </a:xfrm>
                    <a:prstGeom prst="rect">
                      <a:avLst/>
                    </a:prstGeom>
                    <a:noFill/>
                  </pic:spPr>
                </pic:pic>
              </a:graphicData>
            </a:graphic>
          </wp:inline>
        </w:drawing>
      </w:r>
    </w:p>
    <w:p w14:paraId="1C50D2B9" w14:textId="77777777" w:rsidR="00823123" w:rsidRDefault="00823123" w:rsidP="00163EA3">
      <w:pPr>
        <w:pStyle w:val="Source"/>
        <w:outlineLvl w:val="0"/>
        <w:rPr>
          <w:lang w:eastAsia="en-AU"/>
        </w:rPr>
      </w:pPr>
      <w:r>
        <w:rPr>
          <w:lang w:eastAsia="en-AU"/>
        </w:rPr>
        <w:t xml:space="preserve">Source: </w:t>
      </w:r>
      <w:proofErr w:type="spellStart"/>
      <w:r>
        <w:rPr>
          <w:lang w:eastAsia="en-AU"/>
        </w:rPr>
        <w:t>DET</w:t>
      </w:r>
      <w:proofErr w:type="spellEnd"/>
      <w:r>
        <w:rPr>
          <w:lang w:eastAsia="en-AU"/>
        </w:rPr>
        <w:t xml:space="preserve">, </w:t>
      </w:r>
      <w:proofErr w:type="spellStart"/>
      <w:r>
        <w:rPr>
          <w:lang w:eastAsia="en-AU"/>
        </w:rPr>
        <w:t>2015</w:t>
      </w:r>
      <w:r w:rsidR="00961AEE">
        <w:rPr>
          <w:lang w:eastAsia="en-AU"/>
        </w:rPr>
        <w:t>e</w:t>
      </w:r>
      <w:proofErr w:type="spellEnd"/>
    </w:p>
    <w:p w14:paraId="63B0CC56" w14:textId="77777777" w:rsidR="00823123" w:rsidRDefault="00823123" w:rsidP="00823123">
      <w:pPr>
        <w:pStyle w:val="BodyText"/>
        <w:rPr>
          <w:lang w:eastAsia="en-AU"/>
        </w:rPr>
      </w:pPr>
      <w:r w:rsidRPr="00A0558E">
        <w:rPr>
          <w:lang w:eastAsia="en-AU"/>
        </w:rPr>
        <w:t xml:space="preserve">In addition to the </w:t>
      </w:r>
      <w:r>
        <w:rPr>
          <w:lang w:eastAsia="en-AU"/>
        </w:rPr>
        <w:t>offshore</w:t>
      </w:r>
      <w:r w:rsidRPr="00A0558E">
        <w:rPr>
          <w:lang w:eastAsia="en-AU"/>
        </w:rPr>
        <w:t xml:space="preserve"> Higher Education campuses established</w:t>
      </w:r>
      <w:r>
        <w:rPr>
          <w:lang w:eastAsia="en-AU"/>
        </w:rPr>
        <w:t xml:space="preserve"> ‘in situ’</w:t>
      </w:r>
      <w:r w:rsidRPr="00A0558E">
        <w:rPr>
          <w:lang w:eastAsia="en-AU"/>
        </w:rPr>
        <w:t xml:space="preserve"> by </w:t>
      </w:r>
      <w:r>
        <w:rPr>
          <w:lang w:eastAsia="en-AU"/>
        </w:rPr>
        <w:t xml:space="preserve">institutions like </w:t>
      </w:r>
      <w:r w:rsidRPr="00A0558E">
        <w:rPr>
          <w:lang w:eastAsia="en-AU"/>
        </w:rPr>
        <w:t xml:space="preserve">Monash University (Malaysia) and University of Wollongong (United Arab Emirates), </w:t>
      </w:r>
      <w:r w:rsidR="0068646E">
        <w:rPr>
          <w:lang w:eastAsia="en-AU"/>
        </w:rPr>
        <w:t>h</w:t>
      </w:r>
      <w:r w:rsidRPr="00A0558E">
        <w:rPr>
          <w:lang w:eastAsia="en-AU"/>
        </w:rPr>
        <w:t xml:space="preserve">igher </w:t>
      </w:r>
      <w:r w:rsidR="0068646E">
        <w:rPr>
          <w:lang w:eastAsia="en-AU"/>
        </w:rPr>
        <w:t>e</w:t>
      </w:r>
      <w:r w:rsidRPr="00A0558E">
        <w:rPr>
          <w:lang w:eastAsia="en-AU"/>
        </w:rPr>
        <w:t xml:space="preserve">ducation institutions are </w:t>
      </w:r>
      <w:r>
        <w:rPr>
          <w:lang w:eastAsia="en-AU"/>
        </w:rPr>
        <w:t>working to expand</w:t>
      </w:r>
      <w:r w:rsidRPr="00A0558E">
        <w:rPr>
          <w:lang w:eastAsia="en-AU"/>
        </w:rPr>
        <w:t xml:space="preserve"> their reach online, delivering </w:t>
      </w:r>
      <w:r>
        <w:rPr>
          <w:lang w:eastAsia="en-AU"/>
        </w:rPr>
        <w:t xml:space="preserve">offshore </w:t>
      </w:r>
      <w:r w:rsidRPr="00A0558E">
        <w:rPr>
          <w:lang w:eastAsia="en-AU"/>
        </w:rPr>
        <w:t xml:space="preserve">education through their own platforms such as Swinburne Online and Deakin Digital, and shared platforms, such as Open Universities Australia and </w:t>
      </w:r>
      <w:proofErr w:type="spellStart"/>
      <w:r w:rsidRPr="00A0558E">
        <w:rPr>
          <w:lang w:eastAsia="en-AU"/>
        </w:rPr>
        <w:t>OpenLearning</w:t>
      </w:r>
      <w:proofErr w:type="spellEnd"/>
      <w:r w:rsidRPr="00A0558E">
        <w:rPr>
          <w:lang w:eastAsia="en-AU"/>
        </w:rPr>
        <w:t>.</w:t>
      </w:r>
    </w:p>
    <w:p w14:paraId="109BE3E0" w14:textId="77777777" w:rsidR="00823123" w:rsidRDefault="00823123" w:rsidP="00823123">
      <w:pPr>
        <w:pStyle w:val="Heading3"/>
        <w:rPr>
          <w:lang w:eastAsia="en-AU"/>
        </w:rPr>
      </w:pPr>
      <w:r>
        <w:rPr>
          <w:lang w:eastAsia="en-AU"/>
        </w:rPr>
        <w:t>Offshore VET</w:t>
      </w:r>
    </w:p>
    <w:p w14:paraId="4781B9AD" w14:textId="77777777" w:rsidR="00823123" w:rsidRDefault="00823123" w:rsidP="00823123">
      <w:pPr>
        <w:pStyle w:val="BodyText"/>
      </w:pPr>
      <w:r>
        <w:t xml:space="preserve">Publically available information on international offshore VET is limited mostly to Australian public providers of VET. In contrast to the pattern of onshore international VET students, most offshore students appear to study in public VET institutions (PC, </w:t>
      </w:r>
      <w:proofErr w:type="spellStart"/>
      <w:r>
        <w:t>2015</w:t>
      </w:r>
      <w:r w:rsidR="00961AEE">
        <w:t>a</w:t>
      </w:r>
      <w:proofErr w:type="spellEnd"/>
      <w:r>
        <w:t>).</w:t>
      </w:r>
    </w:p>
    <w:p w14:paraId="56BD0F9E" w14:textId="77777777" w:rsidR="00823123" w:rsidRDefault="00823123" w:rsidP="00823123">
      <w:pPr>
        <w:pStyle w:val="BodyText"/>
      </w:pPr>
      <w:r>
        <w:t xml:space="preserve">In 2013, </w:t>
      </w:r>
      <w:r w:rsidRPr="005B3C72">
        <w:t xml:space="preserve">there </w:t>
      </w:r>
      <w:r>
        <w:t>were</w:t>
      </w:r>
      <w:r w:rsidRPr="005B3C72">
        <w:t xml:space="preserve"> </w:t>
      </w:r>
      <w:r>
        <w:t>35 Australian providers offering nearly 500 courses in 31 countries, with China being by far the largest market. The total number of offshore public VET student enrolments in 2013 was around 50,000, though this number has fallen significantly in the past few years, with total enrolments reaching almost 65,000 in 2009 (</w:t>
      </w:r>
      <w:proofErr w:type="spellStart"/>
      <w:r>
        <w:t>DET</w:t>
      </w:r>
      <w:proofErr w:type="spellEnd"/>
      <w:r>
        <w:t>, 2014).</w:t>
      </w:r>
    </w:p>
    <w:p w14:paraId="2E0CFE36" w14:textId="77777777" w:rsidR="00823123" w:rsidRDefault="00823123" w:rsidP="00823123">
      <w:pPr>
        <w:pStyle w:val="BodyText"/>
      </w:pPr>
      <w:r>
        <w:t xml:space="preserve">While most VET providers operating offshore are public institutions, there are a number of private providers delivering offshore VET programs. </w:t>
      </w:r>
      <w:r w:rsidRPr="005B3C72">
        <w:t>For instance, the Australian Retail College (ARC)</w:t>
      </w:r>
      <w:r>
        <w:t xml:space="preserve"> and </w:t>
      </w:r>
      <w:r w:rsidRPr="005B3C72">
        <w:t>the Australian Institute of Health Science and Technology (</w:t>
      </w:r>
      <w:proofErr w:type="spellStart"/>
      <w:r w:rsidRPr="005B3C72">
        <w:t>AIHST</w:t>
      </w:r>
      <w:proofErr w:type="spellEnd"/>
      <w:r w:rsidRPr="005B3C72">
        <w:t xml:space="preserve">) are private VET </w:t>
      </w:r>
      <w:r>
        <w:t xml:space="preserve">providers specialising </w:t>
      </w:r>
      <w:r w:rsidRPr="005B3C72">
        <w:t xml:space="preserve">in industry-specific professional training. </w:t>
      </w:r>
      <w:r>
        <w:t xml:space="preserve">It was estimated that in 2011 there were </w:t>
      </w:r>
      <w:r w:rsidRPr="005B3C72">
        <w:t>approximately 6,800 students studying at private VET institution</w:t>
      </w:r>
      <w:r>
        <w:t>s offshore, based on</w:t>
      </w:r>
      <w:r w:rsidRPr="007504D8">
        <w:rPr>
          <w:rFonts w:cs="Univers 45 Light"/>
          <w:color w:val="000000"/>
        </w:rPr>
        <w:t xml:space="preserve"> a survey of Australian Council for Private Education and Training (</w:t>
      </w:r>
      <w:proofErr w:type="spellStart"/>
      <w:r w:rsidRPr="007504D8">
        <w:rPr>
          <w:rFonts w:cs="Univers 45 Light"/>
          <w:color w:val="000000"/>
        </w:rPr>
        <w:t>ACPET</w:t>
      </w:r>
      <w:proofErr w:type="spellEnd"/>
      <w:r w:rsidRPr="007504D8">
        <w:rPr>
          <w:rFonts w:cs="Univers 45 Light"/>
          <w:color w:val="000000"/>
        </w:rPr>
        <w:t>) members</w:t>
      </w:r>
      <w:r>
        <w:rPr>
          <w:rFonts w:cs="Univers 45 Light"/>
          <w:color w:val="000000"/>
        </w:rPr>
        <w:t xml:space="preserve"> (AEI, 2012)</w:t>
      </w:r>
      <w:r>
        <w:t xml:space="preserve">, as shown in </w:t>
      </w:r>
      <w:r>
        <w:fldChar w:fldCharType="begin"/>
      </w:r>
      <w:r>
        <w:instrText xml:space="preserve"> REF _Ref435715976 \r \h </w:instrText>
      </w:r>
      <w:r>
        <w:fldChar w:fldCharType="separate"/>
      </w:r>
      <w:r w:rsidR="00F03FA0">
        <w:t>Chart 2.5</w:t>
      </w:r>
      <w:r>
        <w:fldChar w:fldCharType="end"/>
      </w:r>
      <w:r>
        <w:t>.</w:t>
      </w:r>
    </w:p>
    <w:p w14:paraId="438120FA" w14:textId="77777777" w:rsidR="00823123" w:rsidRDefault="000349C1" w:rsidP="00823123">
      <w:pPr>
        <w:pStyle w:val="CaptionChart"/>
      </w:pPr>
      <w:bookmarkStart w:id="66" w:name="_Toc450809270"/>
      <w:r>
        <w:lastRenderedPageBreak/>
        <w:t>:</w:t>
      </w:r>
      <w:r w:rsidR="00823123">
        <w:t xml:space="preserve"> </w:t>
      </w:r>
      <w:bookmarkStart w:id="67" w:name="_Ref435715976"/>
      <w:r w:rsidR="00823123" w:rsidRPr="0084581C">
        <w:t xml:space="preserve">Offshore </w:t>
      </w:r>
      <w:r w:rsidR="00823123">
        <w:t>VET</w:t>
      </w:r>
      <w:r w:rsidR="00823123" w:rsidRPr="0084581C">
        <w:t xml:space="preserve"> student </w:t>
      </w:r>
      <w:r w:rsidR="00823123">
        <w:t>enrolments, 2011</w:t>
      </w:r>
      <w:r w:rsidR="00823123" w:rsidRPr="0084581C">
        <w:t>-201</w:t>
      </w:r>
      <w:r w:rsidR="00823123">
        <w:t>3</w:t>
      </w:r>
      <w:bookmarkEnd w:id="67"/>
      <w:bookmarkEnd w:id="66"/>
    </w:p>
    <w:p w14:paraId="4BDAFBF9" w14:textId="77777777" w:rsidR="00823123" w:rsidRDefault="00823123" w:rsidP="00823123">
      <w:pPr>
        <w:pStyle w:val="BodyText"/>
        <w:jc w:val="center"/>
        <w:rPr>
          <w:lang w:eastAsia="en-AU"/>
        </w:rPr>
      </w:pPr>
      <w:r>
        <w:rPr>
          <w:noProof/>
          <w:lang w:eastAsia="en-AU"/>
        </w:rPr>
        <w:drawing>
          <wp:inline distT="0" distB="0" distL="0" distR="0" wp14:anchorId="5C5113F2" wp14:editId="68C1EB69">
            <wp:extent cx="3876354" cy="3523958"/>
            <wp:effectExtent l="0" t="0" r="10160" b="0"/>
            <wp:docPr id="4" name="Picture 4" descr="The chart shows the number of offshore VET student enrolments by public or private from year 2011 to 2013." title="Chart 2.5: Offshore VET student enrolments, 2011–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76354" cy="3523958"/>
                    </a:xfrm>
                    <a:prstGeom prst="rect">
                      <a:avLst/>
                    </a:prstGeom>
                    <a:noFill/>
                  </pic:spPr>
                </pic:pic>
              </a:graphicData>
            </a:graphic>
          </wp:inline>
        </w:drawing>
      </w:r>
    </w:p>
    <w:p w14:paraId="2B01618A" w14:textId="77777777" w:rsidR="00823123" w:rsidRDefault="00823123" w:rsidP="00823123">
      <w:pPr>
        <w:pStyle w:val="Source"/>
        <w:rPr>
          <w:lang w:eastAsia="en-AU"/>
        </w:rPr>
      </w:pPr>
      <w:r>
        <w:rPr>
          <w:lang w:eastAsia="en-AU"/>
        </w:rPr>
        <w:t xml:space="preserve">Source: </w:t>
      </w:r>
      <w:proofErr w:type="spellStart"/>
      <w:r>
        <w:rPr>
          <w:lang w:eastAsia="en-AU"/>
        </w:rPr>
        <w:t>NCVER</w:t>
      </w:r>
      <w:proofErr w:type="spellEnd"/>
      <w:r>
        <w:rPr>
          <w:lang w:eastAsia="en-AU"/>
        </w:rPr>
        <w:t>, 2014 and AEI, 2012.</w:t>
      </w:r>
    </w:p>
    <w:p w14:paraId="6F07BC0E" w14:textId="77777777" w:rsidR="00823123" w:rsidRDefault="00823123" w:rsidP="00823123">
      <w:pPr>
        <w:pStyle w:val="BodyText"/>
        <w:rPr>
          <w:lang w:eastAsia="en-AU"/>
        </w:rPr>
      </w:pPr>
      <w:r>
        <w:rPr>
          <w:lang w:eastAsia="en-AU"/>
        </w:rPr>
        <w:t>The National Centre for Vocational Education Research (</w:t>
      </w:r>
      <w:proofErr w:type="spellStart"/>
      <w:r>
        <w:rPr>
          <w:lang w:eastAsia="en-AU"/>
        </w:rPr>
        <w:t>NCVER</w:t>
      </w:r>
      <w:proofErr w:type="spellEnd"/>
      <w:r>
        <w:rPr>
          <w:lang w:eastAsia="en-AU"/>
        </w:rPr>
        <w:t xml:space="preserve">) recently released the Total VET Activity (TVA) dataset. This new data source </w:t>
      </w:r>
      <w:r w:rsidRPr="00996DA7">
        <w:rPr>
          <w:lang w:eastAsia="en-AU"/>
        </w:rPr>
        <w:t>provides, for the first time, an estimate of the extent and nature of all accredited vocational education and training (VET) delivered in 2014 by Australian training providers.</w:t>
      </w:r>
      <w:r>
        <w:rPr>
          <w:lang w:eastAsia="en-AU"/>
        </w:rPr>
        <w:t xml:space="preserve"> </w:t>
      </w:r>
    </w:p>
    <w:p w14:paraId="16C64586" w14:textId="77777777" w:rsidR="00823123" w:rsidRDefault="00823123" w:rsidP="00823123">
      <w:pPr>
        <w:pStyle w:val="BodyText"/>
        <w:rPr>
          <w:lang w:eastAsia="en-AU"/>
        </w:rPr>
      </w:pPr>
      <w:r>
        <w:rPr>
          <w:lang w:eastAsia="en-AU"/>
        </w:rPr>
        <w:t xml:space="preserve">Offshore activity was reported for the first time by the </w:t>
      </w:r>
      <w:proofErr w:type="spellStart"/>
      <w:r>
        <w:rPr>
          <w:lang w:eastAsia="en-AU"/>
        </w:rPr>
        <w:t>NCVER</w:t>
      </w:r>
      <w:proofErr w:type="spellEnd"/>
      <w:r>
        <w:rPr>
          <w:lang w:eastAsia="en-AU"/>
        </w:rPr>
        <w:t xml:space="preserve"> through the TVA dataset and offshore VET delivered by private providers was </w:t>
      </w:r>
      <w:r w:rsidR="0068646E">
        <w:rPr>
          <w:lang w:eastAsia="en-AU"/>
        </w:rPr>
        <w:t xml:space="preserve">also </w:t>
      </w:r>
      <w:r>
        <w:rPr>
          <w:lang w:eastAsia="en-AU"/>
        </w:rPr>
        <w:t xml:space="preserve">collected for the first time. The TVA reported that there was a total of around 41,300 program enrolments delivered offshore in 2014. These enrolments involved a total of around 30,900 students, across TAFE, University, private training and enterprise providers, as shown in </w:t>
      </w:r>
      <w:r w:rsidR="006041AA">
        <w:rPr>
          <w:lang w:eastAsia="en-AU"/>
        </w:rPr>
        <w:fldChar w:fldCharType="begin"/>
      </w:r>
      <w:r w:rsidR="006041AA">
        <w:rPr>
          <w:lang w:eastAsia="en-AU"/>
        </w:rPr>
        <w:instrText xml:space="preserve"> REF _Ref436928123 \r \h </w:instrText>
      </w:r>
      <w:r w:rsidR="006041AA">
        <w:rPr>
          <w:lang w:eastAsia="en-AU"/>
        </w:rPr>
      </w:r>
      <w:r w:rsidR="006041AA">
        <w:rPr>
          <w:lang w:eastAsia="en-AU"/>
        </w:rPr>
        <w:fldChar w:fldCharType="separate"/>
      </w:r>
      <w:r w:rsidR="00F03FA0">
        <w:rPr>
          <w:lang w:eastAsia="en-AU"/>
        </w:rPr>
        <w:t>Table 2.3</w:t>
      </w:r>
      <w:r w:rsidR="006041AA">
        <w:rPr>
          <w:lang w:eastAsia="en-AU"/>
        </w:rPr>
        <w:fldChar w:fldCharType="end"/>
      </w:r>
      <w:r w:rsidR="006041AA">
        <w:rPr>
          <w:lang w:eastAsia="en-AU"/>
        </w:rPr>
        <w:t>.</w:t>
      </w:r>
    </w:p>
    <w:p w14:paraId="4F65D077" w14:textId="77777777" w:rsidR="00823123" w:rsidRDefault="000349C1" w:rsidP="00823123">
      <w:pPr>
        <w:pStyle w:val="CaptionTable"/>
        <w:rPr>
          <w:lang w:eastAsia="en-AU"/>
        </w:rPr>
      </w:pPr>
      <w:bookmarkStart w:id="68" w:name="_Toc450809281"/>
      <w:r>
        <w:rPr>
          <w:lang w:eastAsia="en-AU"/>
        </w:rPr>
        <w:t>:</w:t>
      </w:r>
      <w:r w:rsidR="00823123">
        <w:rPr>
          <w:lang w:eastAsia="en-AU"/>
        </w:rPr>
        <w:t xml:space="preserve"> </w:t>
      </w:r>
      <w:bookmarkStart w:id="69" w:name="_Toc436815581"/>
      <w:bookmarkStart w:id="70" w:name="_Ref436928123"/>
      <w:r w:rsidR="00823123" w:rsidRPr="006E293E">
        <w:rPr>
          <w:lang w:eastAsia="en-AU"/>
        </w:rPr>
        <w:t>Students at overseas delivery locations by provider type, 2014</w:t>
      </w:r>
      <w:bookmarkEnd w:id="69"/>
      <w:bookmarkEnd w:id="70"/>
      <w:bookmarkEnd w:id="68"/>
    </w:p>
    <w:tbl>
      <w:tblPr>
        <w:tblStyle w:val="TableAETotals"/>
        <w:tblW w:w="0" w:type="auto"/>
        <w:jc w:val="center"/>
        <w:tblLook w:val="04A0" w:firstRow="1" w:lastRow="0" w:firstColumn="1" w:lastColumn="0" w:noHBand="0" w:noVBand="1"/>
        <w:tblCaption w:val="Table 2.3: Students at overseas delivery locations by provider type, 2014"/>
        <w:tblDescription w:val="The table shows the number of students and enrolments at overseas delivery locations by provider type in year 2014."/>
      </w:tblPr>
      <w:tblGrid>
        <w:gridCol w:w="2756"/>
        <w:gridCol w:w="2046"/>
        <w:gridCol w:w="2304"/>
      </w:tblGrid>
      <w:tr w:rsidR="006041AA" w:rsidRPr="006E293E" w14:paraId="64F8198C" w14:textId="77777777" w:rsidTr="00AA149D">
        <w:trPr>
          <w:cnfStyle w:val="100000000000" w:firstRow="1" w:lastRow="0" w:firstColumn="0" w:lastColumn="0" w:oddVBand="0" w:evenVBand="0" w:oddHBand="0" w:evenHBand="0" w:firstRowFirstColumn="0" w:firstRowLastColumn="0" w:lastRowFirstColumn="0" w:lastRowLastColumn="0"/>
          <w:trHeight w:val="20"/>
          <w:tblHeader/>
          <w:jc w:val="center"/>
        </w:trPr>
        <w:tc>
          <w:tcPr>
            <w:tcW w:w="0" w:type="auto"/>
            <w:vAlign w:val="center"/>
            <w:hideMark/>
          </w:tcPr>
          <w:p w14:paraId="0FFB3435" w14:textId="77777777" w:rsidR="006041AA" w:rsidRPr="000349C1" w:rsidRDefault="006041AA" w:rsidP="00823123">
            <w:pPr>
              <w:rPr>
                <w:rFonts w:cs="Arial"/>
                <w:b/>
                <w:color w:val="002776" w:themeColor="text2"/>
                <w:szCs w:val="22"/>
                <w:lang w:eastAsia="en-AU"/>
              </w:rPr>
            </w:pPr>
            <w:r w:rsidRPr="000349C1">
              <w:rPr>
                <w:rFonts w:cs="Arial"/>
                <w:color w:val="002776" w:themeColor="text2"/>
                <w:szCs w:val="22"/>
                <w:lang w:eastAsia="en-AU"/>
              </w:rPr>
              <w:t> </w:t>
            </w:r>
            <w:r w:rsidRPr="000349C1">
              <w:rPr>
                <w:rFonts w:cs="Arial"/>
                <w:b/>
                <w:color w:val="002776" w:themeColor="text2"/>
                <w:szCs w:val="22"/>
                <w:lang w:eastAsia="en-AU"/>
              </w:rPr>
              <w:t>Provider type</w:t>
            </w:r>
          </w:p>
        </w:tc>
        <w:tc>
          <w:tcPr>
            <w:tcW w:w="0" w:type="auto"/>
            <w:noWrap/>
            <w:vAlign w:val="center"/>
            <w:hideMark/>
          </w:tcPr>
          <w:p w14:paraId="330E99F7" w14:textId="77777777" w:rsidR="006041AA" w:rsidRPr="000349C1" w:rsidRDefault="006041AA" w:rsidP="00823123">
            <w:pPr>
              <w:rPr>
                <w:rFonts w:cs="Arial"/>
                <w:b/>
                <w:color w:val="002776" w:themeColor="text2"/>
                <w:szCs w:val="22"/>
                <w:lang w:eastAsia="en-AU"/>
              </w:rPr>
            </w:pPr>
            <w:r w:rsidRPr="000349C1">
              <w:rPr>
                <w:rFonts w:cs="Arial"/>
                <w:b/>
                <w:color w:val="002776" w:themeColor="text2"/>
                <w:szCs w:val="22"/>
                <w:lang w:eastAsia="en-AU"/>
              </w:rPr>
              <w:t xml:space="preserve">Number of students </w:t>
            </w:r>
          </w:p>
        </w:tc>
        <w:tc>
          <w:tcPr>
            <w:tcW w:w="0" w:type="auto"/>
          </w:tcPr>
          <w:p w14:paraId="523561DC" w14:textId="77777777" w:rsidR="006041AA" w:rsidRPr="000349C1" w:rsidRDefault="006041AA" w:rsidP="00823123">
            <w:pPr>
              <w:rPr>
                <w:rFonts w:cs="Arial"/>
                <w:b/>
                <w:color w:val="002776" w:themeColor="text2"/>
                <w:szCs w:val="22"/>
                <w:lang w:eastAsia="en-AU"/>
              </w:rPr>
            </w:pPr>
            <w:r w:rsidRPr="000349C1">
              <w:rPr>
                <w:rFonts w:cs="Arial"/>
                <w:b/>
                <w:color w:val="002776" w:themeColor="text2"/>
                <w:szCs w:val="22"/>
                <w:lang w:eastAsia="en-AU"/>
              </w:rPr>
              <w:t>Number of enrolments</w:t>
            </w:r>
          </w:p>
        </w:tc>
      </w:tr>
      <w:tr w:rsidR="006041AA" w:rsidRPr="006E293E" w14:paraId="1921F609" w14:textId="77777777" w:rsidTr="006041AA">
        <w:trPr>
          <w:trHeight w:val="20"/>
          <w:jc w:val="center"/>
        </w:trPr>
        <w:tc>
          <w:tcPr>
            <w:tcW w:w="0" w:type="auto"/>
            <w:vAlign w:val="center"/>
            <w:hideMark/>
          </w:tcPr>
          <w:p w14:paraId="1CF90DE4" w14:textId="77777777" w:rsidR="006041AA" w:rsidRPr="000349C1" w:rsidRDefault="006041AA" w:rsidP="00823123">
            <w:pPr>
              <w:rPr>
                <w:rFonts w:cs="Arial"/>
                <w:bCs/>
                <w:sz w:val="20"/>
                <w:lang w:eastAsia="en-AU"/>
              </w:rPr>
            </w:pPr>
            <w:r w:rsidRPr="000349C1">
              <w:rPr>
                <w:rFonts w:cs="Arial"/>
                <w:bCs/>
                <w:sz w:val="20"/>
                <w:lang w:eastAsia="en-AU"/>
              </w:rPr>
              <w:t>TAFE</w:t>
            </w:r>
          </w:p>
        </w:tc>
        <w:tc>
          <w:tcPr>
            <w:tcW w:w="0" w:type="auto"/>
            <w:noWrap/>
            <w:vAlign w:val="center"/>
            <w:hideMark/>
          </w:tcPr>
          <w:p w14:paraId="1996AB3D" w14:textId="77777777" w:rsidR="006041AA" w:rsidRPr="000349C1" w:rsidRDefault="006041AA" w:rsidP="00823123">
            <w:pPr>
              <w:jc w:val="center"/>
              <w:rPr>
                <w:rFonts w:cs="Arial"/>
                <w:color w:val="000000"/>
                <w:sz w:val="20"/>
                <w:lang w:eastAsia="en-AU"/>
              </w:rPr>
            </w:pPr>
            <w:r w:rsidRPr="000349C1">
              <w:rPr>
                <w:rFonts w:cs="Arial"/>
                <w:color w:val="000000"/>
                <w:sz w:val="20"/>
                <w:lang w:eastAsia="en-AU"/>
              </w:rPr>
              <w:t>24,135</w:t>
            </w:r>
          </w:p>
        </w:tc>
        <w:tc>
          <w:tcPr>
            <w:tcW w:w="0" w:type="auto"/>
          </w:tcPr>
          <w:p w14:paraId="4433FA9B" w14:textId="77777777" w:rsidR="006041AA" w:rsidRPr="000349C1" w:rsidRDefault="006041AA" w:rsidP="00823123">
            <w:pPr>
              <w:jc w:val="center"/>
              <w:rPr>
                <w:rFonts w:cs="Arial"/>
                <w:color w:val="000000"/>
                <w:sz w:val="20"/>
                <w:lang w:eastAsia="en-AU"/>
              </w:rPr>
            </w:pPr>
            <w:r w:rsidRPr="000349C1">
              <w:rPr>
                <w:sz w:val="20"/>
              </w:rPr>
              <w:t>34,625</w:t>
            </w:r>
          </w:p>
        </w:tc>
      </w:tr>
      <w:tr w:rsidR="006041AA" w:rsidRPr="006E293E" w14:paraId="2D8CD7F3" w14:textId="77777777" w:rsidTr="006041AA">
        <w:trPr>
          <w:trHeight w:val="20"/>
          <w:jc w:val="center"/>
        </w:trPr>
        <w:tc>
          <w:tcPr>
            <w:tcW w:w="0" w:type="auto"/>
            <w:vAlign w:val="center"/>
            <w:hideMark/>
          </w:tcPr>
          <w:p w14:paraId="46E8760F" w14:textId="77777777" w:rsidR="006041AA" w:rsidRPr="000349C1" w:rsidRDefault="006041AA" w:rsidP="00823123">
            <w:pPr>
              <w:rPr>
                <w:rFonts w:cs="Arial"/>
                <w:bCs/>
                <w:sz w:val="20"/>
                <w:lang w:eastAsia="en-AU"/>
              </w:rPr>
            </w:pPr>
            <w:r w:rsidRPr="000349C1">
              <w:rPr>
                <w:rFonts w:cs="Arial"/>
                <w:bCs/>
                <w:sz w:val="20"/>
                <w:lang w:eastAsia="en-AU"/>
              </w:rPr>
              <w:t>University</w:t>
            </w:r>
          </w:p>
        </w:tc>
        <w:tc>
          <w:tcPr>
            <w:tcW w:w="0" w:type="auto"/>
            <w:noWrap/>
            <w:vAlign w:val="center"/>
            <w:hideMark/>
          </w:tcPr>
          <w:p w14:paraId="5F05FF87" w14:textId="77777777" w:rsidR="006041AA" w:rsidRPr="000349C1" w:rsidRDefault="006041AA" w:rsidP="00823123">
            <w:pPr>
              <w:jc w:val="center"/>
              <w:rPr>
                <w:rFonts w:cs="Arial"/>
                <w:color w:val="000000"/>
                <w:sz w:val="20"/>
                <w:lang w:eastAsia="en-AU"/>
              </w:rPr>
            </w:pPr>
            <w:r w:rsidRPr="000349C1">
              <w:rPr>
                <w:rFonts w:cs="Arial"/>
                <w:color w:val="000000"/>
                <w:sz w:val="20"/>
                <w:lang w:eastAsia="en-AU"/>
              </w:rPr>
              <w:t>3,495</w:t>
            </w:r>
          </w:p>
        </w:tc>
        <w:tc>
          <w:tcPr>
            <w:tcW w:w="0" w:type="auto"/>
          </w:tcPr>
          <w:p w14:paraId="0428D555" w14:textId="77777777" w:rsidR="006041AA" w:rsidRPr="000349C1" w:rsidRDefault="006041AA" w:rsidP="00823123">
            <w:pPr>
              <w:jc w:val="center"/>
              <w:rPr>
                <w:rFonts w:cs="Arial"/>
                <w:color w:val="000000"/>
                <w:sz w:val="20"/>
                <w:lang w:eastAsia="en-AU"/>
              </w:rPr>
            </w:pPr>
            <w:r w:rsidRPr="000349C1">
              <w:rPr>
                <w:sz w:val="20"/>
              </w:rPr>
              <w:t>3,525</w:t>
            </w:r>
          </w:p>
        </w:tc>
      </w:tr>
      <w:tr w:rsidR="006041AA" w:rsidRPr="006E293E" w14:paraId="20B0DF77" w14:textId="77777777" w:rsidTr="006041AA">
        <w:trPr>
          <w:trHeight w:val="20"/>
          <w:jc w:val="center"/>
        </w:trPr>
        <w:tc>
          <w:tcPr>
            <w:tcW w:w="0" w:type="auto"/>
            <w:vAlign w:val="center"/>
            <w:hideMark/>
          </w:tcPr>
          <w:p w14:paraId="0F45565A" w14:textId="77777777" w:rsidR="006041AA" w:rsidRPr="000349C1" w:rsidRDefault="006041AA" w:rsidP="00823123">
            <w:pPr>
              <w:rPr>
                <w:rFonts w:cs="Arial"/>
                <w:bCs/>
                <w:sz w:val="20"/>
                <w:lang w:eastAsia="en-AU"/>
              </w:rPr>
            </w:pPr>
            <w:r w:rsidRPr="000349C1">
              <w:rPr>
                <w:rFonts w:cs="Arial"/>
                <w:bCs/>
                <w:sz w:val="20"/>
                <w:lang w:eastAsia="en-AU"/>
              </w:rPr>
              <w:t>School</w:t>
            </w:r>
          </w:p>
        </w:tc>
        <w:tc>
          <w:tcPr>
            <w:tcW w:w="0" w:type="auto"/>
            <w:noWrap/>
            <w:vAlign w:val="center"/>
            <w:hideMark/>
          </w:tcPr>
          <w:p w14:paraId="720E82B3" w14:textId="77777777" w:rsidR="006041AA" w:rsidRPr="000349C1" w:rsidRDefault="006041AA" w:rsidP="00823123">
            <w:pPr>
              <w:jc w:val="center"/>
              <w:rPr>
                <w:rFonts w:cs="Arial"/>
                <w:color w:val="000000"/>
                <w:sz w:val="20"/>
                <w:lang w:eastAsia="en-AU"/>
              </w:rPr>
            </w:pPr>
            <w:r w:rsidRPr="000349C1">
              <w:rPr>
                <w:rFonts w:cs="Arial"/>
                <w:color w:val="000000"/>
                <w:sz w:val="20"/>
                <w:lang w:eastAsia="en-AU"/>
              </w:rPr>
              <w:t>-</w:t>
            </w:r>
          </w:p>
        </w:tc>
        <w:tc>
          <w:tcPr>
            <w:tcW w:w="0" w:type="auto"/>
          </w:tcPr>
          <w:p w14:paraId="31B8FC39" w14:textId="77777777" w:rsidR="006041AA" w:rsidRPr="000349C1" w:rsidRDefault="006041AA" w:rsidP="00823123">
            <w:pPr>
              <w:jc w:val="center"/>
              <w:rPr>
                <w:rFonts w:cs="Arial"/>
                <w:color w:val="000000"/>
                <w:sz w:val="20"/>
                <w:lang w:eastAsia="en-AU"/>
              </w:rPr>
            </w:pPr>
            <w:r w:rsidRPr="000349C1">
              <w:rPr>
                <w:sz w:val="20"/>
              </w:rPr>
              <w:t>-</w:t>
            </w:r>
          </w:p>
        </w:tc>
      </w:tr>
      <w:tr w:rsidR="006041AA" w:rsidRPr="006E293E" w14:paraId="11D134DE" w14:textId="77777777" w:rsidTr="006041AA">
        <w:trPr>
          <w:trHeight w:val="20"/>
          <w:jc w:val="center"/>
        </w:trPr>
        <w:tc>
          <w:tcPr>
            <w:tcW w:w="0" w:type="auto"/>
            <w:vAlign w:val="center"/>
            <w:hideMark/>
          </w:tcPr>
          <w:p w14:paraId="3C799A05" w14:textId="77777777" w:rsidR="006041AA" w:rsidRPr="000349C1" w:rsidRDefault="006041AA" w:rsidP="00823123">
            <w:pPr>
              <w:rPr>
                <w:rFonts w:cs="Arial"/>
                <w:bCs/>
                <w:sz w:val="20"/>
                <w:lang w:eastAsia="en-AU"/>
              </w:rPr>
            </w:pPr>
            <w:r w:rsidRPr="000349C1">
              <w:rPr>
                <w:rFonts w:cs="Arial"/>
                <w:bCs/>
                <w:sz w:val="20"/>
                <w:lang w:eastAsia="en-AU"/>
              </w:rPr>
              <w:t>Community education provider</w:t>
            </w:r>
          </w:p>
        </w:tc>
        <w:tc>
          <w:tcPr>
            <w:tcW w:w="0" w:type="auto"/>
            <w:noWrap/>
            <w:vAlign w:val="center"/>
            <w:hideMark/>
          </w:tcPr>
          <w:p w14:paraId="201677BA" w14:textId="77777777" w:rsidR="006041AA" w:rsidRPr="000349C1" w:rsidRDefault="006041AA" w:rsidP="00823123">
            <w:pPr>
              <w:jc w:val="center"/>
              <w:rPr>
                <w:rFonts w:cs="Arial"/>
                <w:color w:val="000000"/>
                <w:sz w:val="20"/>
                <w:lang w:eastAsia="en-AU"/>
              </w:rPr>
            </w:pPr>
            <w:r w:rsidRPr="000349C1">
              <w:rPr>
                <w:rFonts w:cs="Arial"/>
                <w:color w:val="000000"/>
                <w:sz w:val="20"/>
                <w:lang w:eastAsia="en-AU"/>
              </w:rPr>
              <w:t>0</w:t>
            </w:r>
          </w:p>
        </w:tc>
        <w:tc>
          <w:tcPr>
            <w:tcW w:w="0" w:type="auto"/>
          </w:tcPr>
          <w:p w14:paraId="18FBE01B" w14:textId="77777777" w:rsidR="006041AA" w:rsidRPr="000349C1" w:rsidRDefault="006041AA" w:rsidP="00823123">
            <w:pPr>
              <w:jc w:val="center"/>
              <w:rPr>
                <w:rFonts w:cs="Arial"/>
                <w:color w:val="000000"/>
                <w:sz w:val="20"/>
                <w:lang w:eastAsia="en-AU"/>
              </w:rPr>
            </w:pPr>
            <w:r w:rsidRPr="000349C1">
              <w:rPr>
                <w:sz w:val="20"/>
              </w:rPr>
              <w:t>5</w:t>
            </w:r>
          </w:p>
        </w:tc>
      </w:tr>
      <w:tr w:rsidR="006041AA" w:rsidRPr="006E293E" w14:paraId="2A378291" w14:textId="77777777" w:rsidTr="006041AA">
        <w:trPr>
          <w:trHeight w:val="20"/>
          <w:jc w:val="center"/>
        </w:trPr>
        <w:tc>
          <w:tcPr>
            <w:tcW w:w="0" w:type="auto"/>
            <w:vAlign w:val="center"/>
            <w:hideMark/>
          </w:tcPr>
          <w:p w14:paraId="21E5DFF3" w14:textId="77777777" w:rsidR="006041AA" w:rsidRPr="000349C1" w:rsidRDefault="006041AA" w:rsidP="00823123">
            <w:pPr>
              <w:rPr>
                <w:rFonts w:cs="Arial"/>
                <w:bCs/>
                <w:sz w:val="20"/>
                <w:lang w:eastAsia="en-AU"/>
              </w:rPr>
            </w:pPr>
            <w:r w:rsidRPr="000349C1">
              <w:rPr>
                <w:rFonts w:cs="Arial"/>
                <w:bCs/>
                <w:sz w:val="20"/>
                <w:lang w:eastAsia="en-AU"/>
              </w:rPr>
              <w:t>Enterprise provider</w:t>
            </w:r>
          </w:p>
        </w:tc>
        <w:tc>
          <w:tcPr>
            <w:tcW w:w="0" w:type="auto"/>
            <w:noWrap/>
            <w:vAlign w:val="center"/>
            <w:hideMark/>
          </w:tcPr>
          <w:p w14:paraId="0ACD22B4" w14:textId="77777777" w:rsidR="006041AA" w:rsidRPr="000349C1" w:rsidRDefault="006041AA" w:rsidP="00823123">
            <w:pPr>
              <w:jc w:val="center"/>
              <w:rPr>
                <w:rFonts w:cs="Arial"/>
                <w:color w:val="000000"/>
                <w:sz w:val="20"/>
                <w:lang w:eastAsia="en-AU"/>
              </w:rPr>
            </w:pPr>
            <w:r w:rsidRPr="000349C1">
              <w:rPr>
                <w:rFonts w:cs="Arial"/>
                <w:color w:val="000000"/>
                <w:sz w:val="20"/>
                <w:lang w:eastAsia="en-AU"/>
              </w:rPr>
              <w:t>90</w:t>
            </w:r>
          </w:p>
        </w:tc>
        <w:tc>
          <w:tcPr>
            <w:tcW w:w="0" w:type="auto"/>
          </w:tcPr>
          <w:p w14:paraId="7AB91A6B" w14:textId="77777777" w:rsidR="006041AA" w:rsidRPr="000349C1" w:rsidRDefault="006041AA" w:rsidP="00823123">
            <w:pPr>
              <w:jc w:val="center"/>
              <w:rPr>
                <w:rFonts w:cs="Arial"/>
                <w:color w:val="000000"/>
                <w:sz w:val="20"/>
                <w:lang w:eastAsia="en-AU"/>
              </w:rPr>
            </w:pPr>
            <w:r w:rsidRPr="000349C1">
              <w:rPr>
                <w:sz w:val="20"/>
              </w:rPr>
              <w:t>25</w:t>
            </w:r>
          </w:p>
        </w:tc>
      </w:tr>
      <w:tr w:rsidR="006041AA" w:rsidRPr="006E293E" w14:paraId="3824DF50" w14:textId="77777777" w:rsidTr="006041AA">
        <w:trPr>
          <w:trHeight w:val="20"/>
          <w:jc w:val="center"/>
        </w:trPr>
        <w:tc>
          <w:tcPr>
            <w:tcW w:w="0" w:type="auto"/>
            <w:vAlign w:val="center"/>
            <w:hideMark/>
          </w:tcPr>
          <w:p w14:paraId="2E98CCB8" w14:textId="77777777" w:rsidR="006041AA" w:rsidRPr="000349C1" w:rsidRDefault="006041AA" w:rsidP="00823123">
            <w:pPr>
              <w:rPr>
                <w:rFonts w:cs="Arial"/>
                <w:bCs/>
                <w:sz w:val="20"/>
                <w:lang w:eastAsia="en-AU"/>
              </w:rPr>
            </w:pPr>
            <w:r w:rsidRPr="000349C1">
              <w:rPr>
                <w:rFonts w:cs="Arial"/>
                <w:bCs/>
                <w:sz w:val="20"/>
                <w:lang w:eastAsia="en-AU"/>
              </w:rPr>
              <w:t>Private training provider</w:t>
            </w:r>
          </w:p>
        </w:tc>
        <w:tc>
          <w:tcPr>
            <w:tcW w:w="0" w:type="auto"/>
            <w:noWrap/>
            <w:vAlign w:val="center"/>
            <w:hideMark/>
          </w:tcPr>
          <w:p w14:paraId="36F272BB" w14:textId="77777777" w:rsidR="006041AA" w:rsidRPr="000349C1" w:rsidRDefault="006041AA" w:rsidP="00823123">
            <w:pPr>
              <w:jc w:val="center"/>
              <w:rPr>
                <w:rFonts w:cs="Arial"/>
                <w:color w:val="000000"/>
                <w:sz w:val="20"/>
                <w:lang w:eastAsia="en-AU"/>
              </w:rPr>
            </w:pPr>
            <w:r w:rsidRPr="000349C1">
              <w:rPr>
                <w:rFonts w:cs="Arial"/>
                <w:color w:val="000000"/>
                <w:sz w:val="20"/>
                <w:lang w:eastAsia="en-AU"/>
              </w:rPr>
              <w:t>3,160</w:t>
            </w:r>
          </w:p>
        </w:tc>
        <w:tc>
          <w:tcPr>
            <w:tcW w:w="0" w:type="auto"/>
          </w:tcPr>
          <w:p w14:paraId="0E283924" w14:textId="77777777" w:rsidR="006041AA" w:rsidRPr="000349C1" w:rsidRDefault="006041AA" w:rsidP="00823123">
            <w:pPr>
              <w:jc w:val="center"/>
              <w:rPr>
                <w:rFonts w:cs="Arial"/>
                <w:color w:val="000000"/>
                <w:sz w:val="20"/>
                <w:lang w:eastAsia="en-AU"/>
              </w:rPr>
            </w:pPr>
            <w:r w:rsidRPr="000349C1">
              <w:rPr>
                <w:sz w:val="20"/>
              </w:rPr>
              <w:t>3,110</w:t>
            </w:r>
          </w:p>
        </w:tc>
      </w:tr>
      <w:tr w:rsidR="006041AA" w:rsidRPr="006E293E" w14:paraId="30BBA415" w14:textId="77777777" w:rsidTr="006041AA">
        <w:trPr>
          <w:trHeight w:val="20"/>
          <w:jc w:val="center"/>
        </w:trPr>
        <w:tc>
          <w:tcPr>
            <w:tcW w:w="0" w:type="auto"/>
            <w:vAlign w:val="center"/>
            <w:hideMark/>
          </w:tcPr>
          <w:p w14:paraId="7997D39B" w14:textId="77777777" w:rsidR="006041AA" w:rsidRPr="000349C1" w:rsidRDefault="006041AA" w:rsidP="00823123">
            <w:pPr>
              <w:rPr>
                <w:rFonts w:cs="Arial"/>
                <w:b/>
                <w:bCs/>
                <w:sz w:val="20"/>
                <w:lang w:eastAsia="en-AU"/>
              </w:rPr>
            </w:pPr>
            <w:r w:rsidRPr="000349C1">
              <w:rPr>
                <w:rFonts w:cs="Arial"/>
                <w:b/>
                <w:bCs/>
                <w:color w:val="002776" w:themeColor="text2"/>
                <w:sz w:val="20"/>
                <w:lang w:eastAsia="en-AU"/>
              </w:rPr>
              <w:t>Total</w:t>
            </w:r>
          </w:p>
        </w:tc>
        <w:tc>
          <w:tcPr>
            <w:tcW w:w="0" w:type="auto"/>
            <w:noWrap/>
            <w:vAlign w:val="center"/>
            <w:hideMark/>
          </w:tcPr>
          <w:p w14:paraId="509DCF74" w14:textId="77777777" w:rsidR="006041AA" w:rsidRPr="000349C1" w:rsidRDefault="006041AA" w:rsidP="00823123">
            <w:pPr>
              <w:jc w:val="center"/>
              <w:rPr>
                <w:rFonts w:cs="Arial"/>
                <w:sz w:val="20"/>
                <w:lang w:eastAsia="en-AU"/>
              </w:rPr>
            </w:pPr>
            <w:r w:rsidRPr="000349C1">
              <w:rPr>
                <w:rFonts w:cs="Arial"/>
                <w:sz w:val="20"/>
                <w:lang w:eastAsia="en-AU"/>
              </w:rPr>
              <w:t>30,880</w:t>
            </w:r>
          </w:p>
        </w:tc>
        <w:tc>
          <w:tcPr>
            <w:tcW w:w="0" w:type="auto"/>
          </w:tcPr>
          <w:p w14:paraId="512C6F6E" w14:textId="77777777" w:rsidR="006041AA" w:rsidRPr="000349C1" w:rsidRDefault="006041AA" w:rsidP="00823123">
            <w:pPr>
              <w:jc w:val="center"/>
              <w:rPr>
                <w:rFonts w:cs="Arial"/>
                <w:sz w:val="20"/>
                <w:lang w:eastAsia="en-AU"/>
              </w:rPr>
            </w:pPr>
            <w:r w:rsidRPr="000349C1">
              <w:rPr>
                <w:sz w:val="20"/>
              </w:rPr>
              <w:t>41,290</w:t>
            </w:r>
          </w:p>
        </w:tc>
      </w:tr>
    </w:tbl>
    <w:p w14:paraId="29927A4B" w14:textId="77777777" w:rsidR="00823123" w:rsidRDefault="00823123" w:rsidP="000349C1">
      <w:pPr>
        <w:pStyle w:val="Source"/>
        <w:ind w:firstLine="567"/>
        <w:rPr>
          <w:lang w:eastAsia="en-AU"/>
        </w:rPr>
      </w:pPr>
      <w:r>
        <w:rPr>
          <w:lang w:eastAsia="en-AU"/>
        </w:rPr>
        <w:t xml:space="preserve">Source: </w:t>
      </w:r>
      <w:proofErr w:type="spellStart"/>
      <w:r>
        <w:rPr>
          <w:lang w:eastAsia="en-AU"/>
        </w:rPr>
        <w:t>NCVER</w:t>
      </w:r>
      <w:proofErr w:type="spellEnd"/>
      <w:r>
        <w:rPr>
          <w:lang w:eastAsia="en-AU"/>
        </w:rPr>
        <w:t xml:space="preserve"> </w:t>
      </w:r>
      <w:r w:rsidR="0068646E">
        <w:rPr>
          <w:lang w:eastAsia="en-AU"/>
        </w:rPr>
        <w:t>(</w:t>
      </w:r>
      <w:r>
        <w:rPr>
          <w:lang w:eastAsia="en-AU"/>
        </w:rPr>
        <w:t>2015</w:t>
      </w:r>
      <w:r w:rsidR="0068646E">
        <w:rPr>
          <w:lang w:eastAsia="en-AU"/>
        </w:rPr>
        <w:t>)</w:t>
      </w:r>
    </w:p>
    <w:p w14:paraId="736A5FB7" w14:textId="77777777" w:rsidR="00823123" w:rsidRDefault="00823123" w:rsidP="00823123">
      <w:pPr>
        <w:pStyle w:val="BodyText"/>
        <w:rPr>
          <w:lang w:eastAsia="en-AU"/>
        </w:rPr>
      </w:pPr>
      <w:r>
        <w:rPr>
          <w:lang w:eastAsia="en-AU"/>
        </w:rPr>
        <w:t xml:space="preserve">The </w:t>
      </w:r>
      <w:proofErr w:type="spellStart"/>
      <w:r>
        <w:rPr>
          <w:lang w:eastAsia="en-AU"/>
        </w:rPr>
        <w:t>NCVER</w:t>
      </w:r>
      <w:proofErr w:type="spellEnd"/>
      <w:r>
        <w:rPr>
          <w:lang w:eastAsia="en-AU"/>
        </w:rPr>
        <w:t xml:space="preserve"> notes in their </w:t>
      </w:r>
      <w:r w:rsidRPr="00D14AA6">
        <w:rPr>
          <w:i/>
          <w:lang w:eastAsia="en-AU"/>
        </w:rPr>
        <w:t>Total VET students and courses 2014</w:t>
      </w:r>
      <w:r>
        <w:rPr>
          <w:lang w:eastAsia="en-AU"/>
        </w:rPr>
        <w:t xml:space="preserve"> publication that the TVA collection misses some data on offshore VET activity for a number of training providers. This is due to both reporting exemptions that were operating in the first year of mandatory </w:t>
      </w:r>
      <w:r>
        <w:rPr>
          <w:lang w:eastAsia="en-AU"/>
        </w:rPr>
        <w:lastRenderedPageBreak/>
        <w:t xml:space="preserve">reporting for the TVA initiative and a number training providers failing to report offshore activity for 2014. Indeed, the </w:t>
      </w:r>
      <w:proofErr w:type="spellStart"/>
      <w:r>
        <w:rPr>
          <w:lang w:eastAsia="en-AU"/>
        </w:rPr>
        <w:t>NCVER</w:t>
      </w:r>
      <w:proofErr w:type="spellEnd"/>
      <w:r>
        <w:rPr>
          <w:lang w:eastAsia="en-AU"/>
        </w:rPr>
        <w:t xml:space="preserve"> has indicated that compared to data contained in previous report on public offshore VET activity (see</w:t>
      </w:r>
      <w:r w:rsidR="00961AEE">
        <w:rPr>
          <w:lang w:eastAsia="en-AU"/>
        </w:rPr>
        <w:t>:</w:t>
      </w:r>
      <w:r>
        <w:rPr>
          <w:lang w:eastAsia="en-AU"/>
        </w:rPr>
        <w:t xml:space="preserve"> </w:t>
      </w:r>
      <w:proofErr w:type="spellStart"/>
      <w:r>
        <w:rPr>
          <w:lang w:eastAsia="en-AU"/>
        </w:rPr>
        <w:t>DET</w:t>
      </w:r>
      <w:proofErr w:type="spellEnd"/>
      <w:r>
        <w:rPr>
          <w:lang w:eastAsia="en-AU"/>
        </w:rPr>
        <w:t xml:space="preserve">, 2014) the 2014 TVA comprises data from around half of the TAFE institutes who had offshore activity in 2014. </w:t>
      </w:r>
    </w:p>
    <w:p w14:paraId="52E6F2D4" w14:textId="77777777" w:rsidR="00823123" w:rsidRDefault="00823123" w:rsidP="00823123">
      <w:pPr>
        <w:pStyle w:val="BodyText"/>
        <w:rPr>
          <w:lang w:eastAsia="en-AU"/>
        </w:rPr>
      </w:pPr>
      <w:r>
        <w:rPr>
          <w:lang w:eastAsia="en-AU"/>
        </w:rPr>
        <w:t xml:space="preserve">Further, as data from private training providers’ offshore operations has not been previously been collected by the </w:t>
      </w:r>
      <w:proofErr w:type="spellStart"/>
      <w:r>
        <w:rPr>
          <w:lang w:eastAsia="en-AU"/>
        </w:rPr>
        <w:t>NCVER</w:t>
      </w:r>
      <w:proofErr w:type="spellEnd"/>
      <w:r>
        <w:rPr>
          <w:lang w:eastAsia="en-AU"/>
        </w:rPr>
        <w:t>, it is not known how many private providers are missing data on offshore VET activity in 2014.</w:t>
      </w:r>
    </w:p>
    <w:p w14:paraId="00FE98E5" w14:textId="77777777" w:rsidR="006041AA" w:rsidRDefault="00823123" w:rsidP="00823123">
      <w:pPr>
        <w:pStyle w:val="BodyText"/>
        <w:rPr>
          <w:lang w:eastAsia="en-AU"/>
        </w:rPr>
      </w:pPr>
      <w:r>
        <w:rPr>
          <w:lang w:eastAsia="en-AU"/>
        </w:rPr>
        <w:t>By combining the information included in previous reports on public offshore VET activity (</w:t>
      </w:r>
      <w:proofErr w:type="spellStart"/>
      <w:r>
        <w:rPr>
          <w:lang w:eastAsia="en-AU"/>
        </w:rPr>
        <w:t>DET</w:t>
      </w:r>
      <w:proofErr w:type="spellEnd"/>
      <w:r>
        <w:rPr>
          <w:lang w:eastAsia="en-AU"/>
        </w:rPr>
        <w:t>, 2014) and data on offshore private providers (including universities) in the recently published TVA dataset it is possible to provide an approximate estimate the total number of VET course enrolments offshore in 2014.</w:t>
      </w:r>
    </w:p>
    <w:p w14:paraId="423C2F8E" w14:textId="77777777" w:rsidR="00823123" w:rsidRDefault="006041AA" w:rsidP="00823123">
      <w:pPr>
        <w:pStyle w:val="BodyText"/>
        <w:rPr>
          <w:lang w:eastAsia="en-AU"/>
        </w:rPr>
      </w:pPr>
      <w:r>
        <w:rPr>
          <w:lang w:eastAsia="en-AU"/>
        </w:rPr>
        <w:t>T</w:t>
      </w:r>
      <w:r w:rsidR="00823123">
        <w:rPr>
          <w:lang w:eastAsia="en-AU"/>
        </w:rPr>
        <w:t xml:space="preserve">he estimated number of course enrolments in public VET offshore in 2013 was 49,740. Assuming that this figure remained constant in 2014 and combining it with the estimated </w:t>
      </w:r>
      <w:r>
        <w:rPr>
          <w:lang w:eastAsia="en-AU"/>
        </w:rPr>
        <w:t xml:space="preserve">6,665 </w:t>
      </w:r>
      <w:r w:rsidR="00823123">
        <w:rPr>
          <w:lang w:eastAsia="en-AU"/>
        </w:rPr>
        <w:t>non-TAFE enrolments</w:t>
      </w:r>
      <w:r>
        <w:rPr>
          <w:lang w:eastAsia="en-AU"/>
        </w:rPr>
        <w:t xml:space="preserve"> from the TVA dataset outlined above</w:t>
      </w:r>
      <w:r w:rsidR="00823123">
        <w:rPr>
          <w:lang w:eastAsia="en-AU"/>
        </w:rPr>
        <w:t>, the total number of offshore VET enrolments in 2014 is estimated to be around 5</w:t>
      </w:r>
      <w:r>
        <w:rPr>
          <w:lang w:eastAsia="en-AU"/>
        </w:rPr>
        <w:t>6</w:t>
      </w:r>
      <w:r w:rsidR="00823123">
        <w:rPr>
          <w:lang w:eastAsia="en-AU"/>
        </w:rPr>
        <w:t>,</w:t>
      </w:r>
      <w:r>
        <w:rPr>
          <w:lang w:eastAsia="en-AU"/>
        </w:rPr>
        <w:t>405</w:t>
      </w:r>
      <w:r w:rsidR="00823123">
        <w:rPr>
          <w:lang w:eastAsia="en-AU"/>
        </w:rPr>
        <w:t>.</w:t>
      </w:r>
      <w:r w:rsidR="00823123">
        <w:rPr>
          <w:rStyle w:val="FootnoteReference"/>
          <w:lang w:eastAsia="en-AU"/>
        </w:rPr>
        <w:footnoteReference w:id="6"/>
      </w:r>
    </w:p>
    <w:p w14:paraId="19F9346E" w14:textId="77777777" w:rsidR="00823123" w:rsidRDefault="00823123" w:rsidP="00823123">
      <w:pPr>
        <w:pStyle w:val="Heading3"/>
        <w:rPr>
          <w:lang w:eastAsia="en-AU"/>
        </w:rPr>
      </w:pPr>
      <w:r>
        <w:rPr>
          <w:lang w:eastAsia="en-AU"/>
        </w:rPr>
        <w:t>Offshore schooling</w:t>
      </w:r>
    </w:p>
    <w:p w14:paraId="085D16BD" w14:textId="77777777" w:rsidR="00823123" w:rsidRDefault="00823123" w:rsidP="00823123">
      <w:pPr>
        <w:pStyle w:val="BodyText"/>
      </w:pPr>
      <w:r>
        <w:t>O</w:t>
      </w:r>
      <w:r w:rsidRPr="005B3C72">
        <w:t xml:space="preserve">ffshore activity is not limited to </w:t>
      </w:r>
      <w:r>
        <w:t xml:space="preserve">Higher Education and </w:t>
      </w:r>
      <w:r w:rsidRPr="005B3C72">
        <w:t>VET sector</w:t>
      </w:r>
      <w:r>
        <w:t>s</w:t>
      </w:r>
      <w:r w:rsidRPr="005B3C72">
        <w:t xml:space="preserve">. In particular, </w:t>
      </w:r>
      <w:r>
        <w:t xml:space="preserve">Australian providers are </w:t>
      </w:r>
      <w:r w:rsidRPr="005B3C72">
        <w:t>a</w:t>
      </w:r>
      <w:r>
        <w:t>lso active in the Schools and English language learning sectors, and increasingly in the provision of education technology solutions</w:t>
      </w:r>
      <w:r w:rsidRPr="005B3C72">
        <w:t xml:space="preserve">. </w:t>
      </w:r>
    </w:p>
    <w:p w14:paraId="763DFBAB" w14:textId="77777777" w:rsidR="00823123" w:rsidRDefault="00823123" w:rsidP="00823123">
      <w:pPr>
        <w:pStyle w:val="BodyText"/>
      </w:pPr>
      <w:r>
        <w:t xml:space="preserve">Some international schools are licensed to deliver </w:t>
      </w:r>
      <w:proofErr w:type="spellStart"/>
      <w:r>
        <w:t>VCE</w:t>
      </w:r>
      <w:proofErr w:type="spellEnd"/>
      <w:r>
        <w:t xml:space="preserve">, HSC, etc. programs  and pay service fees to partner schools and government organisations in Australia (the income from which is currently captured under Mode 1 measures of international education export income). </w:t>
      </w:r>
    </w:p>
    <w:p w14:paraId="42ECB300" w14:textId="77777777" w:rsidR="0068646E" w:rsidRDefault="00823123" w:rsidP="00823123">
      <w:pPr>
        <w:pStyle w:val="BodyText"/>
      </w:pPr>
      <w:r>
        <w:t>Some Australian schools have branch campuses overseas and therefore earn export incomes and (potentially) profits from these operations. However</w:t>
      </w:r>
      <w:r w:rsidR="0068646E">
        <w:t>, consultations have indicated that</w:t>
      </w:r>
      <w:r>
        <w:t xml:space="preserve"> there does not appear to be systematic data collected on this</w:t>
      </w:r>
      <w:r w:rsidR="0068646E">
        <w:t xml:space="preserve"> and relatively few schools operate branch campuses overseas</w:t>
      </w:r>
      <w:r>
        <w:t xml:space="preserve">. </w:t>
      </w:r>
    </w:p>
    <w:p w14:paraId="0D9BE5CA" w14:textId="77777777" w:rsidR="00823123" w:rsidRDefault="0068646E" w:rsidP="000349C1">
      <w:pPr>
        <w:pStyle w:val="BodyText"/>
      </w:pPr>
      <w:r>
        <w:t>In summary, export revenue from offshore school is</w:t>
      </w:r>
      <w:r w:rsidRPr="00B25E97">
        <w:t xml:space="preserve"> </w:t>
      </w:r>
      <w:r>
        <w:t xml:space="preserve">likely to consist of </w:t>
      </w:r>
      <w:r w:rsidR="007D6408">
        <w:t xml:space="preserve">revenue from a small </w:t>
      </w:r>
      <w:r w:rsidR="00823123">
        <w:t xml:space="preserve">number of independent school branch campuses </w:t>
      </w:r>
      <w:r>
        <w:t xml:space="preserve">located overseas </w:t>
      </w:r>
      <w:r w:rsidR="00823123">
        <w:t xml:space="preserve">and fees from licensing and delivering state based curriculum (e.g. the </w:t>
      </w:r>
      <w:r w:rsidR="00961AEE">
        <w:t xml:space="preserve">Victorian Certificate of Education (Victoria) </w:t>
      </w:r>
      <w:r w:rsidR="00823123">
        <w:t>or H</w:t>
      </w:r>
      <w:r w:rsidR="00961AEE">
        <w:t xml:space="preserve">igh </w:t>
      </w:r>
      <w:r w:rsidR="00823123">
        <w:t>S</w:t>
      </w:r>
      <w:r w:rsidR="00961AEE">
        <w:t xml:space="preserve">chool </w:t>
      </w:r>
      <w:r w:rsidR="00823123">
        <w:t>C</w:t>
      </w:r>
      <w:r w:rsidR="00961AEE">
        <w:t>ertificate (NSW)</w:t>
      </w:r>
      <w:r w:rsidR="00823123">
        <w:t xml:space="preserve">) overseas. The value of these services is likely to be </w:t>
      </w:r>
      <w:r w:rsidR="007D6408">
        <w:t xml:space="preserve">relatively </w:t>
      </w:r>
      <w:r w:rsidR="00823123">
        <w:t>small.</w:t>
      </w:r>
    </w:p>
    <w:p w14:paraId="30CB213E" w14:textId="77777777" w:rsidR="00823123" w:rsidRDefault="00823123" w:rsidP="00823123">
      <w:pPr>
        <w:pStyle w:val="Heading3"/>
        <w:rPr>
          <w:lang w:eastAsia="en-AU"/>
        </w:rPr>
      </w:pPr>
      <w:r>
        <w:rPr>
          <w:lang w:eastAsia="en-AU"/>
        </w:rPr>
        <w:t>Estimates of offshore revenue (Higher Education and VET)</w:t>
      </w:r>
    </w:p>
    <w:p w14:paraId="7BC71D76" w14:textId="77777777" w:rsidR="00823123" w:rsidRDefault="00823123" w:rsidP="00823123">
      <w:pPr>
        <w:pStyle w:val="BodyText"/>
        <w:rPr>
          <w:rFonts w:asciiTheme="minorHAnsi" w:hAnsiTheme="minorHAnsi"/>
          <w:i/>
        </w:rPr>
      </w:pPr>
      <w:r>
        <w:rPr>
          <w:lang w:eastAsia="en-AU"/>
        </w:rPr>
        <w:t xml:space="preserve">As has been noted in </w:t>
      </w:r>
      <w:r w:rsidR="00286041">
        <w:rPr>
          <w:lang w:eastAsia="en-AU"/>
        </w:rPr>
        <w:t xml:space="preserve">previous sections </w:t>
      </w:r>
      <w:r>
        <w:rPr>
          <w:lang w:eastAsia="en-AU"/>
        </w:rPr>
        <w:t xml:space="preserve">of this report, income earned by universities and VET providers delivering offshore higher education programs is not captured in the current </w:t>
      </w:r>
      <w:r>
        <w:rPr>
          <w:lang w:eastAsia="en-AU"/>
        </w:rPr>
        <w:lastRenderedPageBreak/>
        <w:t xml:space="preserve">measure of international education export services within the ABS </w:t>
      </w:r>
      <w:r w:rsidRPr="00350830">
        <w:rPr>
          <w:rFonts w:asciiTheme="minorHAnsi" w:hAnsiTheme="minorHAnsi"/>
        </w:rPr>
        <w:t xml:space="preserve">catalogue </w:t>
      </w:r>
      <w:r w:rsidRPr="00350830">
        <w:rPr>
          <w:rFonts w:asciiTheme="minorHAnsi" w:hAnsiTheme="minorHAnsi"/>
          <w:i/>
        </w:rPr>
        <w:t>5368.0 - International Trade in Goods and Services, Australia</w:t>
      </w:r>
      <w:r>
        <w:rPr>
          <w:rFonts w:asciiTheme="minorHAnsi" w:hAnsiTheme="minorHAnsi"/>
          <w:i/>
        </w:rPr>
        <w:t xml:space="preserve">. </w:t>
      </w:r>
    </w:p>
    <w:p w14:paraId="20C2452F" w14:textId="77777777" w:rsidR="00823123" w:rsidRDefault="00823123" w:rsidP="00823123">
      <w:pPr>
        <w:pStyle w:val="BodyText"/>
      </w:pPr>
      <w:r>
        <w:rPr>
          <w:rFonts w:asciiTheme="minorHAnsi" w:hAnsiTheme="minorHAnsi"/>
        </w:rPr>
        <w:t xml:space="preserve">These services, defined as the mode 3 delivery of international education, generate revenue primarily in the form of student tuition fees, of which some portion accrues to Australia in the form of export income. </w:t>
      </w:r>
      <w:r w:rsidRPr="00E3121F">
        <w:t>The last attempt to capture the activity of foreign affiliates</w:t>
      </w:r>
      <w:r>
        <w:t>, including offshore university campuses,</w:t>
      </w:r>
      <w:r w:rsidRPr="00E3121F">
        <w:t xml:space="preserve"> by the ABS was in 2002-03 (catalogue 5495.0 – Australian Outward Foreign Affiliates Trade, 2002-03)</w:t>
      </w:r>
      <w:r>
        <w:t>.</w:t>
      </w:r>
    </w:p>
    <w:p w14:paraId="57E4E594" w14:textId="77777777" w:rsidR="00823123" w:rsidRDefault="00823123" w:rsidP="00823123">
      <w:pPr>
        <w:pStyle w:val="BodyText"/>
      </w:pPr>
      <w:r>
        <w:t xml:space="preserve">The value of mode 3 export income is limited to offshore international education services that are delivered by branch campuses of Australian institutions (which serve international students who study on-campus and ‘in situ’). That is, income earned from ‘in situ’ offshore delivery arrangements delivered through partnerships and the delivery of online courses which are provided through franchising arrangements (i.e. rights to course content etc.) are captured in mode 1 measures of the cross border supply of education services. These are subsequently captured in </w:t>
      </w:r>
      <w:r>
        <w:rPr>
          <w:rFonts w:asciiTheme="minorHAnsi" w:hAnsiTheme="minorHAnsi"/>
        </w:rPr>
        <w:t xml:space="preserve">personal, cultural and recreational services’ </w:t>
      </w:r>
      <w:r w:rsidRPr="00350830">
        <w:rPr>
          <w:rFonts w:asciiTheme="minorHAnsi" w:hAnsiTheme="minorHAnsi"/>
        </w:rPr>
        <w:t xml:space="preserve">in ABS catalogue </w:t>
      </w:r>
      <w:r w:rsidRPr="00350830">
        <w:rPr>
          <w:rFonts w:asciiTheme="minorHAnsi" w:hAnsiTheme="minorHAnsi"/>
          <w:i/>
        </w:rPr>
        <w:t>5368.0 - International Trade in Goods and Services, Australia</w:t>
      </w:r>
      <w:r>
        <w:rPr>
          <w:rFonts w:asciiTheme="minorHAnsi" w:hAnsiTheme="minorHAnsi"/>
          <w:i/>
        </w:rPr>
        <w:t>.</w:t>
      </w:r>
      <w:r>
        <w:t xml:space="preserve"> </w:t>
      </w:r>
    </w:p>
    <w:p w14:paraId="03483FE0" w14:textId="77777777" w:rsidR="00823123" w:rsidRDefault="00823123" w:rsidP="00823123">
      <w:pPr>
        <w:pStyle w:val="BodyText"/>
        <w:rPr>
          <w:lang w:eastAsia="en-AU"/>
        </w:rPr>
      </w:pPr>
      <w:r>
        <w:rPr>
          <w:lang w:eastAsia="en-AU"/>
        </w:rPr>
        <w:t xml:space="preserve">While there is no authoritative measure of fee revenue for students at Australian campuses located overseas in all education sectors, in 2014 Australian public universities did include information on revenue received offshore in their annual reports. </w:t>
      </w:r>
    </w:p>
    <w:p w14:paraId="05C73771" w14:textId="77777777" w:rsidR="00823123" w:rsidRDefault="00823123" w:rsidP="00823123">
      <w:pPr>
        <w:pStyle w:val="BodyText"/>
        <w:rPr>
          <w:lang w:eastAsia="en-AU"/>
        </w:rPr>
      </w:pPr>
      <w:r>
        <w:rPr>
          <w:lang w:eastAsia="en-AU"/>
        </w:rPr>
        <w:t xml:space="preserve">To analyse the potential size of fee revenue from students located offshore, Deloitte Access Economics aggregated information from all public universities provided in their annual reports. </w:t>
      </w:r>
      <w:r w:rsidR="00850FFF">
        <w:rPr>
          <w:lang w:eastAsia="en-AU"/>
        </w:rPr>
        <w:t xml:space="preserve">This information indicated that universities had offshore revenue of $216 million for the parent entity (typically the university itself). However, many universities deliver offshore programs through jointly controlled entities that only appear in the consolidated financial accounts. </w:t>
      </w:r>
      <w:r>
        <w:rPr>
          <w:lang w:eastAsia="en-AU"/>
        </w:rPr>
        <w:t xml:space="preserve">This analysis showed that at a consolidated level (which accounts for the fact that many offshore operations are jointly controlled entities of the parent university), Australian public universities received fee income of </w:t>
      </w:r>
      <w:r w:rsidRPr="006E15A5">
        <w:rPr>
          <w:rStyle w:val="Boldword"/>
        </w:rPr>
        <w:t>$382 million from offshore students</w:t>
      </w:r>
      <w:r>
        <w:rPr>
          <w:lang w:eastAsia="en-AU"/>
        </w:rPr>
        <w:t>.</w:t>
      </w:r>
      <w:r>
        <w:rPr>
          <w:rStyle w:val="FootnoteReference"/>
          <w:lang w:eastAsia="en-AU"/>
        </w:rPr>
        <w:footnoteReference w:id="7"/>
      </w:r>
      <w:r w:rsidR="004213EC">
        <w:rPr>
          <w:lang w:eastAsia="en-AU"/>
        </w:rPr>
        <w:t xml:space="preserve"> This figure</w:t>
      </w:r>
      <w:r w:rsidR="00CF0675">
        <w:rPr>
          <w:lang w:eastAsia="en-AU"/>
        </w:rPr>
        <w:t xml:space="preserve"> includes a small amount of revenue that dual sector universities receive from teaching VET courses.</w:t>
      </w:r>
    </w:p>
    <w:p w14:paraId="46A68CF8" w14:textId="77777777" w:rsidR="00B7206F" w:rsidRDefault="00823123" w:rsidP="00823123">
      <w:pPr>
        <w:pStyle w:val="BodyText"/>
      </w:pPr>
      <w:r>
        <w:t xml:space="preserve">Estimating the total export income earned by offshore VET providers is more challenging, as there is little available information of the average value of offshore student fees. </w:t>
      </w:r>
      <w:r w:rsidR="00B7206F">
        <w:t xml:space="preserve">Deloitte Access Economics has estimated the value of offshore revenue for VET providers based on publicly available information on revenue provided by </w:t>
      </w:r>
      <w:proofErr w:type="spellStart"/>
      <w:r w:rsidR="00B7206F">
        <w:t>TAFEs</w:t>
      </w:r>
      <w:proofErr w:type="spellEnd"/>
      <w:r w:rsidR="00B7206F">
        <w:t xml:space="preserve"> in Victoria. </w:t>
      </w:r>
    </w:p>
    <w:p w14:paraId="7E7AE94A" w14:textId="5E8F9F49" w:rsidR="0028397D" w:rsidRDefault="00B7206F" w:rsidP="00823123">
      <w:pPr>
        <w:pStyle w:val="BodyText"/>
      </w:pPr>
      <w:r>
        <w:t xml:space="preserve">Information in the Victorian Auditor-General’s report on the TAFE sector indicated that </w:t>
      </w:r>
      <w:proofErr w:type="spellStart"/>
      <w:r>
        <w:t>TAFEs</w:t>
      </w:r>
      <w:proofErr w:type="spellEnd"/>
      <w:r>
        <w:t xml:space="preserve"> had offshore revenue of $33.7 million in 2013. The </w:t>
      </w:r>
      <w:proofErr w:type="spellStart"/>
      <w:r w:rsidR="0003092F">
        <w:t>DET</w:t>
      </w:r>
      <w:proofErr w:type="spellEnd"/>
      <w:r>
        <w:t xml:space="preserve"> (</w:t>
      </w:r>
      <w:proofErr w:type="spellStart"/>
      <w:r>
        <w:t>2014</w:t>
      </w:r>
      <w:r w:rsidR="000007D3">
        <w:t>a</w:t>
      </w:r>
      <w:proofErr w:type="spellEnd"/>
      <w:r>
        <w:t>) data indicated that Victoria accounted for 38,659 of the 49,740 offshore public VET enrolments in 2013</w:t>
      </w:r>
      <w:r w:rsidR="0028397D">
        <w:t>, representing 78% of the total</w:t>
      </w:r>
      <w:r>
        <w:t xml:space="preserve">. Excluding enrolments at Victorian dual-sector providers </w:t>
      </w:r>
      <w:r>
        <w:lastRenderedPageBreak/>
        <w:t xml:space="preserve">(which would already be captured in the higher education data), Victorian providers accounted for 33,576 of the 44,657 offshore public VET enrolments nationally. </w:t>
      </w:r>
    </w:p>
    <w:p w14:paraId="4C54C753" w14:textId="77777777" w:rsidR="00CF0675" w:rsidRDefault="00B7206F" w:rsidP="00823123">
      <w:pPr>
        <w:pStyle w:val="BodyText"/>
      </w:pPr>
      <w:r>
        <w:t xml:space="preserve">To estimate public VET revenue in 2013, </w:t>
      </w:r>
      <w:r w:rsidR="00E458AB">
        <w:t xml:space="preserve">Deloitte Access Economics </w:t>
      </w:r>
      <w:r>
        <w:t>scaled up revenue for Victorian public VET providers based on their rat</w:t>
      </w:r>
      <w:r w:rsidR="004213EC">
        <w:t xml:space="preserve">io of national enrolments. This resulted in an estimate of offshore revenue for public sector VET providers of </w:t>
      </w:r>
      <w:r>
        <w:t>$45</w:t>
      </w:r>
      <w:r w:rsidR="0028397D">
        <w:t xml:space="preserve"> </w:t>
      </w:r>
      <w:r>
        <w:t xml:space="preserve">million in 2013. </w:t>
      </w:r>
      <w:r w:rsidR="0028397D">
        <w:t>If enrolments at private providers are assumed to have similar course fees, the total revenue of the offshore VET sector is estimated to have been approximately $5</w:t>
      </w:r>
      <w:r w:rsidR="00ED051D">
        <w:t>2</w:t>
      </w:r>
      <w:r w:rsidR="0028397D">
        <w:t xml:space="preserve"> million in 2013. Information in annual reports indicated that revenue for Victorian </w:t>
      </w:r>
      <w:proofErr w:type="spellStart"/>
      <w:r w:rsidR="0028397D">
        <w:t>TAFEs</w:t>
      </w:r>
      <w:proofErr w:type="spellEnd"/>
      <w:r w:rsidR="0028397D">
        <w:t xml:space="preserve"> was approximately $1 million higher in 2014</w:t>
      </w:r>
      <w:r w:rsidR="002945DC">
        <w:t xml:space="preserve"> than 2013, so the size of the VET offshore education sector may have grown slightly in 2014 (possibly partly in response to the fall in the Australian dollar) to approximately $5</w:t>
      </w:r>
      <w:r w:rsidR="00ED051D">
        <w:t>3</w:t>
      </w:r>
      <w:r w:rsidR="002945DC">
        <w:t xml:space="preserve"> million. </w:t>
      </w:r>
    </w:p>
    <w:p w14:paraId="6B6F9656" w14:textId="77777777" w:rsidR="00823123" w:rsidRDefault="00823123" w:rsidP="00823123">
      <w:pPr>
        <w:pStyle w:val="BodyText"/>
      </w:pPr>
      <w:r>
        <w:t xml:space="preserve">In total, the revenue earned from offshore delivery of higher education and VET by Australian providers is estimated to be </w:t>
      </w:r>
      <w:r w:rsidRPr="001272F0">
        <w:rPr>
          <w:rStyle w:val="Boldword"/>
        </w:rPr>
        <w:t>$</w:t>
      </w:r>
      <w:r w:rsidR="00CF0675">
        <w:rPr>
          <w:rStyle w:val="Boldword"/>
        </w:rPr>
        <w:t>4</w:t>
      </w:r>
      <w:r w:rsidR="002945DC">
        <w:rPr>
          <w:rStyle w:val="Boldword"/>
        </w:rPr>
        <w:t>34</w:t>
      </w:r>
      <w:r w:rsidR="00CF0675" w:rsidRPr="001272F0">
        <w:rPr>
          <w:rStyle w:val="Boldword"/>
        </w:rPr>
        <w:t xml:space="preserve"> </w:t>
      </w:r>
      <w:r w:rsidRPr="001272F0">
        <w:rPr>
          <w:rStyle w:val="Boldword"/>
        </w:rPr>
        <w:t>million in 2014.</w:t>
      </w:r>
    </w:p>
    <w:p w14:paraId="32E7639E" w14:textId="77777777" w:rsidR="00823123" w:rsidRDefault="00823123">
      <w:pPr>
        <w:pStyle w:val="BodyText"/>
      </w:pPr>
      <w:r>
        <w:t xml:space="preserve">It should be noted that </w:t>
      </w:r>
      <w:r w:rsidR="00850FFF">
        <w:t xml:space="preserve">this figure should be treated as an indicative estimate of the </w:t>
      </w:r>
      <w:r>
        <w:t>value of offshore higher education and VET export income and is intended to be used an interim estimate until comprehensive census data from Australian</w:t>
      </w:r>
      <w:r w:rsidR="00C06A7E">
        <w:t xml:space="preserve"> </w:t>
      </w:r>
      <w:r>
        <w:t>VET providers is made available.</w:t>
      </w:r>
      <w:r w:rsidR="00C06A7E">
        <w:rPr>
          <w:i/>
        </w:rPr>
        <w:t xml:space="preserve"> </w:t>
      </w:r>
      <w:r w:rsidR="00C06A7E">
        <w:t>E</w:t>
      </w:r>
      <w:r>
        <w:t xml:space="preserve">xport income from offshore (mode 3) international education is limited to the value of fees, as students studying offshore generally do not purchase goods or services in Australia during the course of their studies. </w:t>
      </w:r>
    </w:p>
    <w:p w14:paraId="71E58055" w14:textId="77777777" w:rsidR="00823123" w:rsidRDefault="00823123" w:rsidP="00823123">
      <w:pPr>
        <w:pStyle w:val="BodyText"/>
      </w:pPr>
      <w:r>
        <w:t xml:space="preserve">Additionally, while this estimated income from offshore student fees is attributable to the consolidated parent entity university located in Australia, only some portion of this income will ultimately flow back to Australia and contribute to total national income (i.e. GDP). The economic contribution made by offshore education is discussed further in </w:t>
      </w:r>
      <w:r w:rsidR="00286041">
        <w:t>the following sections of this report.</w:t>
      </w:r>
    </w:p>
    <w:p w14:paraId="0C793837" w14:textId="77777777" w:rsidR="00F86B13" w:rsidRDefault="00F86B13" w:rsidP="00F86B13">
      <w:pPr>
        <w:pStyle w:val="Heading1"/>
        <w:rPr>
          <w:lang w:eastAsia="en-AU"/>
        </w:rPr>
      </w:pPr>
      <w:bookmarkStart w:id="71" w:name="_Toc437341396"/>
      <w:bookmarkStart w:id="72" w:name="_Toc437342353"/>
      <w:bookmarkStart w:id="73" w:name="_Toc437341397"/>
      <w:bookmarkStart w:id="74" w:name="_Toc437342354"/>
      <w:bookmarkStart w:id="75" w:name="_Toc437341407"/>
      <w:bookmarkStart w:id="76" w:name="_Toc437342364"/>
      <w:bookmarkStart w:id="77" w:name="_Toc437341411"/>
      <w:bookmarkStart w:id="78" w:name="_Toc437342368"/>
      <w:bookmarkStart w:id="79" w:name="_Toc437341412"/>
      <w:bookmarkStart w:id="80" w:name="_Toc437342369"/>
      <w:bookmarkStart w:id="81" w:name="_Toc437341413"/>
      <w:bookmarkStart w:id="82" w:name="_Toc437342370"/>
      <w:bookmarkStart w:id="83" w:name="_Toc437341417"/>
      <w:bookmarkStart w:id="84" w:name="_Toc437342374"/>
      <w:bookmarkStart w:id="85" w:name="_Toc437341461"/>
      <w:bookmarkStart w:id="86" w:name="_Toc437342418"/>
      <w:bookmarkStart w:id="87" w:name="_Toc437341477"/>
      <w:bookmarkStart w:id="88" w:name="_Toc437342434"/>
      <w:bookmarkStart w:id="89" w:name="_Toc437341480"/>
      <w:bookmarkStart w:id="90" w:name="_Toc437342437"/>
      <w:bookmarkStart w:id="91" w:name="_Toc437341481"/>
      <w:bookmarkStart w:id="92" w:name="_Toc437342438"/>
      <w:bookmarkStart w:id="93" w:name="_Toc437341611"/>
      <w:bookmarkStart w:id="94" w:name="_Toc437342568"/>
      <w:bookmarkStart w:id="95" w:name="_Toc437341614"/>
      <w:bookmarkStart w:id="96" w:name="_Toc437342571"/>
      <w:bookmarkStart w:id="97" w:name="_Toc437341620"/>
      <w:bookmarkStart w:id="98" w:name="_Toc437342577"/>
      <w:bookmarkStart w:id="99" w:name="_Toc437341628"/>
      <w:bookmarkStart w:id="100" w:name="_Toc437342585"/>
      <w:bookmarkStart w:id="101" w:name="_Toc437341655"/>
      <w:bookmarkStart w:id="102" w:name="_Toc437342612"/>
      <w:bookmarkStart w:id="103" w:name="_Toc437341656"/>
      <w:bookmarkStart w:id="104" w:name="_Toc437342613"/>
      <w:bookmarkStart w:id="105" w:name="_Toc437341658"/>
      <w:bookmarkStart w:id="106" w:name="_Toc437342615"/>
      <w:bookmarkStart w:id="107" w:name="_Toc437341661"/>
      <w:bookmarkStart w:id="108" w:name="_Toc437342618"/>
      <w:bookmarkStart w:id="109" w:name="_Toc437341663"/>
      <w:bookmarkStart w:id="110" w:name="_Toc437342620"/>
      <w:bookmarkStart w:id="111" w:name="_Toc436922203"/>
      <w:bookmarkStart w:id="112" w:name="_Toc450809236"/>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lang w:eastAsia="en-AU"/>
        </w:rPr>
        <w:lastRenderedPageBreak/>
        <w:t>The economic contribution of international education</w:t>
      </w:r>
      <w:bookmarkEnd w:id="111"/>
      <w:bookmarkEnd w:id="112"/>
      <w:r>
        <w:rPr>
          <w:lang w:eastAsia="en-AU"/>
        </w:rPr>
        <w:t xml:space="preserve"> </w:t>
      </w:r>
    </w:p>
    <w:p w14:paraId="216E48B6" w14:textId="77777777" w:rsidR="00161481" w:rsidRDefault="00F86B13" w:rsidP="00161481">
      <w:pPr>
        <w:pStyle w:val="BodyText"/>
      </w:pPr>
      <w:r>
        <w:rPr>
          <w:lang w:eastAsia="en-AU"/>
        </w:rPr>
        <w:t xml:space="preserve">While export revenue is a useful metric, it does not represent the level of economic activity occurring within the economy. </w:t>
      </w:r>
      <w:r w:rsidR="00161481">
        <w:t xml:space="preserve">Many goods and services purchased by international students or educational institutions are directly imported from overseas or are made up of imported components which do not contribute to Australia’s GDP or, therefore, living standards. </w:t>
      </w:r>
    </w:p>
    <w:p w14:paraId="1EE82079" w14:textId="77777777" w:rsidR="00F86B13" w:rsidRDefault="00F86B13" w:rsidP="00F86B13">
      <w:pPr>
        <w:pStyle w:val="BodyText"/>
      </w:pPr>
      <w:r>
        <w:rPr>
          <w:lang w:eastAsia="en-AU"/>
        </w:rPr>
        <w:t xml:space="preserve">A </w:t>
      </w:r>
      <w:r>
        <w:t xml:space="preserve">contribution analysis of the international education sector is able to capture the full economic footprint of the sector, through </w:t>
      </w:r>
      <w:r>
        <w:rPr>
          <w:lang w:eastAsia="en-AU"/>
        </w:rPr>
        <w:t xml:space="preserve">quantifying measures such as </w:t>
      </w:r>
      <w:r>
        <w:t xml:space="preserve">value </w:t>
      </w:r>
      <w:r w:rsidRPr="00A9242D">
        <w:t>added</w:t>
      </w:r>
      <w:r>
        <w:t xml:space="preserve"> </w:t>
      </w:r>
      <w:r w:rsidRPr="00A9242D">
        <w:t>and employment</w:t>
      </w:r>
      <w:r w:rsidRPr="00354157">
        <w:t xml:space="preserve"> </w:t>
      </w:r>
      <w:r>
        <w:t>within the national accounting framework.</w:t>
      </w:r>
      <w:r w:rsidR="00C06A7E">
        <w:t xml:space="preserve"> In particular, value added provides the most appropriate measure of the sector’s contribution to GDP, which is slightly lower than overall export revenue. This reflects the fact that some of the supply chain of goods and services consumed by international students consists of imported goods. </w:t>
      </w:r>
    </w:p>
    <w:p w14:paraId="4A3277D5" w14:textId="77777777" w:rsidR="00F86B13" w:rsidRDefault="00F86B13" w:rsidP="00F86B13">
      <w:pPr>
        <w:pStyle w:val="BodyText"/>
      </w:pPr>
      <w:r>
        <w:rPr>
          <w:lang w:eastAsia="en-AU"/>
        </w:rPr>
        <w:t xml:space="preserve">In particular, this chapter </w:t>
      </w:r>
      <w:r w:rsidR="00161481">
        <w:rPr>
          <w:lang w:eastAsia="en-AU"/>
        </w:rPr>
        <w:t>values</w:t>
      </w:r>
      <w:r>
        <w:t xml:space="preserve"> the contribution of international education to the Australian economy over the financial year 2014-15 </w:t>
      </w:r>
      <w:r w:rsidR="00161481">
        <w:t>by</w:t>
      </w:r>
      <w:r>
        <w:t>:</w:t>
      </w:r>
    </w:p>
    <w:p w14:paraId="0D2BF0DC" w14:textId="77777777" w:rsidR="00F86B13" w:rsidRPr="00E4503E" w:rsidRDefault="00F86B13" w:rsidP="00F86B13">
      <w:pPr>
        <w:pStyle w:val="Bullet1"/>
      </w:pPr>
      <w:r>
        <w:t xml:space="preserve">delivery </w:t>
      </w:r>
      <w:r w:rsidRPr="00E4503E">
        <w:t>mode (</w:t>
      </w:r>
      <w:r w:rsidRPr="00EA1B94">
        <w:t>Modes 1, 2,</w:t>
      </w:r>
      <w:r>
        <w:t xml:space="preserve"> 3</w:t>
      </w:r>
      <w:r w:rsidRPr="00EA1B94">
        <w:t xml:space="preserve"> and 4</w:t>
      </w:r>
      <w:r w:rsidRPr="00E4503E">
        <w:t>); and</w:t>
      </w:r>
    </w:p>
    <w:p w14:paraId="69C3F086" w14:textId="77777777" w:rsidR="00F86B13" w:rsidRDefault="00F86B13" w:rsidP="00F86B13">
      <w:pPr>
        <w:pStyle w:val="Bullet1"/>
      </w:pPr>
      <w:proofErr w:type="gramStart"/>
      <w:r w:rsidRPr="00E4503E">
        <w:t>sector</w:t>
      </w:r>
      <w:proofErr w:type="gramEnd"/>
      <w:r w:rsidRPr="00E4503E">
        <w:t xml:space="preserve"> of onshore education services</w:t>
      </w:r>
      <w:r>
        <w:t xml:space="preserve"> (Higher Education, VET, Schools, </w:t>
      </w:r>
      <w:proofErr w:type="spellStart"/>
      <w:r>
        <w:t>ELICOS</w:t>
      </w:r>
      <w:proofErr w:type="spellEnd"/>
      <w:r>
        <w:t>).</w:t>
      </w:r>
    </w:p>
    <w:p w14:paraId="1CEF4542" w14:textId="77777777" w:rsidR="00161481" w:rsidRDefault="00161481" w:rsidP="00F86B13">
      <w:pPr>
        <w:pStyle w:val="BodyText"/>
        <w:rPr>
          <w:lang w:eastAsia="en-AU"/>
        </w:rPr>
      </w:pPr>
      <w:r>
        <w:rPr>
          <w:lang w:eastAsia="en-AU"/>
        </w:rPr>
        <w:t xml:space="preserve">The </w:t>
      </w:r>
      <w:r w:rsidR="00F86B13" w:rsidRPr="000349C1">
        <w:rPr>
          <w:b/>
          <w:color w:val="002776" w:themeColor="text2"/>
          <w:lang w:eastAsia="en-AU"/>
        </w:rPr>
        <w:t>direct contribution</w:t>
      </w:r>
      <w:r w:rsidR="00F86B13" w:rsidRPr="00104E70">
        <w:rPr>
          <w:color w:val="002776" w:themeColor="text2"/>
          <w:lang w:eastAsia="en-AU"/>
        </w:rPr>
        <w:t xml:space="preserve"> </w:t>
      </w:r>
      <w:r w:rsidR="00F86B13">
        <w:rPr>
          <w:lang w:eastAsia="en-AU"/>
        </w:rPr>
        <w:t>of the sector</w:t>
      </w:r>
      <w:r w:rsidR="00F86B13" w:rsidRPr="008B5DB8">
        <w:rPr>
          <w:lang w:eastAsia="en-AU"/>
        </w:rPr>
        <w:t xml:space="preserve"> </w:t>
      </w:r>
      <w:r>
        <w:rPr>
          <w:lang w:eastAsia="en-AU"/>
        </w:rPr>
        <w:t xml:space="preserve">measures the value added created directly as a result of expenditure on fees and other goods and services to international students. The direct value added consists of the </w:t>
      </w:r>
      <w:r w:rsidRPr="00104E70">
        <w:rPr>
          <w:lang w:eastAsia="en-AU"/>
        </w:rPr>
        <w:t>returns to lab</w:t>
      </w:r>
      <w:r>
        <w:rPr>
          <w:lang w:eastAsia="en-AU"/>
        </w:rPr>
        <w:t>our in the form of wages and salaries</w:t>
      </w:r>
      <w:r w:rsidR="00E458AB">
        <w:rPr>
          <w:lang w:eastAsia="en-AU"/>
        </w:rPr>
        <w:t>,</w:t>
      </w:r>
      <w:r>
        <w:rPr>
          <w:lang w:eastAsia="en-AU"/>
        </w:rPr>
        <w:t xml:space="preserve"> and the returns to capital in the form of Gross Operating Surplus </w:t>
      </w:r>
      <w:r w:rsidR="00B334E1">
        <w:rPr>
          <w:lang w:eastAsia="en-AU"/>
        </w:rPr>
        <w:t>(</w:t>
      </w:r>
      <w:proofErr w:type="spellStart"/>
      <w:r w:rsidR="00B334E1">
        <w:rPr>
          <w:lang w:eastAsia="en-AU"/>
        </w:rPr>
        <w:t>GOS</w:t>
      </w:r>
      <w:proofErr w:type="spellEnd"/>
      <w:r w:rsidR="00B334E1">
        <w:rPr>
          <w:lang w:eastAsia="en-AU"/>
        </w:rPr>
        <w:t xml:space="preserve">) </w:t>
      </w:r>
      <w:r>
        <w:rPr>
          <w:lang w:eastAsia="en-AU"/>
        </w:rPr>
        <w:t>directly from expenditure on fees</w:t>
      </w:r>
      <w:r w:rsidR="003F68C7">
        <w:rPr>
          <w:lang w:eastAsia="en-AU"/>
        </w:rPr>
        <w:t xml:space="preserve"> </w:t>
      </w:r>
      <w:r>
        <w:rPr>
          <w:lang w:eastAsia="en-AU"/>
        </w:rPr>
        <w:t xml:space="preserve">and goods and services. Expenditure on goods and services also directly contributes to employment in the economy. </w:t>
      </w:r>
    </w:p>
    <w:p w14:paraId="2240C321" w14:textId="77777777" w:rsidR="00274309" w:rsidRDefault="00F86B13" w:rsidP="00F86B13">
      <w:pPr>
        <w:pStyle w:val="BodyText"/>
        <w:rPr>
          <w:lang w:eastAsia="en-AU"/>
        </w:rPr>
      </w:pPr>
      <w:r w:rsidRPr="00104E70">
        <w:rPr>
          <w:lang w:eastAsia="en-AU"/>
        </w:rPr>
        <w:t xml:space="preserve">The second aspect involves measuring the </w:t>
      </w:r>
      <w:r w:rsidRPr="000349C1">
        <w:rPr>
          <w:b/>
          <w:color w:val="002776" w:themeColor="text2"/>
          <w:lang w:eastAsia="en-AU"/>
        </w:rPr>
        <w:t>flow-on, or indirect contribution</w:t>
      </w:r>
      <w:r w:rsidRPr="00104E70">
        <w:rPr>
          <w:color w:val="002776" w:themeColor="text2"/>
          <w:lang w:eastAsia="en-AU"/>
        </w:rPr>
        <w:t xml:space="preserve"> </w:t>
      </w:r>
      <w:r w:rsidRPr="00104E70">
        <w:rPr>
          <w:lang w:eastAsia="en-AU"/>
        </w:rPr>
        <w:t>of the sector’s activities</w:t>
      </w:r>
      <w:r w:rsidR="00161481">
        <w:rPr>
          <w:lang w:eastAsia="en-AU"/>
        </w:rPr>
        <w:t xml:space="preserve"> in terms of value added and employment. </w:t>
      </w:r>
      <w:r>
        <w:rPr>
          <w:lang w:eastAsia="en-AU"/>
        </w:rPr>
        <w:t>The</w:t>
      </w:r>
      <w:r w:rsidRPr="00385459">
        <w:rPr>
          <w:lang w:eastAsia="en-AU"/>
        </w:rPr>
        <w:t xml:space="preserve"> </w:t>
      </w:r>
      <w:r>
        <w:rPr>
          <w:lang w:eastAsia="en-AU"/>
        </w:rPr>
        <w:t>industries indirectly affected and the amount of flow-on activity generated is driven by the i</w:t>
      </w:r>
      <w:r w:rsidRPr="00385459">
        <w:rPr>
          <w:lang w:eastAsia="en-AU"/>
        </w:rPr>
        <w:t xml:space="preserve">ndustry-specific input requirements </w:t>
      </w:r>
      <w:r>
        <w:rPr>
          <w:lang w:eastAsia="en-AU"/>
        </w:rPr>
        <w:t xml:space="preserve">needed </w:t>
      </w:r>
      <w:r w:rsidRPr="00385459">
        <w:rPr>
          <w:lang w:eastAsia="en-AU"/>
        </w:rPr>
        <w:t xml:space="preserve">to produce </w:t>
      </w:r>
      <w:r>
        <w:rPr>
          <w:lang w:eastAsia="en-AU"/>
        </w:rPr>
        <w:t xml:space="preserve">a dollar of output in a particular industry. </w:t>
      </w:r>
      <w:r w:rsidRPr="00A9242D">
        <w:rPr>
          <w:lang w:eastAsia="en-AU"/>
        </w:rPr>
        <w:t>The total economic contribution to the economy is the sum of the direct and i</w:t>
      </w:r>
      <w:r>
        <w:rPr>
          <w:lang w:eastAsia="en-AU"/>
        </w:rPr>
        <w:t xml:space="preserve">ndirect economic contributions. </w:t>
      </w:r>
    </w:p>
    <w:p w14:paraId="298A8DC6" w14:textId="3B9B2746" w:rsidR="00C235A3" w:rsidRDefault="00274309" w:rsidP="00274309">
      <w:pPr>
        <w:pStyle w:val="BodyText"/>
      </w:pPr>
      <w:r>
        <w:t xml:space="preserve">The direct and indirect contribution of the sector will be estimated based on the </w:t>
      </w:r>
      <w:r w:rsidRPr="004249BF">
        <w:rPr>
          <w:lang w:val="en-US"/>
        </w:rPr>
        <w:t xml:space="preserve">input-output </w:t>
      </w:r>
      <w:r>
        <w:rPr>
          <w:lang w:val="en-US"/>
        </w:rPr>
        <w:t>(IO) framework from the</w:t>
      </w:r>
      <w:r>
        <w:t xml:space="preserve"> Australian Bureau of Statistics (ABS), which shows how the sectors of the economy </w:t>
      </w:r>
      <w:r w:rsidRPr="004249BF">
        <w:t>employ labour and capital, use resources and purchase inputs from other sectors and overse</w:t>
      </w:r>
      <w:r>
        <w:t>as, over a given year.</w:t>
      </w:r>
      <w:r>
        <w:rPr>
          <w:rStyle w:val="FootnoteReference"/>
        </w:rPr>
        <w:footnoteReference w:id="8"/>
      </w:r>
      <w:r>
        <w:t xml:space="preserve"> More details </w:t>
      </w:r>
      <w:r w:rsidR="00A66E3B">
        <w:t xml:space="preserve">on the contribution framework and </w:t>
      </w:r>
      <w:r>
        <w:t xml:space="preserve">the methodology used to </w:t>
      </w:r>
      <w:r w:rsidR="00A66E3B">
        <w:t>calculate</w:t>
      </w:r>
      <w:r>
        <w:t xml:space="preserve"> the economic contribution are provided in</w:t>
      </w:r>
      <w:proofErr w:type="gramStart"/>
      <w:r w:rsidR="009E2770">
        <w:t> </w:t>
      </w:r>
      <w:r>
        <w:t xml:space="preserve"> </w:t>
      </w:r>
      <w:proofErr w:type="gramEnd"/>
      <w:r>
        <w:fldChar w:fldCharType="begin"/>
      </w:r>
      <w:r>
        <w:instrText xml:space="preserve"> REF _Ref441653715 \r \h </w:instrText>
      </w:r>
      <w:r>
        <w:fldChar w:fldCharType="separate"/>
      </w:r>
      <w:r w:rsidR="00F03FA0">
        <w:t>Appendix C</w:t>
      </w:r>
      <w:r>
        <w:fldChar w:fldCharType="end"/>
      </w:r>
      <w:r w:rsidR="00A66E3B">
        <w:t xml:space="preserve"> and </w:t>
      </w:r>
      <w:r w:rsidR="00A66E3B">
        <w:fldChar w:fldCharType="begin"/>
      </w:r>
      <w:r w:rsidR="00A66E3B">
        <w:instrText xml:space="preserve"> REF _Ref442002716 \r \h </w:instrText>
      </w:r>
      <w:r w:rsidR="00A66E3B">
        <w:fldChar w:fldCharType="separate"/>
      </w:r>
      <w:r w:rsidR="00F03FA0">
        <w:t>Appendix D</w:t>
      </w:r>
      <w:r w:rsidR="00A66E3B">
        <w:fldChar w:fldCharType="end"/>
      </w:r>
      <w:r>
        <w:t>.</w:t>
      </w:r>
    </w:p>
    <w:p w14:paraId="00FE777C" w14:textId="77777777" w:rsidR="00C235A3" w:rsidRDefault="00C235A3">
      <w:r>
        <w:br w:type="page"/>
      </w:r>
    </w:p>
    <w:p w14:paraId="5C87D7D9" w14:textId="77777777" w:rsidR="00C235A3" w:rsidRPr="002D0A7C" w:rsidRDefault="00C235A3" w:rsidP="00163EA3">
      <w:pPr>
        <w:pStyle w:val="HeadingC"/>
        <w:pBdr>
          <w:top w:val="single" w:sz="4" w:space="1" w:color="auto"/>
          <w:left w:val="single" w:sz="4" w:space="4" w:color="auto"/>
          <w:bottom w:val="single" w:sz="4" w:space="1" w:color="auto"/>
          <w:right w:val="single" w:sz="4" w:space="4" w:color="auto"/>
        </w:pBdr>
        <w:shd w:val="clear" w:color="auto" w:fill="B0CAFF" w:themeFill="text2" w:themeFillTint="33"/>
        <w:jc w:val="center"/>
        <w:outlineLvl w:val="0"/>
      </w:pPr>
      <w:r>
        <w:lastRenderedPageBreak/>
        <w:t>Economic contribution of international education</w:t>
      </w:r>
      <w:r w:rsidRPr="002D0A7C">
        <w:t xml:space="preserve"> - key findings:</w:t>
      </w:r>
    </w:p>
    <w:p w14:paraId="436DB507" w14:textId="627095FE" w:rsidR="00274309" w:rsidRDefault="00C235A3" w:rsidP="00C235A3">
      <w:pPr>
        <w:pStyle w:val="BodyText"/>
        <w:pBdr>
          <w:top w:val="single" w:sz="4" w:space="1" w:color="auto"/>
          <w:left w:val="single" w:sz="4" w:space="4" w:color="auto"/>
          <w:bottom w:val="single" w:sz="4" w:space="1" w:color="auto"/>
          <w:right w:val="single" w:sz="4" w:space="4" w:color="auto"/>
        </w:pBdr>
        <w:shd w:val="clear" w:color="auto" w:fill="B0CAFF" w:themeFill="text2" w:themeFillTint="33"/>
        <w:rPr>
          <w:lang w:eastAsia="en-AU"/>
        </w:rPr>
      </w:pPr>
      <w:r>
        <w:rPr>
          <w:lang w:eastAsia="en-AU"/>
        </w:rPr>
        <w:t>Deloitte Access Economics estimates that</w:t>
      </w:r>
      <w:r w:rsidRPr="003B260D">
        <w:rPr>
          <w:lang w:eastAsia="en-AU"/>
        </w:rPr>
        <w:t xml:space="preserve"> international education</w:t>
      </w:r>
      <w:r>
        <w:rPr>
          <w:lang w:eastAsia="en-AU"/>
        </w:rPr>
        <w:t xml:space="preserve"> (modes 1, 2 and 4)</w:t>
      </w:r>
      <w:r w:rsidRPr="003B260D">
        <w:rPr>
          <w:lang w:eastAsia="en-AU"/>
        </w:rPr>
        <w:t xml:space="preserve"> made a total contribution of</w:t>
      </w:r>
      <w:r>
        <w:rPr>
          <w:lang w:eastAsia="en-AU"/>
        </w:rPr>
        <w:t xml:space="preserve"> </w:t>
      </w:r>
      <w:r w:rsidRPr="003B260D">
        <w:t>$</w:t>
      </w:r>
      <w:r>
        <w:t>16.9</w:t>
      </w:r>
      <w:r w:rsidRPr="003B260D">
        <w:t xml:space="preserve"> billion to Australia in the financial year 20</w:t>
      </w:r>
      <w:r>
        <w:t>1</w:t>
      </w:r>
      <w:r w:rsidRPr="003B260D">
        <w:t>4-15, equivalen</w:t>
      </w:r>
      <w:r>
        <w:t>t to 1.0% of GDP</w:t>
      </w:r>
      <w:r w:rsidRPr="00A0328A">
        <w:t xml:space="preserve"> and</w:t>
      </w:r>
      <w:r>
        <w:t xml:space="preserve"> supported approximately </w:t>
      </w:r>
      <w:r w:rsidRPr="00A0328A">
        <w:t>1</w:t>
      </w:r>
      <w:r>
        <w:t>28</w:t>
      </w:r>
      <w:r w:rsidRPr="003B260D">
        <w:t>,000 FTE jobs.</w:t>
      </w:r>
    </w:p>
    <w:p w14:paraId="4D06438C" w14:textId="77777777" w:rsidR="00F86B13" w:rsidRDefault="00F86B13" w:rsidP="00F86B13">
      <w:pPr>
        <w:pStyle w:val="Heading2"/>
        <w:rPr>
          <w:lang w:eastAsia="en-AU"/>
        </w:rPr>
      </w:pPr>
      <w:bookmarkStart w:id="113" w:name="_Toc442004982"/>
      <w:bookmarkStart w:id="114" w:name="_Toc442369893"/>
      <w:bookmarkStart w:id="115" w:name="_Toc436922205"/>
      <w:bookmarkStart w:id="116" w:name="_Ref437349660"/>
      <w:bookmarkStart w:id="117" w:name="_Toc450809237"/>
      <w:bookmarkEnd w:id="113"/>
      <w:bookmarkEnd w:id="114"/>
      <w:r>
        <w:rPr>
          <w:lang w:eastAsia="en-AU"/>
        </w:rPr>
        <w:t>Contribution by mode of delivery</w:t>
      </w:r>
      <w:bookmarkEnd w:id="115"/>
      <w:bookmarkEnd w:id="116"/>
      <w:bookmarkEnd w:id="117"/>
    </w:p>
    <w:p w14:paraId="045A2569" w14:textId="77777777" w:rsidR="00F86B13" w:rsidRDefault="00F86B13" w:rsidP="00F86B13">
      <w:pPr>
        <w:pStyle w:val="BodyText"/>
        <w:rPr>
          <w:lang w:eastAsia="en-AU"/>
        </w:rPr>
      </w:pPr>
      <w:r>
        <w:t xml:space="preserve">This section quantifies the direct and indirect economic contribution of the international education sector’s operations (including modes 1, 2, 4 and </w:t>
      </w:r>
      <w:proofErr w:type="spellStart"/>
      <w:r>
        <w:t>NSV</w:t>
      </w:r>
      <w:proofErr w:type="spellEnd"/>
      <w:r>
        <w:t xml:space="preserve"> </w:t>
      </w:r>
      <w:proofErr w:type="spellStart"/>
      <w:r>
        <w:t>ELICOS</w:t>
      </w:r>
      <w:proofErr w:type="spellEnd"/>
      <w:r>
        <w:t xml:space="preserve"> students) to the Australian economy. </w:t>
      </w:r>
    </w:p>
    <w:p w14:paraId="1159CE91" w14:textId="77777777" w:rsidR="00B0624C" w:rsidRDefault="00B0624C" w:rsidP="00B0624C">
      <w:pPr>
        <w:pStyle w:val="BodyText"/>
      </w:pPr>
      <w:r w:rsidRPr="009A63B0">
        <w:t xml:space="preserve">The direct economic contribution of the </w:t>
      </w:r>
      <w:r>
        <w:t>sector</w:t>
      </w:r>
      <w:r w:rsidRPr="009A63B0">
        <w:t xml:space="preserve"> is the value added to the economy from the income earned by </w:t>
      </w:r>
      <w:r>
        <w:t xml:space="preserve">the sector’s </w:t>
      </w:r>
      <w:r w:rsidRPr="009A63B0">
        <w:t>labour and capital over a given period.</w:t>
      </w:r>
      <w:r>
        <w:t xml:space="preserve"> With total income from providing international education services equalling $19.0 billion, the direct value added at the Australian level was equal </w:t>
      </w:r>
      <w:r w:rsidRPr="00F51000">
        <w:t>t</w:t>
      </w:r>
      <w:r w:rsidRPr="003B260D">
        <w:t>o $1</w:t>
      </w:r>
      <w:r>
        <w:t>1</w:t>
      </w:r>
      <w:r w:rsidRPr="00F51000">
        <w:t>.</w:t>
      </w:r>
      <w:r>
        <w:t>9</w:t>
      </w:r>
      <w:r w:rsidRPr="00F51000">
        <w:t xml:space="preserve"> billion.</w:t>
      </w:r>
      <w:r>
        <w:t xml:space="preserve"> Of this, wages were equal to $7.4 billion, while </w:t>
      </w:r>
      <w:proofErr w:type="spellStart"/>
      <w:proofErr w:type="gramStart"/>
      <w:r>
        <w:t>GOS</w:t>
      </w:r>
      <w:proofErr w:type="spellEnd"/>
      <w:r>
        <w:t>,</w:t>
      </w:r>
      <w:proofErr w:type="gramEnd"/>
      <w:r>
        <w:t xml:space="preserve"> was equal to $4.6 billion. The revenue also directly supported approximately 92,700 full-time equivalent (FTE) jobs in the Australian economy.</w:t>
      </w:r>
    </w:p>
    <w:p w14:paraId="3D56449A" w14:textId="77777777" w:rsidR="00B0624C" w:rsidRDefault="00B0624C" w:rsidP="00B0624C">
      <w:pPr>
        <w:pStyle w:val="BodyText"/>
        <w:rPr>
          <w:lang w:eastAsia="en-AU"/>
        </w:rPr>
      </w:pPr>
      <w:r w:rsidRPr="00F1597C">
        <w:rPr>
          <w:lang w:eastAsia="en-AU"/>
        </w:rPr>
        <w:t xml:space="preserve">The indirect component of </w:t>
      </w:r>
      <w:r>
        <w:rPr>
          <w:lang w:eastAsia="en-AU"/>
        </w:rPr>
        <w:t xml:space="preserve">international education’s </w:t>
      </w:r>
      <w:r w:rsidRPr="00F1597C">
        <w:rPr>
          <w:lang w:eastAsia="en-AU"/>
        </w:rPr>
        <w:t>economic contribution is driven by the</w:t>
      </w:r>
      <w:r>
        <w:rPr>
          <w:lang w:eastAsia="en-AU"/>
        </w:rPr>
        <w:t xml:space="preserve"> international education sector’s </w:t>
      </w:r>
      <w:r w:rsidRPr="00F1597C">
        <w:rPr>
          <w:lang w:eastAsia="en-AU"/>
        </w:rPr>
        <w:t>expenditure on intermediate inputs</w:t>
      </w:r>
      <w:r>
        <w:rPr>
          <w:lang w:eastAsia="en-AU"/>
        </w:rPr>
        <w:t xml:space="preserve"> in Australia. In financial year 2014-15, indirect value added was approximately equal to $4.9 billion, and international education indirectly supported an additional 35,600 FTE jobs.</w:t>
      </w:r>
    </w:p>
    <w:p w14:paraId="31929D11" w14:textId="77777777" w:rsidR="00F86B13" w:rsidRDefault="00F86B13" w:rsidP="00F86B13">
      <w:pPr>
        <w:pStyle w:val="BodyText"/>
        <w:rPr>
          <w:lang w:eastAsia="en-AU"/>
        </w:rPr>
      </w:pPr>
      <w:r w:rsidRPr="00F1597C">
        <w:rPr>
          <w:rFonts w:cs="Arial"/>
          <w:lang w:eastAsia="en-AU"/>
        </w:rPr>
        <w:t xml:space="preserve">The combination of the direct and indirect </w:t>
      </w:r>
      <w:r>
        <w:rPr>
          <w:rFonts w:cs="Arial"/>
          <w:lang w:eastAsia="en-AU"/>
        </w:rPr>
        <w:t xml:space="preserve">contributions </w:t>
      </w:r>
      <w:r w:rsidRPr="00F1597C">
        <w:rPr>
          <w:rFonts w:cs="Arial"/>
          <w:lang w:eastAsia="en-AU"/>
        </w:rPr>
        <w:t>provides the total economic c</w:t>
      </w:r>
      <w:r>
        <w:rPr>
          <w:rFonts w:cs="Arial"/>
          <w:lang w:eastAsia="en-AU"/>
        </w:rPr>
        <w:t>ontribution.</w:t>
      </w:r>
      <w:r w:rsidR="00A005B6">
        <w:rPr>
          <w:rFonts w:cs="Arial"/>
          <w:lang w:eastAsia="en-AU"/>
        </w:rPr>
        <w:t xml:space="preserve"> </w:t>
      </w:r>
      <w:r w:rsidR="00B0624C" w:rsidRPr="000349C1">
        <w:rPr>
          <w:rFonts w:cs="Arial"/>
          <w:b/>
          <w:color w:val="002776" w:themeColor="text2"/>
          <w:lang w:eastAsia="en-AU"/>
        </w:rPr>
        <w:t>For 2014-15, the international education sector’s total economic contribution to Australia</w:t>
      </w:r>
      <w:r w:rsidR="00B0624C">
        <w:rPr>
          <w:rFonts w:cs="Arial"/>
          <w:b/>
          <w:color w:val="002776" w:themeColor="text2"/>
          <w:lang w:eastAsia="en-AU"/>
        </w:rPr>
        <w:t>n GDP</w:t>
      </w:r>
      <w:r w:rsidR="00B0624C" w:rsidRPr="000349C1">
        <w:rPr>
          <w:rFonts w:cs="Arial"/>
          <w:b/>
          <w:color w:val="002776" w:themeColor="text2"/>
          <w:lang w:eastAsia="en-AU"/>
        </w:rPr>
        <w:t xml:space="preserve"> was $1</w:t>
      </w:r>
      <w:r w:rsidR="00B0624C">
        <w:rPr>
          <w:rFonts w:cs="Arial"/>
          <w:b/>
          <w:color w:val="002776" w:themeColor="text2"/>
          <w:lang w:eastAsia="en-AU"/>
        </w:rPr>
        <w:t>6</w:t>
      </w:r>
      <w:r w:rsidR="00B0624C" w:rsidRPr="000349C1">
        <w:rPr>
          <w:rFonts w:cs="Arial"/>
          <w:b/>
          <w:color w:val="002776" w:themeColor="text2"/>
          <w:lang w:eastAsia="en-AU"/>
        </w:rPr>
        <w:t>.</w:t>
      </w:r>
      <w:r w:rsidR="00B334E1">
        <w:rPr>
          <w:rFonts w:cs="Arial"/>
          <w:b/>
          <w:color w:val="002776" w:themeColor="text2"/>
          <w:lang w:eastAsia="en-AU"/>
        </w:rPr>
        <w:t>9</w:t>
      </w:r>
      <w:r w:rsidR="00B334E1" w:rsidRPr="000349C1">
        <w:rPr>
          <w:rFonts w:cs="Arial"/>
          <w:b/>
          <w:color w:val="002776" w:themeColor="text2"/>
          <w:lang w:eastAsia="en-AU"/>
        </w:rPr>
        <w:t> </w:t>
      </w:r>
      <w:r w:rsidR="00B0624C" w:rsidRPr="000349C1">
        <w:rPr>
          <w:rFonts w:cs="Arial"/>
          <w:b/>
          <w:color w:val="002776" w:themeColor="text2"/>
          <w:lang w:eastAsia="en-AU"/>
        </w:rPr>
        <w:t>billion, equal to approximately 1.</w:t>
      </w:r>
      <w:r w:rsidR="00B0624C">
        <w:rPr>
          <w:rFonts w:cs="Arial"/>
          <w:b/>
          <w:color w:val="002776" w:themeColor="text2"/>
          <w:lang w:eastAsia="en-AU"/>
        </w:rPr>
        <w:t>0</w:t>
      </w:r>
      <w:r w:rsidR="00B0624C" w:rsidRPr="000349C1">
        <w:rPr>
          <w:rFonts w:cs="Arial"/>
          <w:b/>
          <w:color w:val="002776" w:themeColor="text2"/>
          <w:lang w:eastAsia="en-AU"/>
        </w:rPr>
        <w:t>% of gross domestic product (GDP). The sector also supported a total of approximately 12</w:t>
      </w:r>
      <w:r w:rsidR="00B0624C">
        <w:rPr>
          <w:rFonts w:cs="Arial"/>
          <w:b/>
          <w:color w:val="002776" w:themeColor="text2"/>
          <w:lang w:eastAsia="en-AU"/>
        </w:rPr>
        <w:t>8</w:t>
      </w:r>
      <w:r w:rsidR="00B0624C" w:rsidRPr="000349C1">
        <w:rPr>
          <w:rFonts w:cs="Arial"/>
          <w:b/>
          <w:color w:val="002776" w:themeColor="text2"/>
          <w:lang w:eastAsia="en-AU"/>
        </w:rPr>
        <w:t>,000 FTE jobs, equivalent to 1.3% of employed persons in Australia.</w:t>
      </w:r>
    </w:p>
    <w:p w14:paraId="60A055D6" w14:textId="77777777" w:rsidR="00664A81" w:rsidRDefault="00664A81" w:rsidP="00F86B13">
      <w:pPr>
        <w:pStyle w:val="BodyText"/>
      </w:pPr>
      <w:r>
        <w:t xml:space="preserve">The contribution of international education to GDP was approximately a fifth of that of the education sector as a whole, with education sector revenue contributing $75.5 billion in GDP to Australia in 2014-15 (ABS </w:t>
      </w:r>
      <w:proofErr w:type="spellStart"/>
      <w:r>
        <w:t>2015</w:t>
      </w:r>
      <w:r w:rsidR="009225F9">
        <w:t>c</w:t>
      </w:r>
      <w:proofErr w:type="spellEnd"/>
      <w:r>
        <w:t>).</w:t>
      </w:r>
    </w:p>
    <w:p w14:paraId="0209E995" w14:textId="77777777" w:rsidR="00F86B13" w:rsidRPr="00140BC2" w:rsidRDefault="00F86B13" w:rsidP="00F86B13">
      <w:pPr>
        <w:pStyle w:val="BodyText"/>
        <w:rPr>
          <w:lang w:eastAsia="en-AU"/>
        </w:rPr>
      </w:pPr>
      <w:r>
        <w:t xml:space="preserve">An overview of the export revenue to the Australian international education sector derived in the previous chapter, and the contribution results are given below in </w:t>
      </w:r>
      <w:r w:rsidR="008539C7">
        <w:fldChar w:fldCharType="begin"/>
      </w:r>
      <w:r w:rsidR="008539C7">
        <w:instrText xml:space="preserve"> REF _Ref437337505 \r \h </w:instrText>
      </w:r>
      <w:r w:rsidR="008539C7">
        <w:fldChar w:fldCharType="separate"/>
      </w:r>
      <w:r w:rsidR="00F03FA0">
        <w:t>Table 3.1</w:t>
      </w:r>
      <w:r w:rsidR="008539C7">
        <w:fldChar w:fldCharType="end"/>
      </w:r>
      <w:r>
        <w:t xml:space="preserve">. </w:t>
      </w:r>
    </w:p>
    <w:p w14:paraId="5152AFC0" w14:textId="77777777" w:rsidR="00F86B13" w:rsidRDefault="00F86B13" w:rsidP="00163EA3">
      <w:pPr>
        <w:pStyle w:val="CaptionTable"/>
        <w:outlineLvl w:val="0"/>
      </w:pPr>
      <w:bookmarkStart w:id="118" w:name="_Toc436922237"/>
      <w:bookmarkStart w:id="119" w:name="_Ref437337505"/>
      <w:bookmarkStart w:id="120" w:name="_Ref437418406"/>
      <w:bookmarkStart w:id="121" w:name="_Ref438733106"/>
      <w:bookmarkStart w:id="122" w:name="_Toc450809282"/>
      <w:r>
        <w:lastRenderedPageBreak/>
        <w:t>: Contribution summary of international education services, 2014-15</w:t>
      </w:r>
      <w:bookmarkEnd w:id="118"/>
      <w:bookmarkEnd w:id="119"/>
      <w:bookmarkEnd w:id="120"/>
      <w:bookmarkEnd w:id="121"/>
      <w:bookmarkEnd w:id="122"/>
    </w:p>
    <w:tbl>
      <w:tblPr>
        <w:tblW w:w="0" w:type="auto"/>
        <w:tblLayout w:type="fixed"/>
        <w:tblLook w:val="04A0" w:firstRow="1" w:lastRow="0" w:firstColumn="1" w:lastColumn="0" w:noHBand="0" w:noVBand="1"/>
        <w:tblCaption w:val="Table 3.1: Contribution summary of international education services, 2014–15"/>
        <w:tblDescription w:val="The table shows a summary of contribution of international education services by mode of delivery in financial year 2014–15."/>
      </w:tblPr>
      <w:tblGrid>
        <w:gridCol w:w="1951"/>
        <w:gridCol w:w="1297"/>
        <w:gridCol w:w="1297"/>
        <w:gridCol w:w="1297"/>
        <w:gridCol w:w="1297"/>
        <w:gridCol w:w="1297"/>
      </w:tblGrid>
      <w:tr w:rsidR="00F86B13" w:rsidRPr="006E5D7C" w14:paraId="4CB0C62B" w14:textId="77777777" w:rsidTr="006772A3">
        <w:trPr>
          <w:trHeight w:val="270"/>
        </w:trPr>
        <w:tc>
          <w:tcPr>
            <w:tcW w:w="1951" w:type="dxa"/>
            <w:tcBorders>
              <w:top w:val="single" w:sz="18" w:space="0" w:color="002776"/>
              <w:left w:val="nil"/>
              <w:bottom w:val="single" w:sz="4" w:space="0" w:color="002776"/>
              <w:right w:val="nil"/>
            </w:tcBorders>
            <w:shd w:val="clear" w:color="auto" w:fill="auto"/>
            <w:noWrap/>
            <w:vAlign w:val="bottom"/>
            <w:hideMark/>
          </w:tcPr>
          <w:p w14:paraId="6C2D428C" w14:textId="77777777" w:rsidR="00F86B13" w:rsidRPr="006E5D7C" w:rsidRDefault="00F86B13" w:rsidP="006772A3">
            <w:pPr>
              <w:keepNext/>
              <w:keepLines/>
              <w:rPr>
                <w:rFonts w:asciiTheme="minorHAnsi" w:hAnsiTheme="minorHAnsi" w:cs="Arial"/>
                <w:sz w:val="20"/>
                <w:lang w:eastAsia="en-AU"/>
              </w:rPr>
            </w:pPr>
            <w:r w:rsidRPr="006E5D7C">
              <w:rPr>
                <w:rFonts w:asciiTheme="minorHAnsi" w:hAnsiTheme="minorHAnsi" w:cs="Arial"/>
                <w:sz w:val="20"/>
                <w:lang w:eastAsia="en-AU"/>
              </w:rPr>
              <w:t> </w:t>
            </w:r>
          </w:p>
        </w:tc>
        <w:tc>
          <w:tcPr>
            <w:tcW w:w="1297" w:type="dxa"/>
            <w:tcBorders>
              <w:top w:val="single" w:sz="18" w:space="0" w:color="002776"/>
              <w:left w:val="nil"/>
              <w:bottom w:val="single" w:sz="4" w:space="0" w:color="002776"/>
              <w:right w:val="nil"/>
            </w:tcBorders>
            <w:shd w:val="clear" w:color="auto" w:fill="auto"/>
            <w:noWrap/>
            <w:vAlign w:val="bottom"/>
            <w:hideMark/>
          </w:tcPr>
          <w:p w14:paraId="1F5EF7FC" w14:textId="77777777" w:rsidR="00F86B13" w:rsidRPr="000349C1" w:rsidRDefault="00F86B13" w:rsidP="006772A3">
            <w:pPr>
              <w:keepNext/>
              <w:keepLines/>
              <w:jc w:val="center"/>
              <w:rPr>
                <w:rFonts w:asciiTheme="minorHAnsi" w:hAnsiTheme="minorHAnsi" w:cs="Arial"/>
                <w:b/>
                <w:bCs/>
                <w:color w:val="002776"/>
                <w:szCs w:val="22"/>
                <w:lang w:eastAsia="en-AU"/>
              </w:rPr>
            </w:pPr>
            <w:r w:rsidRPr="000349C1">
              <w:rPr>
                <w:rFonts w:asciiTheme="minorHAnsi" w:hAnsiTheme="minorHAnsi" w:cs="Arial"/>
                <w:b/>
                <w:bCs/>
                <w:color w:val="002776"/>
                <w:szCs w:val="22"/>
                <w:lang w:eastAsia="en-AU"/>
              </w:rPr>
              <w:t>Mode 1</w:t>
            </w:r>
          </w:p>
        </w:tc>
        <w:tc>
          <w:tcPr>
            <w:tcW w:w="1297" w:type="dxa"/>
            <w:tcBorders>
              <w:top w:val="single" w:sz="18" w:space="0" w:color="002776"/>
              <w:left w:val="nil"/>
              <w:bottom w:val="single" w:sz="4" w:space="0" w:color="002776"/>
              <w:right w:val="nil"/>
            </w:tcBorders>
            <w:shd w:val="clear" w:color="auto" w:fill="auto"/>
            <w:noWrap/>
            <w:vAlign w:val="bottom"/>
            <w:hideMark/>
          </w:tcPr>
          <w:p w14:paraId="195C5371" w14:textId="77777777" w:rsidR="00F86B13" w:rsidRPr="000349C1" w:rsidRDefault="00F86B13" w:rsidP="006772A3">
            <w:pPr>
              <w:keepNext/>
              <w:keepLines/>
              <w:jc w:val="center"/>
              <w:rPr>
                <w:rFonts w:asciiTheme="minorHAnsi" w:hAnsiTheme="minorHAnsi" w:cs="Arial"/>
                <w:b/>
                <w:bCs/>
                <w:color w:val="002776"/>
                <w:szCs w:val="22"/>
                <w:lang w:eastAsia="en-AU"/>
              </w:rPr>
            </w:pPr>
            <w:r w:rsidRPr="000349C1">
              <w:rPr>
                <w:rFonts w:asciiTheme="minorHAnsi" w:hAnsiTheme="minorHAnsi" w:cs="Arial"/>
                <w:b/>
                <w:bCs/>
                <w:color w:val="002776"/>
                <w:szCs w:val="22"/>
                <w:lang w:eastAsia="en-AU"/>
              </w:rPr>
              <w:t>Mode 2*</w:t>
            </w:r>
          </w:p>
        </w:tc>
        <w:tc>
          <w:tcPr>
            <w:tcW w:w="1297" w:type="dxa"/>
            <w:tcBorders>
              <w:top w:val="single" w:sz="18" w:space="0" w:color="002776"/>
              <w:left w:val="nil"/>
              <w:bottom w:val="single" w:sz="4" w:space="0" w:color="002776"/>
              <w:right w:val="nil"/>
            </w:tcBorders>
            <w:shd w:val="clear" w:color="auto" w:fill="auto"/>
            <w:noWrap/>
            <w:vAlign w:val="bottom"/>
            <w:hideMark/>
          </w:tcPr>
          <w:p w14:paraId="05F9E82D" w14:textId="77777777" w:rsidR="00F86B13" w:rsidRPr="000349C1" w:rsidRDefault="00F86B13" w:rsidP="006772A3">
            <w:pPr>
              <w:keepNext/>
              <w:keepLines/>
              <w:jc w:val="center"/>
              <w:rPr>
                <w:rFonts w:asciiTheme="minorHAnsi" w:hAnsiTheme="minorHAnsi" w:cs="Arial"/>
                <w:b/>
                <w:bCs/>
                <w:color w:val="002776"/>
                <w:szCs w:val="22"/>
                <w:lang w:eastAsia="en-AU"/>
              </w:rPr>
            </w:pPr>
            <w:r w:rsidRPr="000349C1">
              <w:rPr>
                <w:rFonts w:asciiTheme="minorHAnsi" w:hAnsiTheme="minorHAnsi" w:cs="Arial"/>
                <w:b/>
                <w:bCs/>
                <w:color w:val="002776"/>
                <w:szCs w:val="22"/>
                <w:lang w:eastAsia="en-AU"/>
              </w:rPr>
              <w:t>Mode 4</w:t>
            </w:r>
          </w:p>
        </w:tc>
        <w:tc>
          <w:tcPr>
            <w:tcW w:w="1297" w:type="dxa"/>
            <w:tcBorders>
              <w:top w:val="single" w:sz="18" w:space="0" w:color="002776"/>
              <w:left w:val="nil"/>
              <w:bottom w:val="single" w:sz="4" w:space="0" w:color="002776"/>
              <w:right w:val="nil"/>
            </w:tcBorders>
            <w:shd w:val="clear" w:color="auto" w:fill="auto"/>
            <w:noWrap/>
            <w:vAlign w:val="bottom"/>
            <w:hideMark/>
          </w:tcPr>
          <w:p w14:paraId="5F4CBCD2" w14:textId="77777777" w:rsidR="00F86B13" w:rsidRPr="000349C1" w:rsidRDefault="00F86B13" w:rsidP="006772A3">
            <w:pPr>
              <w:keepNext/>
              <w:keepLines/>
              <w:jc w:val="center"/>
              <w:rPr>
                <w:rFonts w:asciiTheme="minorHAnsi" w:hAnsiTheme="minorHAnsi" w:cs="Arial"/>
                <w:b/>
                <w:bCs/>
                <w:color w:val="002776"/>
                <w:szCs w:val="22"/>
                <w:lang w:eastAsia="en-AU"/>
              </w:rPr>
            </w:pPr>
            <w:proofErr w:type="spellStart"/>
            <w:r w:rsidRPr="000349C1">
              <w:rPr>
                <w:rFonts w:asciiTheme="minorHAnsi" w:hAnsiTheme="minorHAnsi" w:cs="Arial"/>
                <w:b/>
                <w:bCs/>
                <w:color w:val="002776"/>
                <w:szCs w:val="22"/>
                <w:lang w:eastAsia="en-AU"/>
              </w:rPr>
              <w:t>NSV</w:t>
            </w:r>
            <w:proofErr w:type="spellEnd"/>
            <w:r w:rsidRPr="000349C1">
              <w:rPr>
                <w:rFonts w:asciiTheme="minorHAnsi" w:hAnsiTheme="minorHAnsi" w:cs="Arial"/>
                <w:b/>
                <w:bCs/>
                <w:color w:val="002776"/>
                <w:szCs w:val="22"/>
                <w:lang w:eastAsia="en-AU"/>
              </w:rPr>
              <w:t xml:space="preserve"> </w:t>
            </w:r>
            <w:proofErr w:type="spellStart"/>
            <w:r w:rsidRPr="000349C1">
              <w:rPr>
                <w:rFonts w:asciiTheme="minorHAnsi" w:hAnsiTheme="minorHAnsi" w:cs="Arial"/>
                <w:b/>
                <w:bCs/>
                <w:color w:val="002776"/>
                <w:szCs w:val="22"/>
                <w:lang w:eastAsia="en-AU"/>
              </w:rPr>
              <w:t>ELICOS</w:t>
            </w:r>
            <w:proofErr w:type="spellEnd"/>
          </w:p>
        </w:tc>
        <w:tc>
          <w:tcPr>
            <w:tcW w:w="1297" w:type="dxa"/>
            <w:tcBorders>
              <w:top w:val="single" w:sz="18" w:space="0" w:color="002776"/>
              <w:left w:val="nil"/>
              <w:bottom w:val="single" w:sz="4" w:space="0" w:color="002776"/>
              <w:right w:val="nil"/>
            </w:tcBorders>
            <w:shd w:val="clear" w:color="auto" w:fill="auto"/>
            <w:noWrap/>
            <w:vAlign w:val="bottom"/>
            <w:hideMark/>
          </w:tcPr>
          <w:p w14:paraId="1DF4A027" w14:textId="77777777" w:rsidR="00F86B13" w:rsidRPr="000349C1" w:rsidRDefault="00F86B13" w:rsidP="006772A3">
            <w:pPr>
              <w:keepNext/>
              <w:keepLines/>
              <w:jc w:val="center"/>
              <w:rPr>
                <w:rFonts w:asciiTheme="minorHAnsi" w:hAnsiTheme="minorHAnsi" w:cs="Arial"/>
                <w:b/>
                <w:bCs/>
                <w:color w:val="002776"/>
                <w:szCs w:val="22"/>
                <w:lang w:eastAsia="en-AU"/>
              </w:rPr>
            </w:pPr>
            <w:r w:rsidRPr="000349C1">
              <w:rPr>
                <w:rFonts w:asciiTheme="minorHAnsi" w:hAnsiTheme="minorHAnsi" w:cs="Arial"/>
                <w:b/>
                <w:bCs/>
                <w:color w:val="002776"/>
                <w:szCs w:val="22"/>
                <w:lang w:eastAsia="en-AU"/>
              </w:rPr>
              <w:t>Total</w:t>
            </w:r>
          </w:p>
        </w:tc>
      </w:tr>
      <w:tr w:rsidR="00F86B13" w:rsidRPr="00E71339" w14:paraId="41BD8FB8" w14:textId="77777777" w:rsidTr="006772A3">
        <w:trPr>
          <w:trHeight w:val="255"/>
        </w:trPr>
        <w:tc>
          <w:tcPr>
            <w:tcW w:w="8436" w:type="dxa"/>
            <w:gridSpan w:val="6"/>
            <w:tcBorders>
              <w:top w:val="nil"/>
              <w:left w:val="nil"/>
              <w:bottom w:val="nil"/>
              <w:right w:val="nil"/>
            </w:tcBorders>
            <w:shd w:val="clear" w:color="000000" w:fill="B0CAFF"/>
            <w:noWrap/>
            <w:vAlign w:val="bottom"/>
            <w:hideMark/>
          </w:tcPr>
          <w:p w14:paraId="34AF3CD5" w14:textId="77777777" w:rsidR="00F86B13" w:rsidRPr="00D703A4" w:rsidRDefault="00F86B13" w:rsidP="006772A3">
            <w:pPr>
              <w:keepNext/>
              <w:keepLines/>
              <w:rPr>
                <w:rFonts w:asciiTheme="minorHAnsi" w:hAnsiTheme="minorHAnsi" w:cs="Arial"/>
                <w:i/>
                <w:iCs/>
                <w:sz w:val="20"/>
                <w:lang w:eastAsia="en-AU"/>
              </w:rPr>
            </w:pPr>
            <w:r w:rsidRPr="00A0328A">
              <w:rPr>
                <w:rFonts w:asciiTheme="minorHAnsi" w:hAnsiTheme="minorHAnsi" w:cs="Arial"/>
                <w:i/>
                <w:iCs/>
                <w:sz w:val="20"/>
                <w:lang w:eastAsia="en-AU"/>
              </w:rPr>
              <w:t>Export revenue</w:t>
            </w:r>
          </w:p>
        </w:tc>
      </w:tr>
      <w:tr w:rsidR="00F86B13" w:rsidRPr="00E71339" w14:paraId="7513DC89" w14:textId="77777777" w:rsidTr="006772A3">
        <w:trPr>
          <w:trHeight w:val="255"/>
        </w:trPr>
        <w:tc>
          <w:tcPr>
            <w:tcW w:w="1951" w:type="dxa"/>
            <w:tcBorders>
              <w:top w:val="nil"/>
              <w:left w:val="nil"/>
              <w:bottom w:val="nil"/>
              <w:right w:val="nil"/>
            </w:tcBorders>
            <w:shd w:val="clear" w:color="auto" w:fill="auto"/>
            <w:noWrap/>
            <w:vAlign w:val="bottom"/>
            <w:hideMark/>
          </w:tcPr>
          <w:p w14:paraId="203F659B" w14:textId="77777777" w:rsidR="00F86B13" w:rsidRPr="00A0328A" w:rsidRDefault="00F86B13" w:rsidP="006772A3">
            <w:pPr>
              <w:keepNext/>
              <w:keepLines/>
              <w:rPr>
                <w:rFonts w:asciiTheme="minorHAnsi" w:hAnsiTheme="minorHAnsi" w:cs="Arial"/>
                <w:sz w:val="20"/>
                <w:lang w:eastAsia="en-AU"/>
              </w:rPr>
            </w:pPr>
            <w:r w:rsidRPr="00A0328A">
              <w:rPr>
                <w:rFonts w:asciiTheme="minorHAnsi" w:hAnsiTheme="minorHAnsi" w:cs="Arial"/>
                <w:sz w:val="20"/>
                <w:lang w:eastAsia="en-AU"/>
              </w:rPr>
              <w:t>($m)</w:t>
            </w:r>
          </w:p>
        </w:tc>
        <w:tc>
          <w:tcPr>
            <w:tcW w:w="1297" w:type="dxa"/>
            <w:tcBorders>
              <w:top w:val="nil"/>
              <w:left w:val="nil"/>
              <w:bottom w:val="nil"/>
              <w:right w:val="nil"/>
            </w:tcBorders>
            <w:shd w:val="clear" w:color="auto" w:fill="auto"/>
            <w:noWrap/>
            <w:hideMark/>
          </w:tcPr>
          <w:p w14:paraId="3B29A408" w14:textId="77777777" w:rsidR="00F86B13" w:rsidRPr="00A0328A" w:rsidRDefault="00F86B13" w:rsidP="000349C1">
            <w:pPr>
              <w:keepNext/>
              <w:keepLines/>
              <w:jc w:val="center"/>
              <w:rPr>
                <w:rFonts w:asciiTheme="minorHAnsi" w:hAnsiTheme="minorHAnsi" w:cs="Arial"/>
                <w:sz w:val="20"/>
                <w:lang w:eastAsia="en-AU"/>
              </w:rPr>
            </w:pPr>
            <w:r w:rsidRPr="003B260D">
              <w:rPr>
                <w:rFonts w:asciiTheme="minorHAnsi" w:hAnsiTheme="minorHAnsi" w:cs="Calibri"/>
                <w:color w:val="000000"/>
                <w:sz w:val="20"/>
                <w:lang w:eastAsia="en-AU"/>
              </w:rPr>
              <w:t>185</w:t>
            </w:r>
          </w:p>
        </w:tc>
        <w:tc>
          <w:tcPr>
            <w:tcW w:w="1297" w:type="dxa"/>
            <w:tcBorders>
              <w:top w:val="nil"/>
              <w:left w:val="nil"/>
              <w:bottom w:val="nil"/>
              <w:right w:val="nil"/>
            </w:tcBorders>
            <w:shd w:val="clear" w:color="auto" w:fill="auto"/>
            <w:noWrap/>
            <w:hideMark/>
          </w:tcPr>
          <w:p w14:paraId="47868DA3" w14:textId="77777777" w:rsidR="00F86B13" w:rsidRPr="00D703A4" w:rsidRDefault="00F86B13" w:rsidP="000349C1">
            <w:pPr>
              <w:keepNext/>
              <w:keepLines/>
              <w:jc w:val="center"/>
              <w:rPr>
                <w:rFonts w:asciiTheme="minorHAnsi" w:hAnsiTheme="minorHAnsi" w:cs="Arial"/>
                <w:sz w:val="20"/>
                <w:lang w:eastAsia="en-AU"/>
              </w:rPr>
            </w:pPr>
            <w:r w:rsidRPr="00D703A4">
              <w:rPr>
                <w:rFonts w:cs="Calibri"/>
                <w:color w:val="000000"/>
                <w:sz w:val="20"/>
                <w:lang w:eastAsia="en-AU"/>
              </w:rPr>
              <w:t>18,172</w:t>
            </w:r>
          </w:p>
        </w:tc>
        <w:tc>
          <w:tcPr>
            <w:tcW w:w="1297" w:type="dxa"/>
            <w:tcBorders>
              <w:top w:val="nil"/>
              <w:left w:val="nil"/>
              <w:bottom w:val="nil"/>
              <w:right w:val="nil"/>
            </w:tcBorders>
            <w:shd w:val="clear" w:color="auto" w:fill="auto"/>
            <w:noWrap/>
            <w:hideMark/>
          </w:tcPr>
          <w:p w14:paraId="0FF4920A" w14:textId="77777777" w:rsidR="00F86B13" w:rsidRPr="00A0328A" w:rsidRDefault="00F86B13" w:rsidP="000349C1">
            <w:pPr>
              <w:keepNext/>
              <w:keepLines/>
              <w:jc w:val="center"/>
              <w:rPr>
                <w:rFonts w:asciiTheme="minorHAnsi" w:hAnsiTheme="minorHAnsi" w:cs="Arial"/>
                <w:sz w:val="20"/>
                <w:lang w:eastAsia="en-AU"/>
              </w:rPr>
            </w:pPr>
            <w:r w:rsidRPr="003B260D">
              <w:rPr>
                <w:rFonts w:asciiTheme="minorHAnsi" w:hAnsiTheme="minorHAnsi" w:cs="Calibri"/>
                <w:color w:val="000000"/>
                <w:sz w:val="20"/>
                <w:lang w:eastAsia="en-AU"/>
              </w:rPr>
              <w:t>418</w:t>
            </w:r>
          </w:p>
        </w:tc>
        <w:tc>
          <w:tcPr>
            <w:tcW w:w="1297" w:type="dxa"/>
            <w:tcBorders>
              <w:top w:val="nil"/>
              <w:left w:val="nil"/>
              <w:bottom w:val="nil"/>
              <w:right w:val="nil"/>
            </w:tcBorders>
            <w:shd w:val="clear" w:color="auto" w:fill="auto"/>
            <w:noWrap/>
            <w:hideMark/>
          </w:tcPr>
          <w:p w14:paraId="34934BB8" w14:textId="77777777" w:rsidR="00F86B13" w:rsidRPr="00A0328A" w:rsidRDefault="00F86B13" w:rsidP="000349C1">
            <w:pPr>
              <w:keepNext/>
              <w:keepLines/>
              <w:jc w:val="center"/>
              <w:rPr>
                <w:rFonts w:asciiTheme="minorHAnsi" w:hAnsiTheme="minorHAnsi" w:cs="Arial"/>
                <w:sz w:val="20"/>
                <w:lang w:eastAsia="en-AU"/>
              </w:rPr>
            </w:pPr>
            <w:r w:rsidRPr="003B260D">
              <w:rPr>
                <w:rFonts w:asciiTheme="minorHAnsi" w:hAnsiTheme="minorHAnsi" w:cs="Calibri"/>
                <w:color w:val="000000"/>
                <w:sz w:val="20"/>
                <w:lang w:eastAsia="en-AU"/>
              </w:rPr>
              <w:t>205</w:t>
            </w:r>
          </w:p>
        </w:tc>
        <w:tc>
          <w:tcPr>
            <w:tcW w:w="1297" w:type="dxa"/>
            <w:tcBorders>
              <w:top w:val="nil"/>
              <w:left w:val="nil"/>
              <w:bottom w:val="nil"/>
              <w:right w:val="nil"/>
            </w:tcBorders>
            <w:shd w:val="clear" w:color="auto" w:fill="auto"/>
            <w:noWrap/>
            <w:hideMark/>
          </w:tcPr>
          <w:p w14:paraId="11CCB3A1" w14:textId="77777777" w:rsidR="00F86B13" w:rsidRPr="00D703A4" w:rsidRDefault="00F86B13" w:rsidP="000349C1">
            <w:pPr>
              <w:keepNext/>
              <w:keepLines/>
              <w:jc w:val="center"/>
              <w:rPr>
                <w:rFonts w:asciiTheme="minorHAnsi" w:hAnsiTheme="minorHAnsi" w:cs="Arial"/>
                <w:b/>
                <w:sz w:val="20"/>
                <w:lang w:eastAsia="en-AU"/>
              </w:rPr>
            </w:pPr>
            <w:r w:rsidRPr="00D703A4">
              <w:rPr>
                <w:rFonts w:cs="Calibri"/>
                <w:color w:val="000000"/>
                <w:sz w:val="20"/>
                <w:lang w:eastAsia="en-AU"/>
              </w:rPr>
              <w:t>18,980</w:t>
            </w:r>
          </w:p>
        </w:tc>
      </w:tr>
      <w:tr w:rsidR="00F86B13" w:rsidRPr="00E71339" w14:paraId="28238397" w14:textId="77777777" w:rsidTr="006772A3">
        <w:trPr>
          <w:trHeight w:val="255"/>
        </w:trPr>
        <w:tc>
          <w:tcPr>
            <w:tcW w:w="8436" w:type="dxa"/>
            <w:gridSpan w:val="6"/>
            <w:tcBorders>
              <w:top w:val="single" w:sz="4" w:space="0" w:color="002776"/>
              <w:left w:val="nil"/>
              <w:bottom w:val="nil"/>
              <w:right w:val="nil"/>
            </w:tcBorders>
            <w:shd w:val="clear" w:color="000000" w:fill="B0CAFF"/>
            <w:noWrap/>
            <w:vAlign w:val="bottom"/>
            <w:hideMark/>
          </w:tcPr>
          <w:p w14:paraId="160064B0" w14:textId="77777777" w:rsidR="00F86B13" w:rsidRPr="00D703A4" w:rsidRDefault="00F86B13" w:rsidP="000349C1">
            <w:pPr>
              <w:keepNext/>
              <w:keepLines/>
              <w:rPr>
                <w:rFonts w:asciiTheme="minorHAnsi" w:hAnsiTheme="minorHAnsi" w:cs="Arial"/>
                <w:i/>
                <w:iCs/>
                <w:sz w:val="20"/>
                <w:lang w:eastAsia="en-AU"/>
              </w:rPr>
            </w:pPr>
            <w:r w:rsidRPr="00A0328A">
              <w:rPr>
                <w:rFonts w:asciiTheme="minorHAnsi" w:hAnsiTheme="minorHAnsi" w:cs="Arial"/>
                <w:i/>
                <w:iCs/>
                <w:sz w:val="20"/>
                <w:lang w:eastAsia="en-AU"/>
              </w:rPr>
              <w:t>Direct contribution</w:t>
            </w:r>
          </w:p>
        </w:tc>
      </w:tr>
      <w:tr w:rsidR="00B0624C" w:rsidRPr="00E71339" w14:paraId="066B1182" w14:textId="77777777" w:rsidTr="006772A3">
        <w:trPr>
          <w:trHeight w:val="255"/>
        </w:trPr>
        <w:tc>
          <w:tcPr>
            <w:tcW w:w="1951" w:type="dxa"/>
            <w:tcBorders>
              <w:top w:val="nil"/>
              <w:left w:val="nil"/>
              <w:bottom w:val="nil"/>
              <w:right w:val="nil"/>
            </w:tcBorders>
            <w:shd w:val="clear" w:color="auto" w:fill="auto"/>
            <w:noWrap/>
            <w:vAlign w:val="bottom"/>
            <w:hideMark/>
          </w:tcPr>
          <w:p w14:paraId="757BEE8D" w14:textId="77777777" w:rsidR="00B0624C" w:rsidRPr="00A0328A" w:rsidRDefault="00B0624C" w:rsidP="006772A3">
            <w:pPr>
              <w:keepNext/>
              <w:keepLines/>
              <w:rPr>
                <w:rFonts w:asciiTheme="minorHAnsi" w:hAnsiTheme="minorHAnsi" w:cs="Arial"/>
                <w:sz w:val="20"/>
                <w:lang w:eastAsia="en-AU"/>
              </w:rPr>
            </w:pPr>
            <w:r w:rsidRPr="00A0328A">
              <w:rPr>
                <w:rFonts w:asciiTheme="minorHAnsi" w:hAnsiTheme="minorHAnsi" w:cs="Arial"/>
                <w:sz w:val="20"/>
                <w:lang w:eastAsia="en-AU"/>
              </w:rPr>
              <w:t>Valued added ($m)</w:t>
            </w:r>
          </w:p>
        </w:tc>
        <w:tc>
          <w:tcPr>
            <w:tcW w:w="1297" w:type="dxa"/>
            <w:tcBorders>
              <w:top w:val="nil"/>
              <w:left w:val="nil"/>
              <w:bottom w:val="nil"/>
              <w:right w:val="nil"/>
            </w:tcBorders>
            <w:shd w:val="clear" w:color="auto" w:fill="auto"/>
            <w:noWrap/>
            <w:vAlign w:val="bottom"/>
            <w:hideMark/>
          </w:tcPr>
          <w:p w14:paraId="2E7B87FE" w14:textId="77777777" w:rsidR="00B0624C" w:rsidRPr="00A0328A" w:rsidRDefault="00B0624C" w:rsidP="000349C1">
            <w:pPr>
              <w:keepNext/>
              <w:keepLines/>
              <w:jc w:val="center"/>
              <w:rPr>
                <w:rFonts w:asciiTheme="minorHAnsi" w:hAnsiTheme="minorHAnsi" w:cs="Arial"/>
                <w:sz w:val="20"/>
                <w:lang w:eastAsia="en-AU"/>
              </w:rPr>
            </w:pPr>
            <w:r>
              <w:rPr>
                <w:rFonts w:cs="Arial"/>
                <w:sz w:val="20"/>
              </w:rPr>
              <w:t xml:space="preserve">139 </w:t>
            </w:r>
          </w:p>
        </w:tc>
        <w:tc>
          <w:tcPr>
            <w:tcW w:w="1297" w:type="dxa"/>
            <w:tcBorders>
              <w:top w:val="nil"/>
              <w:left w:val="nil"/>
              <w:bottom w:val="nil"/>
              <w:right w:val="nil"/>
            </w:tcBorders>
            <w:shd w:val="clear" w:color="auto" w:fill="auto"/>
            <w:noWrap/>
            <w:vAlign w:val="bottom"/>
            <w:hideMark/>
          </w:tcPr>
          <w:p w14:paraId="541CDCFC" w14:textId="77777777" w:rsidR="00B0624C" w:rsidRPr="00D703A4" w:rsidRDefault="00B0624C" w:rsidP="000349C1">
            <w:pPr>
              <w:keepNext/>
              <w:keepLines/>
              <w:jc w:val="center"/>
              <w:rPr>
                <w:rFonts w:asciiTheme="minorHAnsi" w:hAnsiTheme="minorHAnsi" w:cs="Arial"/>
                <w:sz w:val="20"/>
                <w:lang w:eastAsia="en-AU"/>
              </w:rPr>
            </w:pPr>
            <w:r>
              <w:rPr>
                <w:rFonts w:cs="Arial"/>
                <w:sz w:val="20"/>
              </w:rPr>
              <w:t xml:space="preserve">11,400 </w:t>
            </w:r>
          </w:p>
        </w:tc>
        <w:tc>
          <w:tcPr>
            <w:tcW w:w="1297" w:type="dxa"/>
            <w:tcBorders>
              <w:top w:val="nil"/>
              <w:left w:val="nil"/>
              <w:bottom w:val="nil"/>
              <w:right w:val="nil"/>
            </w:tcBorders>
            <w:shd w:val="clear" w:color="auto" w:fill="auto"/>
            <w:noWrap/>
            <w:vAlign w:val="bottom"/>
            <w:hideMark/>
          </w:tcPr>
          <w:p w14:paraId="725694D9" w14:textId="77777777" w:rsidR="00B0624C" w:rsidRPr="00A0328A" w:rsidRDefault="00B0624C" w:rsidP="000349C1">
            <w:pPr>
              <w:keepNext/>
              <w:keepLines/>
              <w:jc w:val="center"/>
              <w:rPr>
                <w:rFonts w:asciiTheme="minorHAnsi" w:hAnsiTheme="minorHAnsi" w:cs="Arial"/>
                <w:sz w:val="20"/>
                <w:lang w:eastAsia="en-AU"/>
              </w:rPr>
            </w:pPr>
            <w:r>
              <w:rPr>
                <w:rFonts w:cs="Arial"/>
                <w:sz w:val="20"/>
              </w:rPr>
              <w:t xml:space="preserve">314 </w:t>
            </w:r>
          </w:p>
        </w:tc>
        <w:tc>
          <w:tcPr>
            <w:tcW w:w="1297" w:type="dxa"/>
            <w:tcBorders>
              <w:top w:val="nil"/>
              <w:left w:val="nil"/>
              <w:bottom w:val="nil"/>
              <w:right w:val="nil"/>
            </w:tcBorders>
            <w:shd w:val="clear" w:color="auto" w:fill="auto"/>
            <w:noWrap/>
            <w:vAlign w:val="bottom"/>
            <w:hideMark/>
          </w:tcPr>
          <w:p w14:paraId="7E9938D9" w14:textId="77777777" w:rsidR="00B0624C" w:rsidRPr="00A0328A" w:rsidRDefault="00B0624C" w:rsidP="000349C1">
            <w:pPr>
              <w:keepNext/>
              <w:keepLines/>
              <w:jc w:val="center"/>
              <w:rPr>
                <w:rFonts w:asciiTheme="minorHAnsi" w:hAnsiTheme="minorHAnsi" w:cs="Arial"/>
                <w:sz w:val="20"/>
                <w:lang w:eastAsia="en-AU"/>
              </w:rPr>
            </w:pPr>
            <w:r>
              <w:rPr>
                <w:rFonts w:cs="Arial"/>
                <w:sz w:val="20"/>
              </w:rPr>
              <w:t xml:space="preserve">120 </w:t>
            </w:r>
          </w:p>
        </w:tc>
        <w:tc>
          <w:tcPr>
            <w:tcW w:w="1297" w:type="dxa"/>
            <w:tcBorders>
              <w:top w:val="nil"/>
              <w:left w:val="nil"/>
              <w:bottom w:val="nil"/>
              <w:right w:val="nil"/>
            </w:tcBorders>
            <w:shd w:val="clear" w:color="auto" w:fill="auto"/>
            <w:noWrap/>
            <w:vAlign w:val="bottom"/>
            <w:hideMark/>
          </w:tcPr>
          <w:p w14:paraId="5726CBF3" w14:textId="77777777" w:rsidR="00B0624C" w:rsidRPr="00D703A4" w:rsidRDefault="00B0624C" w:rsidP="000349C1">
            <w:pPr>
              <w:keepNext/>
              <w:keepLines/>
              <w:jc w:val="center"/>
              <w:rPr>
                <w:rFonts w:asciiTheme="minorHAnsi" w:hAnsiTheme="minorHAnsi" w:cs="Arial"/>
                <w:b/>
                <w:sz w:val="20"/>
                <w:lang w:eastAsia="en-AU"/>
              </w:rPr>
            </w:pPr>
            <w:r>
              <w:rPr>
                <w:rFonts w:cs="Arial"/>
                <w:sz w:val="20"/>
              </w:rPr>
              <w:t xml:space="preserve">11,974 </w:t>
            </w:r>
          </w:p>
        </w:tc>
      </w:tr>
      <w:tr w:rsidR="00B0624C" w:rsidRPr="00E71339" w14:paraId="0F6F622E" w14:textId="77777777" w:rsidTr="006772A3">
        <w:trPr>
          <w:trHeight w:val="255"/>
        </w:trPr>
        <w:tc>
          <w:tcPr>
            <w:tcW w:w="1951" w:type="dxa"/>
            <w:tcBorders>
              <w:top w:val="nil"/>
              <w:left w:val="nil"/>
              <w:bottom w:val="nil"/>
              <w:right w:val="nil"/>
            </w:tcBorders>
            <w:shd w:val="clear" w:color="auto" w:fill="auto"/>
            <w:noWrap/>
            <w:vAlign w:val="bottom"/>
            <w:hideMark/>
          </w:tcPr>
          <w:p w14:paraId="548B4EBD" w14:textId="77777777" w:rsidR="00B0624C" w:rsidRPr="00A0328A" w:rsidRDefault="00B0624C" w:rsidP="006772A3">
            <w:pPr>
              <w:keepNext/>
              <w:keepLines/>
              <w:ind w:firstLineChars="200" w:firstLine="400"/>
              <w:rPr>
                <w:rFonts w:asciiTheme="minorHAnsi" w:hAnsiTheme="minorHAnsi" w:cs="Arial"/>
                <w:i/>
                <w:iCs/>
                <w:sz w:val="20"/>
                <w:lang w:eastAsia="en-AU"/>
              </w:rPr>
            </w:pPr>
            <w:proofErr w:type="spellStart"/>
            <w:r w:rsidRPr="00A0328A">
              <w:rPr>
                <w:rFonts w:asciiTheme="minorHAnsi" w:hAnsiTheme="minorHAnsi" w:cs="Arial"/>
                <w:i/>
                <w:iCs/>
                <w:sz w:val="20"/>
                <w:lang w:eastAsia="en-AU"/>
              </w:rPr>
              <w:t>GOS</w:t>
            </w:r>
            <w:proofErr w:type="spellEnd"/>
          </w:p>
        </w:tc>
        <w:tc>
          <w:tcPr>
            <w:tcW w:w="1297" w:type="dxa"/>
            <w:tcBorders>
              <w:top w:val="nil"/>
              <w:left w:val="nil"/>
              <w:bottom w:val="nil"/>
              <w:right w:val="nil"/>
            </w:tcBorders>
            <w:shd w:val="clear" w:color="auto" w:fill="auto"/>
            <w:noWrap/>
            <w:vAlign w:val="bottom"/>
            <w:hideMark/>
          </w:tcPr>
          <w:p w14:paraId="7F58906F" w14:textId="77777777" w:rsidR="00B0624C" w:rsidRPr="00A0328A" w:rsidRDefault="00B0624C" w:rsidP="000349C1">
            <w:pPr>
              <w:keepNext/>
              <w:keepLines/>
              <w:jc w:val="center"/>
              <w:rPr>
                <w:rFonts w:asciiTheme="minorHAnsi" w:hAnsiTheme="minorHAnsi" w:cs="Arial"/>
                <w:sz w:val="20"/>
                <w:lang w:eastAsia="en-AU"/>
              </w:rPr>
            </w:pPr>
            <w:r>
              <w:rPr>
                <w:rFonts w:cs="Arial"/>
                <w:sz w:val="20"/>
              </w:rPr>
              <w:t xml:space="preserve">14 </w:t>
            </w:r>
          </w:p>
        </w:tc>
        <w:tc>
          <w:tcPr>
            <w:tcW w:w="1297" w:type="dxa"/>
            <w:tcBorders>
              <w:top w:val="nil"/>
              <w:left w:val="nil"/>
              <w:bottom w:val="nil"/>
              <w:right w:val="nil"/>
            </w:tcBorders>
            <w:shd w:val="clear" w:color="auto" w:fill="auto"/>
            <w:noWrap/>
            <w:vAlign w:val="bottom"/>
            <w:hideMark/>
          </w:tcPr>
          <w:p w14:paraId="03A9E21F" w14:textId="77777777" w:rsidR="00B0624C" w:rsidRPr="00D703A4" w:rsidRDefault="00B0624C" w:rsidP="000349C1">
            <w:pPr>
              <w:keepNext/>
              <w:keepLines/>
              <w:jc w:val="center"/>
              <w:rPr>
                <w:rFonts w:asciiTheme="minorHAnsi" w:hAnsiTheme="minorHAnsi" w:cs="Arial"/>
                <w:sz w:val="20"/>
                <w:lang w:eastAsia="en-AU"/>
              </w:rPr>
            </w:pPr>
            <w:r>
              <w:rPr>
                <w:rFonts w:cs="Arial"/>
                <w:sz w:val="20"/>
              </w:rPr>
              <w:t xml:space="preserve">4,492 </w:t>
            </w:r>
          </w:p>
        </w:tc>
        <w:tc>
          <w:tcPr>
            <w:tcW w:w="1297" w:type="dxa"/>
            <w:tcBorders>
              <w:top w:val="nil"/>
              <w:left w:val="nil"/>
              <w:bottom w:val="nil"/>
              <w:right w:val="nil"/>
            </w:tcBorders>
            <w:shd w:val="clear" w:color="auto" w:fill="auto"/>
            <w:noWrap/>
            <w:vAlign w:val="bottom"/>
            <w:hideMark/>
          </w:tcPr>
          <w:p w14:paraId="2754730A" w14:textId="77777777" w:rsidR="00B0624C" w:rsidRPr="00A0328A" w:rsidRDefault="00B0624C" w:rsidP="000349C1">
            <w:pPr>
              <w:keepNext/>
              <w:keepLines/>
              <w:jc w:val="center"/>
              <w:rPr>
                <w:rFonts w:asciiTheme="minorHAnsi" w:hAnsiTheme="minorHAnsi" w:cs="Arial"/>
                <w:sz w:val="20"/>
                <w:lang w:eastAsia="en-AU"/>
              </w:rPr>
            </w:pPr>
            <w:r>
              <w:rPr>
                <w:rFonts w:cs="Arial"/>
                <w:sz w:val="20"/>
              </w:rPr>
              <w:t xml:space="preserve">31 </w:t>
            </w:r>
          </w:p>
        </w:tc>
        <w:tc>
          <w:tcPr>
            <w:tcW w:w="1297" w:type="dxa"/>
            <w:tcBorders>
              <w:top w:val="nil"/>
              <w:left w:val="nil"/>
              <w:bottom w:val="nil"/>
              <w:right w:val="nil"/>
            </w:tcBorders>
            <w:shd w:val="clear" w:color="auto" w:fill="auto"/>
            <w:noWrap/>
            <w:vAlign w:val="bottom"/>
            <w:hideMark/>
          </w:tcPr>
          <w:p w14:paraId="6DCE0DD0" w14:textId="77777777" w:rsidR="00B0624C" w:rsidRPr="00A0328A" w:rsidRDefault="00B0624C" w:rsidP="000349C1">
            <w:pPr>
              <w:keepNext/>
              <w:keepLines/>
              <w:jc w:val="center"/>
              <w:rPr>
                <w:rFonts w:asciiTheme="minorHAnsi" w:hAnsiTheme="minorHAnsi" w:cs="Arial"/>
                <w:sz w:val="20"/>
                <w:lang w:eastAsia="en-AU"/>
              </w:rPr>
            </w:pPr>
            <w:r>
              <w:rPr>
                <w:rFonts w:cs="Arial"/>
                <w:sz w:val="20"/>
              </w:rPr>
              <w:t xml:space="preserve">56 </w:t>
            </w:r>
          </w:p>
        </w:tc>
        <w:tc>
          <w:tcPr>
            <w:tcW w:w="1297" w:type="dxa"/>
            <w:tcBorders>
              <w:top w:val="nil"/>
              <w:left w:val="nil"/>
              <w:bottom w:val="nil"/>
              <w:right w:val="nil"/>
            </w:tcBorders>
            <w:shd w:val="clear" w:color="auto" w:fill="auto"/>
            <w:noWrap/>
            <w:vAlign w:val="bottom"/>
            <w:hideMark/>
          </w:tcPr>
          <w:p w14:paraId="14F4D3D5" w14:textId="77777777" w:rsidR="00B0624C" w:rsidRPr="00D703A4" w:rsidRDefault="00B0624C" w:rsidP="000349C1">
            <w:pPr>
              <w:keepNext/>
              <w:keepLines/>
              <w:jc w:val="center"/>
              <w:rPr>
                <w:rFonts w:asciiTheme="minorHAnsi" w:hAnsiTheme="minorHAnsi" w:cs="Arial"/>
                <w:sz w:val="20"/>
                <w:lang w:eastAsia="en-AU"/>
              </w:rPr>
            </w:pPr>
            <w:r>
              <w:rPr>
                <w:rFonts w:cs="Arial"/>
                <w:sz w:val="20"/>
              </w:rPr>
              <w:t xml:space="preserve">4,593 </w:t>
            </w:r>
          </w:p>
        </w:tc>
      </w:tr>
      <w:tr w:rsidR="00B0624C" w:rsidRPr="00E71339" w14:paraId="4A44D24E" w14:textId="77777777" w:rsidTr="006772A3">
        <w:trPr>
          <w:trHeight w:val="255"/>
        </w:trPr>
        <w:tc>
          <w:tcPr>
            <w:tcW w:w="1951" w:type="dxa"/>
            <w:tcBorders>
              <w:top w:val="nil"/>
              <w:left w:val="nil"/>
              <w:bottom w:val="nil"/>
              <w:right w:val="nil"/>
            </w:tcBorders>
            <w:shd w:val="clear" w:color="auto" w:fill="auto"/>
            <w:noWrap/>
            <w:vAlign w:val="bottom"/>
            <w:hideMark/>
          </w:tcPr>
          <w:p w14:paraId="3F164358" w14:textId="77777777" w:rsidR="00B0624C" w:rsidRPr="00A0328A" w:rsidRDefault="00B0624C" w:rsidP="006772A3">
            <w:pPr>
              <w:keepNext/>
              <w:keepLines/>
              <w:ind w:firstLineChars="200" w:firstLine="400"/>
              <w:rPr>
                <w:rFonts w:asciiTheme="minorHAnsi" w:hAnsiTheme="minorHAnsi" w:cs="Arial"/>
                <w:i/>
                <w:iCs/>
                <w:sz w:val="20"/>
                <w:lang w:eastAsia="en-AU"/>
              </w:rPr>
            </w:pPr>
            <w:r w:rsidRPr="00A0328A">
              <w:rPr>
                <w:rFonts w:asciiTheme="minorHAnsi" w:hAnsiTheme="minorHAnsi" w:cs="Arial"/>
                <w:i/>
                <w:iCs/>
                <w:sz w:val="20"/>
                <w:lang w:eastAsia="en-AU"/>
              </w:rPr>
              <w:t>Wages</w:t>
            </w:r>
          </w:p>
        </w:tc>
        <w:tc>
          <w:tcPr>
            <w:tcW w:w="1297" w:type="dxa"/>
            <w:tcBorders>
              <w:top w:val="nil"/>
              <w:left w:val="nil"/>
              <w:bottom w:val="nil"/>
              <w:right w:val="nil"/>
            </w:tcBorders>
            <w:shd w:val="clear" w:color="auto" w:fill="auto"/>
            <w:noWrap/>
            <w:vAlign w:val="bottom"/>
            <w:hideMark/>
          </w:tcPr>
          <w:p w14:paraId="54226F7E" w14:textId="77777777" w:rsidR="00B0624C" w:rsidRPr="00A0328A" w:rsidRDefault="00B0624C" w:rsidP="000349C1">
            <w:pPr>
              <w:keepNext/>
              <w:keepLines/>
              <w:jc w:val="center"/>
              <w:rPr>
                <w:rFonts w:asciiTheme="minorHAnsi" w:hAnsiTheme="minorHAnsi" w:cs="Arial"/>
                <w:sz w:val="20"/>
                <w:lang w:eastAsia="en-AU"/>
              </w:rPr>
            </w:pPr>
            <w:r>
              <w:rPr>
                <w:rFonts w:cs="Arial"/>
                <w:sz w:val="20"/>
              </w:rPr>
              <w:t xml:space="preserve">125 </w:t>
            </w:r>
          </w:p>
        </w:tc>
        <w:tc>
          <w:tcPr>
            <w:tcW w:w="1297" w:type="dxa"/>
            <w:tcBorders>
              <w:top w:val="nil"/>
              <w:left w:val="nil"/>
              <w:bottom w:val="nil"/>
              <w:right w:val="nil"/>
            </w:tcBorders>
            <w:shd w:val="clear" w:color="auto" w:fill="auto"/>
            <w:noWrap/>
            <w:vAlign w:val="bottom"/>
            <w:hideMark/>
          </w:tcPr>
          <w:p w14:paraId="481C1D86" w14:textId="77777777" w:rsidR="00B0624C" w:rsidRPr="00D703A4" w:rsidRDefault="00B0624C" w:rsidP="000349C1">
            <w:pPr>
              <w:keepNext/>
              <w:keepLines/>
              <w:jc w:val="center"/>
              <w:rPr>
                <w:rFonts w:asciiTheme="minorHAnsi" w:hAnsiTheme="minorHAnsi" w:cs="Arial"/>
                <w:sz w:val="20"/>
                <w:lang w:eastAsia="en-AU"/>
              </w:rPr>
            </w:pPr>
            <w:r>
              <w:rPr>
                <w:rFonts w:cs="Arial"/>
                <w:sz w:val="20"/>
              </w:rPr>
              <w:t xml:space="preserve">6,908 </w:t>
            </w:r>
          </w:p>
        </w:tc>
        <w:tc>
          <w:tcPr>
            <w:tcW w:w="1297" w:type="dxa"/>
            <w:tcBorders>
              <w:top w:val="nil"/>
              <w:left w:val="nil"/>
              <w:bottom w:val="nil"/>
              <w:right w:val="nil"/>
            </w:tcBorders>
            <w:shd w:val="clear" w:color="auto" w:fill="auto"/>
            <w:noWrap/>
            <w:vAlign w:val="bottom"/>
            <w:hideMark/>
          </w:tcPr>
          <w:p w14:paraId="79A574F8" w14:textId="77777777" w:rsidR="00B0624C" w:rsidRPr="00A0328A" w:rsidRDefault="00B0624C" w:rsidP="000349C1">
            <w:pPr>
              <w:keepNext/>
              <w:keepLines/>
              <w:jc w:val="center"/>
              <w:rPr>
                <w:rFonts w:asciiTheme="minorHAnsi" w:hAnsiTheme="minorHAnsi" w:cs="Arial"/>
                <w:sz w:val="20"/>
                <w:lang w:eastAsia="en-AU"/>
              </w:rPr>
            </w:pPr>
            <w:r>
              <w:rPr>
                <w:rFonts w:cs="Arial"/>
                <w:sz w:val="20"/>
              </w:rPr>
              <w:t xml:space="preserve">283 </w:t>
            </w:r>
          </w:p>
        </w:tc>
        <w:tc>
          <w:tcPr>
            <w:tcW w:w="1297" w:type="dxa"/>
            <w:tcBorders>
              <w:top w:val="nil"/>
              <w:left w:val="nil"/>
              <w:bottom w:val="nil"/>
              <w:right w:val="nil"/>
            </w:tcBorders>
            <w:shd w:val="clear" w:color="auto" w:fill="auto"/>
            <w:noWrap/>
            <w:vAlign w:val="bottom"/>
            <w:hideMark/>
          </w:tcPr>
          <w:p w14:paraId="5B853F62" w14:textId="77777777" w:rsidR="00B0624C" w:rsidRPr="00A0328A" w:rsidRDefault="00B0624C" w:rsidP="000349C1">
            <w:pPr>
              <w:keepNext/>
              <w:keepLines/>
              <w:jc w:val="center"/>
              <w:rPr>
                <w:rFonts w:asciiTheme="minorHAnsi" w:hAnsiTheme="minorHAnsi" w:cs="Arial"/>
                <w:sz w:val="20"/>
                <w:lang w:eastAsia="en-AU"/>
              </w:rPr>
            </w:pPr>
            <w:r>
              <w:rPr>
                <w:rFonts w:cs="Arial"/>
                <w:sz w:val="20"/>
              </w:rPr>
              <w:t xml:space="preserve">64 </w:t>
            </w:r>
          </w:p>
        </w:tc>
        <w:tc>
          <w:tcPr>
            <w:tcW w:w="1297" w:type="dxa"/>
            <w:tcBorders>
              <w:top w:val="nil"/>
              <w:left w:val="nil"/>
              <w:bottom w:val="nil"/>
              <w:right w:val="nil"/>
            </w:tcBorders>
            <w:shd w:val="clear" w:color="auto" w:fill="auto"/>
            <w:noWrap/>
            <w:vAlign w:val="bottom"/>
            <w:hideMark/>
          </w:tcPr>
          <w:p w14:paraId="21DD8505" w14:textId="77777777" w:rsidR="00B0624C" w:rsidRPr="00D703A4" w:rsidRDefault="00B0624C" w:rsidP="000349C1">
            <w:pPr>
              <w:keepNext/>
              <w:keepLines/>
              <w:jc w:val="center"/>
              <w:rPr>
                <w:rFonts w:asciiTheme="minorHAnsi" w:hAnsiTheme="minorHAnsi" w:cs="Arial"/>
                <w:sz w:val="20"/>
                <w:lang w:eastAsia="en-AU"/>
              </w:rPr>
            </w:pPr>
            <w:r>
              <w:rPr>
                <w:rFonts w:cs="Arial"/>
                <w:sz w:val="20"/>
              </w:rPr>
              <w:t xml:space="preserve">7,381 </w:t>
            </w:r>
          </w:p>
        </w:tc>
      </w:tr>
      <w:tr w:rsidR="00B0624C" w:rsidRPr="00E71339" w14:paraId="271D9D20" w14:textId="77777777" w:rsidTr="006772A3">
        <w:trPr>
          <w:trHeight w:val="255"/>
        </w:trPr>
        <w:tc>
          <w:tcPr>
            <w:tcW w:w="1951" w:type="dxa"/>
            <w:tcBorders>
              <w:top w:val="nil"/>
              <w:left w:val="nil"/>
              <w:bottom w:val="nil"/>
              <w:right w:val="nil"/>
            </w:tcBorders>
            <w:shd w:val="clear" w:color="auto" w:fill="auto"/>
            <w:noWrap/>
            <w:vAlign w:val="bottom"/>
            <w:hideMark/>
          </w:tcPr>
          <w:p w14:paraId="4D44CABC" w14:textId="77777777" w:rsidR="00B0624C" w:rsidRPr="00A0328A" w:rsidRDefault="00B0624C" w:rsidP="006772A3">
            <w:pPr>
              <w:keepNext/>
              <w:keepLines/>
              <w:rPr>
                <w:rFonts w:asciiTheme="minorHAnsi" w:hAnsiTheme="minorHAnsi" w:cs="Arial"/>
                <w:sz w:val="20"/>
                <w:lang w:eastAsia="en-AU"/>
              </w:rPr>
            </w:pPr>
            <w:r w:rsidRPr="00A0328A">
              <w:rPr>
                <w:rFonts w:asciiTheme="minorHAnsi" w:hAnsiTheme="minorHAnsi" w:cs="Arial"/>
                <w:sz w:val="20"/>
                <w:lang w:eastAsia="en-AU"/>
              </w:rPr>
              <w:t>Employment (FTE)</w:t>
            </w:r>
          </w:p>
        </w:tc>
        <w:tc>
          <w:tcPr>
            <w:tcW w:w="1297" w:type="dxa"/>
            <w:tcBorders>
              <w:top w:val="nil"/>
              <w:left w:val="nil"/>
              <w:bottom w:val="nil"/>
              <w:right w:val="nil"/>
            </w:tcBorders>
            <w:shd w:val="clear" w:color="auto" w:fill="auto"/>
            <w:noWrap/>
            <w:vAlign w:val="bottom"/>
            <w:hideMark/>
          </w:tcPr>
          <w:p w14:paraId="63226450" w14:textId="77777777" w:rsidR="00B0624C" w:rsidRPr="00A0328A" w:rsidRDefault="00B0624C" w:rsidP="000349C1">
            <w:pPr>
              <w:keepNext/>
              <w:keepLines/>
              <w:jc w:val="center"/>
              <w:rPr>
                <w:rFonts w:asciiTheme="minorHAnsi" w:hAnsiTheme="minorHAnsi" w:cs="Arial"/>
                <w:sz w:val="20"/>
                <w:lang w:eastAsia="en-AU"/>
              </w:rPr>
            </w:pPr>
            <w:r>
              <w:rPr>
                <w:rFonts w:cs="Arial"/>
                <w:sz w:val="20"/>
              </w:rPr>
              <w:t xml:space="preserve">1,120 </w:t>
            </w:r>
          </w:p>
        </w:tc>
        <w:tc>
          <w:tcPr>
            <w:tcW w:w="1297" w:type="dxa"/>
            <w:tcBorders>
              <w:top w:val="nil"/>
              <w:left w:val="nil"/>
              <w:bottom w:val="nil"/>
              <w:right w:val="nil"/>
            </w:tcBorders>
            <w:shd w:val="clear" w:color="auto" w:fill="auto"/>
            <w:noWrap/>
            <w:vAlign w:val="bottom"/>
            <w:hideMark/>
          </w:tcPr>
          <w:p w14:paraId="396F3EFC" w14:textId="77777777" w:rsidR="00B0624C" w:rsidRPr="00D703A4" w:rsidRDefault="00B0624C" w:rsidP="000349C1">
            <w:pPr>
              <w:keepNext/>
              <w:keepLines/>
              <w:jc w:val="center"/>
              <w:rPr>
                <w:rFonts w:asciiTheme="minorHAnsi" w:hAnsiTheme="minorHAnsi" w:cs="Arial"/>
                <w:sz w:val="20"/>
                <w:lang w:eastAsia="en-AU"/>
              </w:rPr>
            </w:pPr>
            <w:r>
              <w:rPr>
                <w:rFonts w:cs="Arial"/>
                <w:sz w:val="20"/>
              </w:rPr>
              <w:t xml:space="preserve">87,110 </w:t>
            </w:r>
          </w:p>
        </w:tc>
        <w:tc>
          <w:tcPr>
            <w:tcW w:w="1297" w:type="dxa"/>
            <w:tcBorders>
              <w:top w:val="nil"/>
              <w:left w:val="nil"/>
              <w:bottom w:val="nil"/>
              <w:right w:val="nil"/>
            </w:tcBorders>
            <w:shd w:val="clear" w:color="auto" w:fill="auto"/>
            <w:noWrap/>
            <w:vAlign w:val="bottom"/>
            <w:hideMark/>
          </w:tcPr>
          <w:p w14:paraId="7BD00EED" w14:textId="77777777" w:rsidR="00B0624C" w:rsidRPr="00A0328A" w:rsidRDefault="00B0624C" w:rsidP="000349C1">
            <w:pPr>
              <w:keepNext/>
              <w:keepLines/>
              <w:jc w:val="center"/>
              <w:rPr>
                <w:rFonts w:asciiTheme="minorHAnsi" w:hAnsiTheme="minorHAnsi" w:cs="Arial"/>
                <w:sz w:val="20"/>
                <w:lang w:eastAsia="en-AU"/>
              </w:rPr>
            </w:pPr>
            <w:r>
              <w:rPr>
                <w:rFonts w:cs="Arial"/>
                <w:sz w:val="20"/>
              </w:rPr>
              <w:t xml:space="preserve">2,531 </w:t>
            </w:r>
          </w:p>
        </w:tc>
        <w:tc>
          <w:tcPr>
            <w:tcW w:w="1297" w:type="dxa"/>
            <w:tcBorders>
              <w:top w:val="nil"/>
              <w:left w:val="nil"/>
              <w:bottom w:val="nil"/>
              <w:right w:val="nil"/>
            </w:tcBorders>
            <w:shd w:val="clear" w:color="auto" w:fill="auto"/>
            <w:noWrap/>
            <w:vAlign w:val="bottom"/>
            <w:hideMark/>
          </w:tcPr>
          <w:p w14:paraId="77D9A1F1" w14:textId="77777777" w:rsidR="00B0624C" w:rsidRPr="00A0328A" w:rsidRDefault="00B0624C" w:rsidP="000349C1">
            <w:pPr>
              <w:keepNext/>
              <w:keepLines/>
              <w:jc w:val="center"/>
              <w:rPr>
                <w:rFonts w:asciiTheme="minorHAnsi" w:hAnsiTheme="minorHAnsi" w:cs="Arial"/>
                <w:sz w:val="20"/>
                <w:lang w:eastAsia="en-AU"/>
              </w:rPr>
            </w:pPr>
            <w:r>
              <w:rPr>
                <w:rFonts w:cs="Arial"/>
                <w:sz w:val="20"/>
              </w:rPr>
              <w:t xml:space="preserve">1,978 </w:t>
            </w:r>
          </w:p>
        </w:tc>
        <w:tc>
          <w:tcPr>
            <w:tcW w:w="1297" w:type="dxa"/>
            <w:tcBorders>
              <w:top w:val="nil"/>
              <w:left w:val="nil"/>
              <w:bottom w:val="nil"/>
              <w:right w:val="nil"/>
            </w:tcBorders>
            <w:shd w:val="clear" w:color="auto" w:fill="auto"/>
            <w:noWrap/>
            <w:vAlign w:val="bottom"/>
            <w:hideMark/>
          </w:tcPr>
          <w:p w14:paraId="73268087" w14:textId="77777777" w:rsidR="00B0624C" w:rsidRPr="00D703A4" w:rsidRDefault="00B0624C" w:rsidP="000349C1">
            <w:pPr>
              <w:keepNext/>
              <w:keepLines/>
              <w:jc w:val="center"/>
              <w:rPr>
                <w:rFonts w:asciiTheme="minorHAnsi" w:hAnsiTheme="minorHAnsi" w:cs="Arial"/>
                <w:b/>
                <w:sz w:val="20"/>
                <w:lang w:eastAsia="en-AU"/>
              </w:rPr>
            </w:pPr>
            <w:r>
              <w:rPr>
                <w:rFonts w:cs="Arial"/>
                <w:sz w:val="20"/>
              </w:rPr>
              <w:t xml:space="preserve">92,739 </w:t>
            </w:r>
          </w:p>
        </w:tc>
      </w:tr>
      <w:tr w:rsidR="00B0624C" w:rsidRPr="00E71339" w14:paraId="43DBAC2A" w14:textId="77777777" w:rsidTr="006772A3">
        <w:trPr>
          <w:trHeight w:val="255"/>
        </w:trPr>
        <w:tc>
          <w:tcPr>
            <w:tcW w:w="8436" w:type="dxa"/>
            <w:gridSpan w:val="6"/>
            <w:tcBorders>
              <w:top w:val="single" w:sz="4" w:space="0" w:color="002776"/>
              <w:left w:val="nil"/>
              <w:bottom w:val="nil"/>
              <w:right w:val="nil"/>
            </w:tcBorders>
            <w:shd w:val="clear" w:color="000000" w:fill="B0CAFF"/>
            <w:noWrap/>
            <w:vAlign w:val="bottom"/>
            <w:hideMark/>
          </w:tcPr>
          <w:p w14:paraId="3621A5A0" w14:textId="77777777" w:rsidR="00B0624C" w:rsidRPr="00D703A4" w:rsidRDefault="00B0624C" w:rsidP="000349C1">
            <w:pPr>
              <w:keepNext/>
              <w:keepLines/>
              <w:rPr>
                <w:rFonts w:asciiTheme="minorHAnsi" w:hAnsiTheme="minorHAnsi" w:cs="Arial"/>
                <w:i/>
                <w:iCs/>
                <w:sz w:val="20"/>
                <w:lang w:eastAsia="en-AU"/>
              </w:rPr>
            </w:pPr>
            <w:r w:rsidRPr="00A0328A">
              <w:rPr>
                <w:rFonts w:asciiTheme="minorHAnsi" w:hAnsiTheme="minorHAnsi" w:cs="Arial"/>
                <w:i/>
                <w:iCs/>
                <w:sz w:val="20"/>
                <w:lang w:eastAsia="en-AU"/>
              </w:rPr>
              <w:t>Indirect contribution</w:t>
            </w:r>
          </w:p>
        </w:tc>
      </w:tr>
      <w:tr w:rsidR="00B0624C" w:rsidRPr="00E71339" w14:paraId="3D6D716B" w14:textId="77777777" w:rsidTr="005678FF">
        <w:trPr>
          <w:trHeight w:val="255"/>
        </w:trPr>
        <w:tc>
          <w:tcPr>
            <w:tcW w:w="1951" w:type="dxa"/>
            <w:tcBorders>
              <w:top w:val="nil"/>
              <w:left w:val="nil"/>
              <w:bottom w:val="nil"/>
              <w:right w:val="nil"/>
            </w:tcBorders>
            <w:shd w:val="clear" w:color="auto" w:fill="auto"/>
            <w:noWrap/>
            <w:vAlign w:val="bottom"/>
            <w:hideMark/>
          </w:tcPr>
          <w:p w14:paraId="5D689435" w14:textId="77777777" w:rsidR="00B0624C" w:rsidRPr="00A0328A" w:rsidRDefault="00B0624C" w:rsidP="006772A3">
            <w:pPr>
              <w:keepNext/>
              <w:keepLines/>
              <w:rPr>
                <w:rFonts w:asciiTheme="minorHAnsi" w:hAnsiTheme="minorHAnsi" w:cs="Arial"/>
                <w:sz w:val="20"/>
                <w:lang w:eastAsia="en-AU"/>
              </w:rPr>
            </w:pPr>
            <w:r w:rsidRPr="00A0328A">
              <w:rPr>
                <w:rFonts w:asciiTheme="minorHAnsi" w:hAnsiTheme="minorHAnsi" w:cs="Arial"/>
                <w:sz w:val="20"/>
                <w:lang w:eastAsia="en-AU"/>
              </w:rPr>
              <w:t>Valued added ($m)</w:t>
            </w:r>
          </w:p>
        </w:tc>
        <w:tc>
          <w:tcPr>
            <w:tcW w:w="1297" w:type="dxa"/>
            <w:tcBorders>
              <w:top w:val="nil"/>
              <w:left w:val="nil"/>
              <w:bottom w:val="nil"/>
              <w:right w:val="nil"/>
            </w:tcBorders>
            <w:shd w:val="clear" w:color="auto" w:fill="auto"/>
            <w:noWrap/>
            <w:hideMark/>
          </w:tcPr>
          <w:p w14:paraId="100AA400"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35 </w:t>
            </w:r>
          </w:p>
        </w:tc>
        <w:tc>
          <w:tcPr>
            <w:tcW w:w="1297" w:type="dxa"/>
            <w:tcBorders>
              <w:top w:val="nil"/>
              <w:left w:val="nil"/>
              <w:bottom w:val="nil"/>
              <w:right w:val="nil"/>
            </w:tcBorders>
            <w:shd w:val="clear" w:color="auto" w:fill="auto"/>
            <w:noWrap/>
            <w:hideMark/>
          </w:tcPr>
          <w:p w14:paraId="03425950" w14:textId="77777777" w:rsidR="00B0624C" w:rsidRPr="00D703A4" w:rsidRDefault="00B0624C" w:rsidP="000349C1">
            <w:pPr>
              <w:keepNext/>
              <w:keepLines/>
              <w:jc w:val="center"/>
              <w:rPr>
                <w:rFonts w:asciiTheme="minorHAnsi" w:hAnsiTheme="minorHAnsi" w:cs="Arial"/>
                <w:sz w:val="20"/>
                <w:lang w:eastAsia="en-AU"/>
              </w:rPr>
            </w:pPr>
            <w:r w:rsidRPr="007C15A9">
              <w:rPr>
                <w:sz w:val="20"/>
              </w:rPr>
              <w:t xml:space="preserve"> 4,733 </w:t>
            </w:r>
          </w:p>
        </w:tc>
        <w:tc>
          <w:tcPr>
            <w:tcW w:w="1297" w:type="dxa"/>
            <w:tcBorders>
              <w:top w:val="nil"/>
              <w:left w:val="nil"/>
              <w:bottom w:val="nil"/>
              <w:right w:val="nil"/>
            </w:tcBorders>
            <w:shd w:val="clear" w:color="auto" w:fill="auto"/>
            <w:noWrap/>
            <w:hideMark/>
          </w:tcPr>
          <w:p w14:paraId="23690637"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79 </w:t>
            </w:r>
          </w:p>
        </w:tc>
        <w:tc>
          <w:tcPr>
            <w:tcW w:w="1297" w:type="dxa"/>
            <w:tcBorders>
              <w:top w:val="nil"/>
              <w:left w:val="nil"/>
              <w:bottom w:val="nil"/>
              <w:right w:val="nil"/>
            </w:tcBorders>
            <w:shd w:val="clear" w:color="auto" w:fill="auto"/>
            <w:noWrap/>
            <w:hideMark/>
          </w:tcPr>
          <w:p w14:paraId="0F202FA5"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62 </w:t>
            </w:r>
          </w:p>
        </w:tc>
        <w:tc>
          <w:tcPr>
            <w:tcW w:w="1297" w:type="dxa"/>
            <w:tcBorders>
              <w:top w:val="nil"/>
              <w:left w:val="nil"/>
              <w:bottom w:val="nil"/>
              <w:right w:val="nil"/>
            </w:tcBorders>
            <w:shd w:val="clear" w:color="auto" w:fill="auto"/>
            <w:noWrap/>
            <w:hideMark/>
          </w:tcPr>
          <w:p w14:paraId="60D0983E" w14:textId="77777777" w:rsidR="00B0624C" w:rsidRPr="00D703A4" w:rsidRDefault="00B0624C" w:rsidP="000349C1">
            <w:pPr>
              <w:keepNext/>
              <w:keepLines/>
              <w:jc w:val="center"/>
              <w:rPr>
                <w:rFonts w:asciiTheme="minorHAnsi" w:hAnsiTheme="minorHAnsi" w:cs="Arial"/>
                <w:b/>
                <w:sz w:val="20"/>
                <w:lang w:eastAsia="en-AU"/>
              </w:rPr>
            </w:pPr>
            <w:r w:rsidRPr="007C15A9">
              <w:rPr>
                <w:sz w:val="20"/>
              </w:rPr>
              <w:t xml:space="preserve"> 4,908 </w:t>
            </w:r>
          </w:p>
        </w:tc>
      </w:tr>
      <w:tr w:rsidR="00B0624C" w:rsidRPr="00E71339" w14:paraId="1B21234D" w14:textId="77777777" w:rsidTr="005678FF">
        <w:trPr>
          <w:trHeight w:val="255"/>
        </w:trPr>
        <w:tc>
          <w:tcPr>
            <w:tcW w:w="1951" w:type="dxa"/>
            <w:tcBorders>
              <w:top w:val="nil"/>
              <w:left w:val="nil"/>
              <w:bottom w:val="nil"/>
              <w:right w:val="nil"/>
            </w:tcBorders>
            <w:shd w:val="clear" w:color="auto" w:fill="auto"/>
            <w:noWrap/>
            <w:vAlign w:val="bottom"/>
            <w:hideMark/>
          </w:tcPr>
          <w:p w14:paraId="2AA4E91E" w14:textId="77777777" w:rsidR="00B0624C" w:rsidRPr="00A0328A" w:rsidRDefault="00B0624C" w:rsidP="006772A3">
            <w:pPr>
              <w:keepNext/>
              <w:keepLines/>
              <w:ind w:firstLineChars="200" w:firstLine="400"/>
              <w:rPr>
                <w:rFonts w:asciiTheme="minorHAnsi" w:hAnsiTheme="minorHAnsi" w:cs="Arial"/>
                <w:i/>
                <w:iCs/>
                <w:sz w:val="20"/>
                <w:lang w:eastAsia="en-AU"/>
              </w:rPr>
            </w:pPr>
            <w:proofErr w:type="spellStart"/>
            <w:r w:rsidRPr="00A0328A">
              <w:rPr>
                <w:rFonts w:asciiTheme="minorHAnsi" w:hAnsiTheme="minorHAnsi" w:cs="Arial"/>
                <w:i/>
                <w:iCs/>
                <w:sz w:val="20"/>
                <w:lang w:eastAsia="en-AU"/>
              </w:rPr>
              <w:t>GOS</w:t>
            </w:r>
            <w:proofErr w:type="spellEnd"/>
          </w:p>
        </w:tc>
        <w:tc>
          <w:tcPr>
            <w:tcW w:w="1297" w:type="dxa"/>
            <w:tcBorders>
              <w:top w:val="nil"/>
              <w:left w:val="nil"/>
              <w:bottom w:val="nil"/>
              <w:right w:val="nil"/>
            </w:tcBorders>
            <w:shd w:val="clear" w:color="auto" w:fill="auto"/>
            <w:noWrap/>
            <w:hideMark/>
          </w:tcPr>
          <w:p w14:paraId="138FF62C"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15 </w:t>
            </w:r>
          </w:p>
        </w:tc>
        <w:tc>
          <w:tcPr>
            <w:tcW w:w="1297" w:type="dxa"/>
            <w:tcBorders>
              <w:top w:val="nil"/>
              <w:left w:val="nil"/>
              <w:bottom w:val="nil"/>
              <w:right w:val="nil"/>
            </w:tcBorders>
            <w:shd w:val="clear" w:color="auto" w:fill="auto"/>
            <w:noWrap/>
            <w:hideMark/>
          </w:tcPr>
          <w:p w14:paraId="14E3BA66" w14:textId="77777777" w:rsidR="00B0624C" w:rsidRPr="00D703A4" w:rsidRDefault="00B0624C" w:rsidP="000349C1">
            <w:pPr>
              <w:keepNext/>
              <w:keepLines/>
              <w:jc w:val="center"/>
              <w:rPr>
                <w:rFonts w:asciiTheme="minorHAnsi" w:hAnsiTheme="minorHAnsi" w:cs="Arial"/>
                <w:sz w:val="20"/>
                <w:lang w:eastAsia="en-AU"/>
              </w:rPr>
            </w:pPr>
            <w:r w:rsidRPr="007C15A9">
              <w:rPr>
                <w:sz w:val="20"/>
              </w:rPr>
              <w:t xml:space="preserve"> 2,201 </w:t>
            </w:r>
          </w:p>
        </w:tc>
        <w:tc>
          <w:tcPr>
            <w:tcW w:w="1297" w:type="dxa"/>
            <w:tcBorders>
              <w:top w:val="nil"/>
              <w:left w:val="nil"/>
              <w:bottom w:val="nil"/>
              <w:right w:val="nil"/>
            </w:tcBorders>
            <w:shd w:val="clear" w:color="auto" w:fill="auto"/>
            <w:noWrap/>
            <w:hideMark/>
          </w:tcPr>
          <w:p w14:paraId="7F72884F"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35 </w:t>
            </w:r>
          </w:p>
        </w:tc>
        <w:tc>
          <w:tcPr>
            <w:tcW w:w="1297" w:type="dxa"/>
            <w:tcBorders>
              <w:top w:val="nil"/>
              <w:left w:val="nil"/>
              <w:bottom w:val="nil"/>
              <w:right w:val="nil"/>
            </w:tcBorders>
            <w:shd w:val="clear" w:color="auto" w:fill="auto"/>
            <w:noWrap/>
            <w:hideMark/>
          </w:tcPr>
          <w:p w14:paraId="67E433CF"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30 </w:t>
            </w:r>
          </w:p>
        </w:tc>
        <w:tc>
          <w:tcPr>
            <w:tcW w:w="1297" w:type="dxa"/>
            <w:tcBorders>
              <w:top w:val="nil"/>
              <w:left w:val="nil"/>
              <w:bottom w:val="nil"/>
              <w:right w:val="nil"/>
            </w:tcBorders>
            <w:shd w:val="clear" w:color="auto" w:fill="auto"/>
            <w:noWrap/>
            <w:hideMark/>
          </w:tcPr>
          <w:p w14:paraId="38A488CE" w14:textId="77777777" w:rsidR="00B0624C" w:rsidRPr="00D703A4" w:rsidRDefault="00B0624C" w:rsidP="000349C1">
            <w:pPr>
              <w:keepNext/>
              <w:keepLines/>
              <w:jc w:val="center"/>
              <w:rPr>
                <w:rFonts w:asciiTheme="minorHAnsi" w:hAnsiTheme="minorHAnsi" w:cs="Arial"/>
                <w:sz w:val="20"/>
                <w:lang w:eastAsia="en-AU"/>
              </w:rPr>
            </w:pPr>
            <w:r w:rsidRPr="007C15A9">
              <w:rPr>
                <w:sz w:val="20"/>
              </w:rPr>
              <w:t xml:space="preserve"> 2,281 </w:t>
            </w:r>
          </w:p>
        </w:tc>
      </w:tr>
      <w:tr w:rsidR="00B0624C" w:rsidRPr="00E71339" w14:paraId="1EAE331C" w14:textId="77777777" w:rsidTr="005678FF">
        <w:trPr>
          <w:trHeight w:val="255"/>
        </w:trPr>
        <w:tc>
          <w:tcPr>
            <w:tcW w:w="1951" w:type="dxa"/>
            <w:tcBorders>
              <w:top w:val="nil"/>
              <w:left w:val="nil"/>
              <w:bottom w:val="nil"/>
              <w:right w:val="nil"/>
            </w:tcBorders>
            <w:shd w:val="clear" w:color="auto" w:fill="auto"/>
            <w:noWrap/>
            <w:vAlign w:val="bottom"/>
            <w:hideMark/>
          </w:tcPr>
          <w:p w14:paraId="6153F9FE" w14:textId="77777777" w:rsidR="00B0624C" w:rsidRPr="00A0328A" w:rsidRDefault="00B0624C" w:rsidP="006772A3">
            <w:pPr>
              <w:keepNext/>
              <w:keepLines/>
              <w:ind w:firstLineChars="200" w:firstLine="400"/>
              <w:rPr>
                <w:rFonts w:asciiTheme="minorHAnsi" w:hAnsiTheme="minorHAnsi" w:cs="Arial"/>
                <w:i/>
                <w:iCs/>
                <w:sz w:val="20"/>
                <w:lang w:eastAsia="en-AU"/>
              </w:rPr>
            </w:pPr>
            <w:r w:rsidRPr="00A0328A">
              <w:rPr>
                <w:rFonts w:asciiTheme="minorHAnsi" w:hAnsiTheme="minorHAnsi" w:cs="Arial"/>
                <w:i/>
                <w:iCs/>
                <w:sz w:val="20"/>
                <w:lang w:eastAsia="en-AU"/>
              </w:rPr>
              <w:t>Wages</w:t>
            </w:r>
          </w:p>
        </w:tc>
        <w:tc>
          <w:tcPr>
            <w:tcW w:w="1297" w:type="dxa"/>
            <w:tcBorders>
              <w:top w:val="nil"/>
              <w:left w:val="nil"/>
              <w:bottom w:val="nil"/>
              <w:right w:val="nil"/>
            </w:tcBorders>
            <w:shd w:val="clear" w:color="auto" w:fill="auto"/>
            <w:noWrap/>
            <w:hideMark/>
          </w:tcPr>
          <w:p w14:paraId="6DAA67E0"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20 </w:t>
            </w:r>
          </w:p>
        </w:tc>
        <w:tc>
          <w:tcPr>
            <w:tcW w:w="1297" w:type="dxa"/>
            <w:tcBorders>
              <w:top w:val="nil"/>
              <w:left w:val="nil"/>
              <w:bottom w:val="nil"/>
              <w:right w:val="nil"/>
            </w:tcBorders>
            <w:shd w:val="clear" w:color="auto" w:fill="auto"/>
            <w:noWrap/>
            <w:hideMark/>
          </w:tcPr>
          <w:p w14:paraId="3D5FFE14" w14:textId="77777777" w:rsidR="00B0624C" w:rsidRPr="00D703A4" w:rsidRDefault="00B0624C" w:rsidP="000349C1">
            <w:pPr>
              <w:keepNext/>
              <w:keepLines/>
              <w:jc w:val="center"/>
              <w:rPr>
                <w:rFonts w:asciiTheme="minorHAnsi" w:hAnsiTheme="minorHAnsi" w:cs="Arial"/>
                <w:sz w:val="20"/>
                <w:lang w:eastAsia="en-AU"/>
              </w:rPr>
            </w:pPr>
            <w:r w:rsidRPr="007C15A9">
              <w:rPr>
                <w:sz w:val="20"/>
              </w:rPr>
              <w:t xml:space="preserve"> 2,531 </w:t>
            </w:r>
          </w:p>
        </w:tc>
        <w:tc>
          <w:tcPr>
            <w:tcW w:w="1297" w:type="dxa"/>
            <w:tcBorders>
              <w:top w:val="nil"/>
              <w:left w:val="nil"/>
              <w:bottom w:val="nil"/>
              <w:right w:val="nil"/>
            </w:tcBorders>
            <w:shd w:val="clear" w:color="auto" w:fill="auto"/>
            <w:noWrap/>
            <w:hideMark/>
          </w:tcPr>
          <w:p w14:paraId="26A308EE"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44 </w:t>
            </w:r>
          </w:p>
        </w:tc>
        <w:tc>
          <w:tcPr>
            <w:tcW w:w="1297" w:type="dxa"/>
            <w:tcBorders>
              <w:top w:val="nil"/>
              <w:left w:val="nil"/>
              <w:bottom w:val="nil"/>
              <w:right w:val="nil"/>
            </w:tcBorders>
            <w:shd w:val="clear" w:color="auto" w:fill="auto"/>
            <w:noWrap/>
            <w:hideMark/>
          </w:tcPr>
          <w:p w14:paraId="579A46C3"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32 </w:t>
            </w:r>
          </w:p>
        </w:tc>
        <w:tc>
          <w:tcPr>
            <w:tcW w:w="1297" w:type="dxa"/>
            <w:tcBorders>
              <w:top w:val="nil"/>
              <w:left w:val="nil"/>
              <w:bottom w:val="nil"/>
              <w:right w:val="nil"/>
            </w:tcBorders>
            <w:shd w:val="clear" w:color="auto" w:fill="auto"/>
            <w:noWrap/>
            <w:hideMark/>
          </w:tcPr>
          <w:p w14:paraId="54997870" w14:textId="77777777" w:rsidR="00B0624C" w:rsidRPr="00D703A4" w:rsidRDefault="00B0624C" w:rsidP="000349C1">
            <w:pPr>
              <w:keepNext/>
              <w:keepLines/>
              <w:jc w:val="center"/>
              <w:rPr>
                <w:rFonts w:asciiTheme="minorHAnsi" w:hAnsiTheme="minorHAnsi" w:cs="Arial"/>
                <w:sz w:val="20"/>
                <w:lang w:eastAsia="en-AU"/>
              </w:rPr>
            </w:pPr>
            <w:r w:rsidRPr="007C15A9">
              <w:rPr>
                <w:sz w:val="20"/>
              </w:rPr>
              <w:t xml:space="preserve"> 2,628 </w:t>
            </w:r>
          </w:p>
        </w:tc>
      </w:tr>
      <w:tr w:rsidR="00B0624C" w:rsidRPr="00E71339" w14:paraId="7DBDA3F6" w14:textId="77777777" w:rsidTr="005678FF">
        <w:trPr>
          <w:trHeight w:val="255"/>
        </w:trPr>
        <w:tc>
          <w:tcPr>
            <w:tcW w:w="1951" w:type="dxa"/>
            <w:tcBorders>
              <w:top w:val="nil"/>
              <w:left w:val="nil"/>
              <w:bottom w:val="nil"/>
              <w:right w:val="nil"/>
            </w:tcBorders>
            <w:shd w:val="clear" w:color="auto" w:fill="auto"/>
            <w:noWrap/>
            <w:vAlign w:val="bottom"/>
            <w:hideMark/>
          </w:tcPr>
          <w:p w14:paraId="1BEB8B85" w14:textId="77777777" w:rsidR="00B0624C" w:rsidRPr="00A0328A" w:rsidRDefault="00B0624C" w:rsidP="006772A3">
            <w:pPr>
              <w:keepNext/>
              <w:keepLines/>
              <w:rPr>
                <w:rFonts w:asciiTheme="minorHAnsi" w:hAnsiTheme="minorHAnsi" w:cs="Arial"/>
                <w:sz w:val="20"/>
                <w:lang w:eastAsia="en-AU"/>
              </w:rPr>
            </w:pPr>
            <w:r w:rsidRPr="00A0328A">
              <w:rPr>
                <w:rFonts w:asciiTheme="minorHAnsi" w:hAnsiTheme="minorHAnsi" w:cs="Arial"/>
                <w:sz w:val="20"/>
                <w:lang w:eastAsia="en-AU"/>
              </w:rPr>
              <w:t>Employment (FTE)</w:t>
            </w:r>
          </w:p>
        </w:tc>
        <w:tc>
          <w:tcPr>
            <w:tcW w:w="1297" w:type="dxa"/>
            <w:tcBorders>
              <w:top w:val="nil"/>
              <w:left w:val="nil"/>
              <w:bottom w:val="nil"/>
              <w:right w:val="nil"/>
            </w:tcBorders>
            <w:shd w:val="clear" w:color="auto" w:fill="auto"/>
            <w:noWrap/>
            <w:hideMark/>
          </w:tcPr>
          <w:p w14:paraId="365438B2"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260 </w:t>
            </w:r>
          </w:p>
        </w:tc>
        <w:tc>
          <w:tcPr>
            <w:tcW w:w="1297" w:type="dxa"/>
            <w:tcBorders>
              <w:top w:val="nil"/>
              <w:left w:val="nil"/>
              <w:bottom w:val="nil"/>
              <w:right w:val="nil"/>
            </w:tcBorders>
            <w:shd w:val="clear" w:color="auto" w:fill="auto"/>
            <w:noWrap/>
            <w:hideMark/>
          </w:tcPr>
          <w:p w14:paraId="580FD429" w14:textId="77777777" w:rsidR="00B0624C" w:rsidRPr="00D703A4" w:rsidRDefault="00B0624C" w:rsidP="000349C1">
            <w:pPr>
              <w:keepNext/>
              <w:keepLines/>
              <w:jc w:val="center"/>
              <w:rPr>
                <w:rFonts w:asciiTheme="minorHAnsi" w:hAnsiTheme="minorHAnsi" w:cs="Arial"/>
                <w:sz w:val="20"/>
                <w:lang w:eastAsia="en-AU"/>
              </w:rPr>
            </w:pPr>
            <w:r w:rsidRPr="007C15A9">
              <w:rPr>
                <w:sz w:val="20"/>
              </w:rPr>
              <w:t xml:space="preserve"> 34,367 </w:t>
            </w:r>
          </w:p>
        </w:tc>
        <w:tc>
          <w:tcPr>
            <w:tcW w:w="1297" w:type="dxa"/>
            <w:tcBorders>
              <w:top w:val="nil"/>
              <w:left w:val="nil"/>
              <w:bottom w:val="nil"/>
              <w:right w:val="nil"/>
            </w:tcBorders>
            <w:shd w:val="clear" w:color="auto" w:fill="auto"/>
            <w:noWrap/>
            <w:hideMark/>
          </w:tcPr>
          <w:p w14:paraId="724B1E61"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588 </w:t>
            </w:r>
          </w:p>
        </w:tc>
        <w:tc>
          <w:tcPr>
            <w:tcW w:w="1297" w:type="dxa"/>
            <w:tcBorders>
              <w:top w:val="nil"/>
              <w:left w:val="nil"/>
              <w:bottom w:val="nil"/>
              <w:right w:val="nil"/>
            </w:tcBorders>
            <w:shd w:val="clear" w:color="auto" w:fill="auto"/>
            <w:noWrap/>
            <w:hideMark/>
          </w:tcPr>
          <w:p w14:paraId="46D9683F"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431 </w:t>
            </w:r>
          </w:p>
        </w:tc>
        <w:tc>
          <w:tcPr>
            <w:tcW w:w="1297" w:type="dxa"/>
            <w:tcBorders>
              <w:top w:val="nil"/>
              <w:left w:val="nil"/>
              <w:bottom w:val="nil"/>
              <w:right w:val="nil"/>
            </w:tcBorders>
            <w:shd w:val="clear" w:color="auto" w:fill="auto"/>
            <w:noWrap/>
            <w:hideMark/>
          </w:tcPr>
          <w:p w14:paraId="1D812037" w14:textId="77777777" w:rsidR="00B0624C" w:rsidRPr="00D703A4" w:rsidRDefault="00B0624C" w:rsidP="000349C1">
            <w:pPr>
              <w:keepNext/>
              <w:keepLines/>
              <w:jc w:val="center"/>
              <w:rPr>
                <w:rFonts w:asciiTheme="minorHAnsi" w:hAnsiTheme="minorHAnsi" w:cs="Arial"/>
                <w:b/>
                <w:sz w:val="20"/>
                <w:lang w:eastAsia="en-AU"/>
              </w:rPr>
            </w:pPr>
            <w:r w:rsidRPr="007C15A9">
              <w:rPr>
                <w:sz w:val="20"/>
              </w:rPr>
              <w:t xml:space="preserve"> 35,646 </w:t>
            </w:r>
          </w:p>
        </w:tc>
      </w:tr>
      <w:tr w:rsidR="00B0624C" w:rsidRPr="00E71339" w14:paraId="394A4DCE" w14:textId="77777777" w:rsidTr="006772A3">
        <w:trPr>
          <w:trHeight w:val="255"/>
        </w:trPr>
        <w:tc>
          <w:tcPr>
            <w:tcW w:w="8436" w:type="dxa"/>
            <w:gridSpan w:val="6"/>
            <w:tcBorders>
              <w:top w:val="single" w:sz="4" w:space="0" w:color="002776"/>
              <w:left w:val="nil"/>
              <w:bottom w:val="nil"/>
              <w:right w:val="nil"/>
            </w:tcBorders>
            <w:shd w:val="clear" w:color="000000" w:fill="B0CAFF"/>
            <w:noWrap/>
            <w:vAlign w:val="bottom"/>
            <w:hideMark/>
          </w:tcPr>
          <w:p w14:paraId="6F48073B" w14:textId="77777777" w:rsidR="00B0624C" w:rsidRPr="00D703A4" w:rsidRDefault="00B0624C" w:rsidP="000349C1">
            <w:pPr>
              <w:keepNext/>
              <w:keepLines/>
              <w:rPr>
                <w:rFonts w:asciiTheme="minorHAnsi" w:hAnsiTheme="minorHAnsi" w:cs="Arial"/>
                <w:i/>
                <w:iCs/>
                <w:sz w:val="20"/>
                <w:lang w:eastAsia="en-AU"/>
              </w:rPr>
            </w:pPr>
            <w:r w:rsidRPr="00A0328A">
              <w:rPr>
                <w:rFonts w:asciiTheme="minorHAnsi" w:hAnsiTheme="minorHAnsi" w:cs="Arial"/>
                <w:i/>
                <w:iCs/>
                <w:sz w:val="20"/>
                <w:lang w:eastAsia="en-AU"/>
              </w:rPr>
              <w:t>Total contribution</w:t>
            </w:r>
          </w:p>
        </w:tc>
      </w:tr>
      <w:tr w:rsidR="00B0624C" w:rsidRPr="00E71339" w14:paraId="6609894F" w14:textId="77777777" w:rsidTr="005678FF">
        <w:trPr>
          <w:trHeight w:val="255"/>
        </w:trPr>
        <w:tc>
          <w:tcPr>
            <w:tcW w:w="1951" w:type="dxa"/>
            <w:tcBorders>
              <w:top w:val="nil"/>
              <w:left w:val="nil"/>
              <w:bottom w:val="nil"/>
              <w:right w:val="nil"/>
            </w:tcBorders>
            <w:shd w:val="clear" w:color="auto" w:fill="auto"/>
            <w:noWrap/>
            <w:vAlign w:val="bottom"/>
            <w:hideMark/>
          </w:tcPr>
          <w:p w14:paraId="7297BCE9" w14:textId="77777777" w:rsidR="00B0624C" w:rsidRPr="00A0328A" w:rsidRDefault="00B0624C" w:rsidP="006772A3">
            <w:pPr>
              <w:keepNext/>
              <w:keepLines/>
              <w:rPr>
                <w:rFonts w:asciiTheme="minorHAnsi" w:hAnsiTheme="minorHAnsi" w:cs="Arial"/>
                <w:sz w:val="20"/>
                <w:lang w:eastAsia="en-AU"/>
              </w:rPr>
            </w:pPr>
            <w:r w:rsidRPr="00A0328A">
              <w:rPr>
                <w:rFonts w:asciiTheme="minorHAnsi" w:hAnsiTheme="minorHAnsi" w:cs="Arial"/>
                <w:sz w:val="20"/>
                <w:lang w:eastAsia="en-AU"/>
              </w:rPr>
              <w:t>Valued added ($m)</w:t>
            </w:r>
          </w:p>
        </w:tc>
        <w:tc>
          <w:tcPr>
            <w:tcW w:w="1297" w:type="dxa"/>
            <w:tcBorders>
              <w:top w:val="nil"/>
              <w:left w:val="nil"/>
              <w:bottom w:val="nil"/>
              <w:right w:val="nil"/>
            </w:tcBorders>
            <w:shd w:val="clear" w:color="auto" w:fill="auto"/>
            <w:noWrap/>
            <w:hideMark/>
          </w:tcPr>
          <w:p w14:paraId="4237381F"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174 </w:t>
            </w:r>
          </w:p>
        </w:tc>
        <w:tc>
          <w:tcPr>
            <w:tcW w:w="1297" w:type="dxa"/>
            <w:tcBorders>
              <w:top w:val="nil"/>
              <w:left w:val="nil"/>
              <w:bottom w:val="nil"/>
              <w:right w:val="nil"/>
            </w:tcBorders>
            <w:shd w:val="clear" w:color="auto" w:fill="auto"/>
            <w:noWrap/>
            <w:hideMark/>
          </w:tcPr>
          <w:p w14:paraId="5B70D24E" w14:textId="77777777" w:rsidR="00B0624C" w:rsidRPr="00D703A4" w:rsidRDefault="00B0624C" w:rsidP="000349C1">
            <w:pPr>
              <w:keepNext/>
              <w:keepLines/>
              <w:jc w:val="center"/>
              <w:rPr>
                <w:rFonts w:asciiTheme="minorHAnsi" w:hAnsiTheme="minorHAnsi" w:cs="Arial"/>
                <w:sz w:val="20"/>
                <w:lang w:eastAsia="en-AU"/>
              </w:rPr>
            </w:pPr>
            <w:r w:rsidRPr="007C15A9">
              <w:rPr>
                <w:sz w:val="20"/>
              </w:rPr>
              <w:t xml:space="preserve"> 16,133 </w:t>
            </w:r>
          </w:p>
        </w:tc>
        <w:tc>
          <w:tcPr>
            <w:tcW w:w="1297" w:type="dxa"/>
            <w:tcBorders>
              <w:top w:val="nil"/>
              <w:left w:val="nil"/>
              <w:bottom w:val="nil"/>
              <w:right w:val="nil"/>
            </w:tcBorders>
            <w:shd w:val="clear" w:color="auto" w:fill="auto"/>
            <w:noWrap/>
            <w:hideMark/>
          </w:tcPr>
          <w:p w14:paraId="1240DA66"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393 </w:t>
            </w:r>
          </w:p>
        </w:tc>
        <w:tc>
          <w:tcPr>
            <w:tcW w:w="1297" w:type="dxa"/>
            <w:tcBorders>
              <w:top w:val="nil"/>
              <w:left w:val="nil"/>
              <w:bottom w:val="nil"/>
              <w:right w:val="nil"/>
            </w:tcBorders>
            <w:shd w:val="clear" w:color="auto" w:fill="auto"/>
            <w:noWrap/>
            <w:hideMark/>
          </w:tcPr>
          <w:p w14:paraId="5D072949"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182 </w:t>
            </w:r>
          </w:p>
        </w:tc>
        <w:tc>
          <w:tcPr>
            <w:tcW w:w="1297" w:type="dxa"/>
            <w:tcBorders>
              <w:top w:val="nil"/>
              <w:left w:val="nil"/>
              <w:bottom w:val="nil"/>
              <w:right w:val="nil"/>
            </w:tcBorders>
            <w:shd w:val="clear" w:color="auto" w:fill="auto"/>
            <w:noWrap/>
            <w:hideMark/>
          </w:tcPr>
          <w:p w14:paraId="76C7B221" w14:textId="77777777" w:rsidR="00B0624C" w:rsidRPr="00D703A4" w:rsidRDefault="00B0624C" w:rsidP="000349C1">
            <w:pPr>
              <w:keepNext/>
              <w:keepLines/>
              <w:jc w:val="center"/>
              <w:rPr>
                <w:rFonts w:asciiTheme="minorHAnsi" w:hAnsiTheme="minorHAnsi" w:cs="Arial"/>
                <w:b/>
                <w:sz w:val="20"/>
                <w:lang w:eastAsia="en-AU"/>
              </w:rPr>
            </w:pPr>
            <w:r w:rsidRPr="007C15A9">
              <w:rPr>
                <w:sz w:val="20"/>
              </w:rPr>
              <w:t xml:space="preserve"> 16,882 </w:t>
            </w:r>
          </w:p>
        </w:tc>
      </w:tr>
      <w:tr w:rsidR="00B0624C" w:rsidRPr="00E71339" w14:paraId="3C5FF429" w14:textId="77777777" w:rsidTr="005678FF">
        <w:trPr>
          <w:trHeight w:val="255"/>
        </w:trPr>
        <w:tc>
          <w:tcPr>
            <w:tcW w:w="1951" w:type="dxa"/>
            <w:tcBorders>
              <w:top w:val="nil"/>
              <w:left w:val="nil"/>
              <w:bottom w:val="nil"/>
              <w:right w:val="nil"/>
            </w:tcBorders>
            <w:shd w:val="clear" w:color="auto" w:fill="auto"/>
            <w:noWrap/>
            <w:vAlign w:val="bottom"/>
            <w:hideMark/>
          </w:tcPr>
          <w:p w14:paraId="16E57624" w14:textId="77777777" w:rsidR="00B0624C" w:rsidRPr="00A0328A" w:rsidRDefault="00B0624C" w:rsidP="006772A3">
            <w:pPr>
              <w:keepNext/>
              <w:keepLines/>
              <w:ind w:firstLineChars="200" w:firstLine="400"/>
              <w:rPr>
                <w:rFonts w:asciiTheme="minorHAnsi" w:hAnsiTheme="minorHAnsi" w:cs="Arial"/>
                <w:i/>
                <w:iCs/>
                <w:sz w:val="20"/>
                <w:lang w:eastAsia="en-AU"/>
              </w:rPr>
            </w:pPr>
            <w:proofErr w:type="spellStart"/>
            <w:r w:rsidRPr="00A0328A">
              <w:rPr>
                <w:rFonts w:asciiTheme="minorHAnsi" w:hAnsiTheme="minorHAnsi" w:cs="Arial"/>
                <w:i/>
                <w:iCs/>
                <w:sz w:val="20"/>
                <w:lang w:eastAsia="en-AU"/>
              </w:rPr>
              <w:t>GOS</w:t>
            </w:r>
            <w:proofErr w:type="spellEnd"/>
          </w:p>
        </w:tc>
        <w:tc>
          <w:tcPr>
            <w:tcW w:w="1297" w:type="dxa"/>
            <w:tcBorders>
              <w:top w:val="nil"/>
              <w:left w:val="nil"/>
              <w:bottom w:val="nil"/>
              <w:right w:val="nil"/>
            </w:tcBorders>
            <w:shd w:val="clear" w:color="auto" w:fill="auto"/>
            <w:noWrap/>
            <w:hideMark/>
          </w:tcPr>
          <w:p w14:paraId="7BF1FFC4"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29 </w:t>
            </w:r>
          </w:p>
        </w:tc>
        <w:tc>
          <w:tcPr>
            <w:tcW w:w="1297" w:type="dxa"/>
            <w:tcBorders>
              <w:top w:val="nil"/>
              <w:left w:val="nil"/>
              <w:bottom w:val="nil"/>
              <w:right w:val="nil"/>
            </w:tcBorders>
            <w:shd w:val="clear" w:color="auto" w:fill="auto"/>
            <w:noWrap/>
            <w:hideMark/>
          </w:tcPr>
          <w:p w14:paraId="0DEE075B" w14:textId="77777777" w:rsidR="00B0624C" w:rsidRPr="00D703A4" w:rsidRDefault="00B0624C" w:rsidP="000349C1">
            <w:pPr>
              <w:keepNext/>
              <w:keepLines/>
              <w:jc w:val="center"/>
              <w:rPr>
                <w:rFonts w:asciiTheme="minorHAnsi" w:hAnsiTheme="minorHAnsi" w:cs="Arial"/>
                <w:sz w:val="20"/>
                <w:lang w:eastAsia="en-AU"/>
              </w:rPr>
            </w:pPr>
            <w:r w:rsidRPr="007C15A9">
              <w:rPr>
                <w:sz w:val="20"/>
              </w:rPr>
              <w:t xml:space="preserve"> 6,693 </w:t>
            </w:r>
          </w:p>
        </w:tc>
        <w:tc>
          <w:tcPr>
            <w:tcW w:w="1297" w:type="dxa"/>
            <w:tcBorders>
              <w:top w:val="nil"/>
              <w:left w:val="nil"/>
              <w:bottom w:val="nil"/>
              <w:right w:val="nil"/>
            </w:tcBorders>
            <w:shd w:val="clear" w:color="auto" w:fill="auto"/>
            <w:noWrap/>
            <w:hideMark/>
          </w:tcPr>
          <w:p w14:paraId="7F9CD8FD"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66 </w:t>
            </w:r>
          </w:p>
        </w:tc>
        <w:tc>
          <w:tcPr>
            <w:tcW w:w="1297" w:type="dxa"/>
            <w:tcBorders>
              <w:top w:val="nil"/>
              <w:left w:val="nil"/>
              <w:bottom w:val="nil"/>
              <w:right w:val="nil"/>
            </w:tcBorders>
            <w:shd w:val="clear" w:color="auto" w:fill="auto"/>
            <w:noWrap/>
            <w:hideMark/>
          </w:tcPr>
          <w:p w14:paraId="3F3D652F"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86 </w:t>
            </w:r>
          </w:p>
        </w:tc>
        <w:tc>
          <w:tcPr>
            <w:tcW w:w="1297" w:type="dxa"/>
            <w:tcBorders>
              <w:top w:val="nil"/>
              <w:left w:val="nil"/>
              <w:bottom w:val="nil"/>
              <w:right w:val="nil"/>
            </w:tcBorders>
            <w:shd w:val="clear" w:color="auto" w:fill="auto"/>
            <w:noWrap/>
            <w:hideMark/>
          </w:tcPr>
          <w:p w14:paraId="315F9EE8" w14:textId="77777777" w:rsidR="00B0624C" w:rsidRPr="00D703A4" w:rsidRDefault="00B0624C" w:rsidP="000349C1">
            <w:pPr>
              <w:keepNext/>
              <w:keepLines/>
              <w:jc w:val="center"/>
              <w:rPr>
                <w:rFonts w:asciiTheme="minorHAnsi" w:hAnsiTheme="minorHAnsi" w:cs="Arial"/>
                <w:sz w:val="20"/>
                <w:lang w:eastAsia="en-AU"/>
              </w:rPr>
            </w:pPr>
            <w:r w:rsidRPr="007C15A9">
              <w:rPr>
                <w:sz w:val="20"/>
              </w:rPr>
              <w:t xml:space="preserve"> 6,874 </w:t>
            </w:r>
          </w:p>
        </w:tc>
      </w:tr>
      <w:tr w:rsidR="00B0624C" w:rsidRPr="00E71339" w14:paraId="018B3455" w14:textId="77777777" w:rsidTr="005678FF">
        <w:trPr>
          <w:trHeight w:val="255"/>
        </w:trPr>
        <w:tc>
          <w:tcPr>
            <w:tcW w:w="1951" w:type="dxa"/>
            <w:tcBorders>
              <w:top w:val="nil"/>
              <w:left w:val="nil"/>
              <w:bottom w:val="nil"/>
              <w:right w:val="nil"/>
            </w:tcBorders>
            <w:shd w:val="clear" w:color="auto" w:fill="auto"/>
            <w:noWrap/>
            <w:vAlign w:val="bottom"/>
            <w:hideMark/>
          </w:tcPr>
          <w:p w14:paraId="4826A67B" w14:textId="77777777" w:rsidR="00B0624C" w:rsidRPr="00A0328A" w:rsidRDefault="00B0624C" w:rsidP="006772A3">
            <w:pPr>
              <w:keepNext/>
              <w:keepLines/>
              <w:ind w:firstLineChars="200" w:firstLine="400"/>
              <w:rPr>
                <w:rFonts w:asciiTheme="minorHAnsi" w:hAnsiTheme="minorHAnsi" w:cs="Arial"/>
                <w:i/>
                <w:iCs/>
                <w:sz w:val="20"/>
                <w:lang w:eastAsia="en-AU"/>
              </w:rPr>
            </w:pPr>
            <w:r w:rsidRPr="00A0328A">
              <w:rPr>
                <w:rFonts w:asciiTheme="minorHAnsi" w:hAnsiTheme="minorHAnsi" w:cs="Arial"/>
                <w:i/>
                <w:iCs/>
                <w:sz w:val="20"/>
                <w:lang w:eastAsia="en-AU"/>
              </w:rPr>
              <w:t>Wages</w:t>
            </w:r>
          </w:p>
        </w:tc>
        <w:tc>
          <w:tcPr>
            <w:tcW w:w="1297" w:type="dxa"/>
            <w:tcBorders>
              <w:top w:val="nil"/>
              <w:left w:val="nil"/>
              <w:bottom w:val="nil"/>
              <w:right w:val="nil"/>
            </w:tcBorders>
            <w:shd w:val="clear" w:color="auto" w:fill="auto"/>
            <w:noWrap/>
            <w:hideMark/>
          </w:tcPr>
          <w:p w14:paraId="0DCD9181"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145 </w:t>
            </w:r>
          </w:p>
        </w:tc>
        <w:tc>
          <w:tcPr>
            <w:tcW w:w="1297" w:type="dxa"/>
            <w:tcBorders>
              <w:top w:val="nil"/>
              <w:left w:val="nil"/>
              <w:bottom w:val="nil"/>
              <w:right w:val="nil"/>
            </w:tcBorders>
            <w:shd w:val="clear" w:color="auto" w:fill="auto"/>
            <w:noWrap/>
            <w:hideMark/>
          </w:tcPr>
          <w:p w14:paraId="2253CD05" w14:textId="77777777" w:rsidR="00B0624C" w:rsidRPr="00D703A4" w:rsidRDefault="00B0624C" w:rsidP="000349C1">
            <w:pPr>
              <w:keepNext/>
              <w:keepLines/>
              <w:jc w:val="center"/>
              <w:rPr>
                <w:rFonts w:asciiTheme="minorHAnsi" w:hAnsiTheme="minorHAnsi" w:cs="Arial"/>
                <w:sz w:val="20"/>
                <w:lang w:eastAsia="en-AU"/>
              </w:rPr>
            </w:pPr>
            <w:r w:rsidRPr="007C15A9">
              <w:rPr>
                <w:sz w:val="20"/>
              </w:rPr>
              <w:t xml:space="preserve"> 9,440 </w:t>
            </w:r>
          </w:p>
        </w:tc>
        <w:tc>
          <w:tcPr>
            <w:tcW w:w="1297" w:type="dxa"/>
            <w:tcBorders>
              <w:top w:val="nil"/>
              <w:left w:val="nil"/>
              <w:bottom w:val="nil"/>
              <w:right w:val="nil"/>
            </w:tcBorders>
            <w:shd w:val="clear" w:color="auto" w:fill="auto"/>
            <w:noWrap/>
            <w:hideMark/>
          </w:tcPr>
          <w:p w14:paraId="03ECF36A"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327 </w:t>
            </w:r>
          </w:p>
        </w:tc>
        <w:tc>
          <w:tcPr>
            <w:tcW w:w="1297" w:type="dxa"/>
            <w:tcBorders>
              <w:top w:val="nil"/>
              <w:left w:val="nil"/>
              <w:bottom w:val="nil"/>
              <w:right w:val="nil"/>
            </w:tcBorders>
            <w:shd w:val="clear" w:color="auto" w:fill="auto"/>
            <w:noWrap/>
            <w:hideMark/>
          </w:tcPr>
          <w:p w14:paraId="3442DEA2"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96 </w:t>
            </w:r>
          </w:p>
        </w:tc>
        <w:tc>
          <w:tcPr>
            <w:tcW w:w="1297" w:type="dxa"/>
            <w:tcBorders>
              <w:top w:val="nil"/>
              <w:left w:val="nil"/>
              <w:bottom w:val="nil"/>
              <w:right w:val="nil"/>
            </w:tcBorders>
            <w:shd w:val="clear" w:color="auto" w:fill="auto"/>
            <w:noWrap/>
            <w:hideMark/>
          </w:tcPr>
          <w:p w14:paraId="0463BE61" w14:textId="77777777" w:rsidR="00B0624C" w:rsidRPr="00D703A4" w:rsidRDefault="00B0624C" w:rsidP="000349C1">
            <w:pPr>
              <w:keepNext/>
              <w:keepLines/>
              <w:jc w:val="center"/>
              <w:rPr>
                <w:rFonts w:asciiTheme="minorHAnsi" w:hAnsiTheme="minorHAnsi" w:cs="Arial"/>
                <w:sz w:val="20"/>
                <w:lang w:eastAsia="en-AU"/>
              </w:rPr>
            </w:pPr>
            <w:r w:rsidRPr="007C15A9">
              <w:rPr>
                <w:sz w:val="20"/>
              </w:rPr>
              <w:t xml:space="preserve"> 10,008 </w:t>
            </w:r>
          </w:p>
        </w:tc>
      </w:tr>
      <w:tr w:rsidR="00B0624C" w:rsidRPr="00E71339" w14:paraId="30E76EFC" w14:textId="77777777" w:rsidTr="005678FF">
        <w:trPr>
          <w:trHeight w:val="270"/>
        </w:trPr>
        <w:tc>
          <w:tcPr>
            <w:tcW w:w="1951" w:type="dxa"/>
            <w:tcBorders>
              <w:top w:val="nil"/>
              <w:left w:val="nil"/>
              <w:bottom w:val="single" w:sz="18" w:space="0" w:color="002776"/>
              <w:right w:val="nil"/>
            </w:tcBorders>
            <w:shd w:val="clear" w:color="auto" w:fill="auto"/>
            <w:noWrap/>
            <w:vAlign w:val="bottom"/>
            <w:hideMark/>
          </w:tcPr>
          <w:p w14:paraId="546350FB" w14:textId="77777777" w:rsidR="00B0624C" w:rsidRPr="00A0328A" w:rsidRDefault="00B0624C" w:rsidP="006772A3">
            <w:pPr>
              <w:keepNext/>
              <w:keepLines/>
              <w:rPr>
                <w:rFonts w:asciiTheme="minorHAnsi" w:hAnsiTheme="minorHAnsi" w:cs="Arial"/>
                <w:sz w:val="20"/>
                <w:lang w:eastAsia="en-AU"/>
              </w:rPr>
            </w:pPr>
            <w:r w:rsidRPr="00A0328A">
              <w:rPr>
                <w:rFonts w:asciiTheme="minorHAnsi" w:hAnsiTheme="minorHAnsi" w:cs="Arial"/>
                <w:sz w:val="20"/>
                <w:lang w:eastAsia="en-AU"/>
              </w:rPr>
              <w:t>Employment (FTE)</w:t>
            </w:r>
          </w:p>
        </w:tc>
        <w:tc>
          <w:tcPr>
            <w:tcW w:w="1297" w:type="dxa"/>
            <w:tcBorders>
              <w:top w:val="nil"/>
              <w:left w:val="nil"/>
              <w:bottom w:val="single" w:sz="18" w:space="0" w:color="002776"/>
              <w:right w:val="nil"/>
            </w:tcBorders>
            <w:shd w:val="clear" w:color="auto" w:fill="auto"/>
            <w:noWrap/>
            <w:hideMark/>
          </w:tcPr>
          <w:p w14:paraId="01269E8E"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1,380 </w:t>
            </w:r>
          </w:p>
        </w:tc>
        <w:tc>
          <w:tcPr>
            <w:tcW w:w="1297" w:type="dxa"/>
            <w:tcBorders>
              <w:top w:val="nil"/>
              <w:left w:val="nil"/>
              <w:bottom w:val="single" w:sz="18" w:space="0" w:color="002776"/>
              <w:right w:val="nil"/>
            </w:tcBorders>
            <w:shd w:val="clear" w:color="auto" w:fill="auto"/>
            <w:noWrap/>
            <w:hideMark/>
          </w:tcPr>
          <w:p w14:paraId="419D65B5" w14:textId="77777777" w:rsidR="00B0624C" w:rsidRPr="00D703A4" w:rsidRDefault="00B0624C" w:rsidP="000349C1">
            <w:pPr>
              <w:keepNext/>
              <w:keepLines/>
              <w:jc w:val="center"/>
              <w:rPr>
                <w:rFonts w:asciiTheme="minorHAnsi" w:hAnsiTheme="minorHAnsi" w:cs="Arial"/>
                <w:sz w:val="20"/>
                <w:lang w:eastAsia="en-AU"/>
              </w:rPr>
            </w:pPr>
            <w:r w:rsidRPr="007C15A9">
              <w:rPr>
                <w:sz w:val="20"/>
              </w:rPr>
              <w:t xml:space="preserve"> 121,478 </w:t>
            </w:r>
          </w:p>
        </w:tc>
        <w:tc>
          <w:tcPr>
            <w:tcW w:w="1297" w:type="dxa"/>
            <w:tcBorders>
              <w:top w:val="nil"/>
              <w:left w:val="nil"/>
              <w:bottom w:val="single" w:sz="18" w:space="0" w:color="002776"/>
              <w:right w:val="nil"/>
            </w:tcBorders>
            <w:shd w:val="clear" w:color="auto" w:fill="auto"/>
            <w:noWrap/>
            <w:hideMark/>
          </w:tcPr>
          <w:p w14:paraId="4E53AC77"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3,119 </w:t>
            </w:r>
          </w:p>
        </w:tc>
        <w:tc>
          <w:tcPr>
            <w:tcW w:w="1297" w:type="dxa"/>
            <w:tcBorders>
              <w:top w:val="nil"/>
              <w:left w:val="nil"/>
              <w:bottom w:val="single" w:sz="18" w:space="0" w:color="002776"/>
              <w:right w:val="nil"/>
            </w:tcBorders>
            <w:shd w:val="clear" w:color="auto" w:fill="auto"/>
            <w:noWrap/>
            <w:hideMark/>
          </w:tcPr>
          <w:p w14:paraId="7B0C431E" w14:textId="77777777" w:rsidR="00B0624C" w:rsidRPr="00A0328A" w:rsidRDefault="00B0624C" w:rsidP="000349C1">
            <w:pPr>
              <w:keepNext/>
              <w:keepLines/>
              <w:jc w:val="center"/>
              <w:rPr>
                <w:rFonts w:asciiTheme="minorHAnsi" w:hAnsiTheme="minorHAnsi" w:cs="Arial"/>
                <w:sz w:val="20"/>
                <w:lang w:eastAsia="en-AU"/>
              </w:rPr>
            </w:pPr>
            <w:r w:rsidRPr="007C15A9">
              <w:rPr>
                <w:sz w:val="20"/>
              </w:rPr>
              <w:t xml:space="preserve"> 2,408 </w:t>
            </w:r>
          </w:p>
        </w:tc>
        <w:tc>
          <w:tcPr>
            <w:tcW w:w="1297" w:type="dxa"/>
            <w:tcBorders>
              <w:top w:val="nil"/>
              <w:left w:val="nil"/>
              <w:bottom w:val="single" w:sz="18" w:space="0" w:color="002776"/>
              <w:right w:val="nil"/>
            </w:tcBorders>
            <w:shd w:val="clear" w:color="auto" w:fill="auto"/>
            <w:noWrap/>
            <w:hideMark/>
          </w:tcPr>
          <w:p w14:paraId="2077D9B3" w14:textId="77777777" w:rsidR="00B0624C" w:rsidRPr="00D703A4" w:rsidRDefault="00B0624C" w:rsidP="000349C1">
            <w:pPr>
              <w:keepNext/>
              <w:keepLines/>
              <w:jc w:val="center"/>
              <w:rPr>
                <w:rFonts w:asciiTheme="minorHAnsi" w:hAnsiTheme="minorHAnsi" w:cs="Arial"/>
                <w:b/>
                <w:sz w:val="20"/>
                <w:lang w:eastAsia="en-AU"/>
              </w:rPr>
            </w:pPr>
            <w:r w:rsidRPr="007C15A9">
              <w:rPr>
                <w:sz w:val="20"/>
              </w:rPr>
              <w:t xml:space="preserve"> 128,385 </w:t>
            </w:r>
          </w:p>
        </w:tc>
      </w:tr>
    </w:tbl>
    <w:p w14:paraId="399993E9" w14:textId="77777777" w:rsidR="00F86B13" w:rsidRDefault="00F86B13" w:rsidP="00F86B13">
      <w:pPr>
        <w:pStyle w:val="Source"/>
        <w:keepNext/>
        <w:keepLines/>
        <w:contextualSpacing/>
      </w:pPr>
      <w:r>
        <w:t>Source: Deloitte Access Economics</w:t>
      </w:r>
      <w:r w:rsidR="00285257">
        <w:t>.</w:t>
      </w:r>
    </w:p>
    <w:p w14:paraId="53CC2DBB" w14:textId="77777777" w:rsidR="00F86B13" w:rsidRDefault="00E458AB" w:rsidP="00F86B13">
      <w:pPr>
        <w:pStyle w:val="Source"/>
        <w:keepNext/>
        <w:keepLines/>
        <w:contextualSpacing/>
      </w:pPr>
      <w:r>
        <w:t>*</w:t>
      </w:r>
      <w:r w:rsidR="00F86B13">
        <w:t xml:space="preserve">Mode 2 total includes the contribution from New Zealand and </w:t>
      </w:r>
      <w:proofErr w:type="spellStart"/>
      <w:r w:rsidR="00F86B13">
        <w:t>AusAID</w:t>
      </w:r>
      <w:proofErr w:type="spellEnd"/>
      <w:r w:rsidR="00F86B13">
        <w:t xml:space="preserve">/Defence students, but does not include the contribution from </w:t>
      </w:r>
      <w:proofErr w:type="spellStart"/>
      <w:r w:rsidR="00F86B13">
        <w:t>NSV</w:t>
      </w:r>
      <w:proofErr w:type="spellEnd"/>
      <w:r w:rsidR="00F86B13">
        <w:t xml:space="preserve"> </w:t>
      </w:r>
      <w:proofErr w:type="spellStart"/>
      <w:r w:rsidR="00F86B13">
        <w:t>ELICOS</w:t>
      </w:r>
      <w:proofErr w:type="spellEnd"/>
      <w:r w:rsidR="00F86B13">
        <w:t xml:space="preserve"> students.</w:t>
      </w:r>
    </w:p>
    <w:p w14:paraId="5B0341D6" w14:textId="77777777" w:rsidR="00F86B13" w:rsidRDefault="00F86B13" w:rsidP="00F86B13">
      <w:pPr>
        <w:pStyle w:val="Source"/>
        <w:keepNext/>
        <w:keepLines/>
        <w:contextualSpacing/>
      </w:pPr>
    </w:p>
    <w:p w14:paraId="2701A5F4" w14:textId="77777777" w:rsidR="00F86B13" w:rsidRDefault="00F86B13" w:rsidP="00F86B13">
      <w:pPr>
        <w:pStyle w:val="Heading3"/>
      </w:pPr>
      <w:bookmarkStart w:id="123" w:name="_Ref437274106"/>
      <w:r>
        <w:t>Offshore international education (mode 3)</w:t>
      </w:r>
      <w:bookmarkEnd w:id="123"/>
    </w:p>
    <w:p w14:paraId="05485B1C" w14:textId="77777777" w:rsidR="00F86B13" w:rsidRDefault="00F86B13" w:rsidP="00F86B13">
      <w:pPr>
        <w:pStyle w:val="BodyText"/>
      </w:pPr>
      <w:r>
        <w:t>Estimating the economic contribution from offshore international education poses a number of unique challenges, both conceptually and with respect to the available information on the operations of offshore institutions.</w:t>
      </w:r>
    </w:p>
    <w:p w14:paraId="43DBF001" w14:textId="77777777" w:rsidR="00F86B13" w:rsidRDefault="00F86B13" w:rsidP="00F86B13">
      <w:pPr>
        <w:pStyle w:val="BodyText"/>
      </w:pPr>
      <w:r>
        <w:t xml:space="preserve">Due to data limitations regarding the offshore operations of VET providers and schools this section considers only the economic contribution of Australian universities’ offshore campus operations. </w:t>
      </w:r>
    </w:p>
    <w:p w14:paraId="67931DFE" w14:textId="77777777" w:rsidR="00F86B13" w:rsidRDefault="00F86B13" w:rsidP="00F86B13">
      <w:pPr>
        <w:pStyle w:val="BodyText"/>
      </w:pPr>
      <w:r>
        <w:t xml:space="preserve">The value-added contribution of offshore international higher education is the sum of the: </w:t>
      </w:r>
    </w:p>
    <w:p w14:paraId="11F28BFE" w14:textId="77777777" w:rsidR="00F86B13" w:rsidRDefault="00F86B13" w:rsidP="00F86B13">
      <w:pPr>
        <w:pStyle w:val="Bullet1"/>
      </w:pPr>
      <w:r>
        <w:t>wages paid to workers who reside in Australia but support the campus’s offshore operations;</w:t>
      </w:r>
    </w:p>
    <w:p w14:paraId="20F14646" w14:textId="77777777" w:rsidR="00F86B13" w:rsidRDefault="00F86B13" w:rsidP="00F86B13">
      <w:pPr>
        <w:pStyle w:val="Bullet1"/>
      </w:pPr>
      <w:r>
        <w:t>gross operating surplus (</w:t>
      </w:r>
      <w:proofErr w:type="spellStart"/>
      <w:r>
        <w:t>GOS</w:t>
      </w:r>
      <w:proofErr w:type="spellEnd"/>
      <w:r>
        <w:t>)</w:t>
      </w:r>
      <w:r>
        <w:rPr>
          <w:rStyle w:val="FootnoteReference"/>
        </w:rPr>
        <w:footnoteReference w:id="9"/>
      </w:r>
      <w:r>
        <w:t xml:space="preserve"> on the campus’s operations that returns to Australia;</w:t>
      </w:r>
    </w:p>
    <w:p w14:paraId="6321AB57" w14:textId="77777777" w:rsidR="00F86B13" w:rsidRDefault="00F86B13" w:rsidP="00F86B13">
      <w:pPr>
        <w:pStyle w:val="Bullet1"/>
      </w:pPr>
      <w:proofErr w:type="gramStart"/>
      <w:r>
        <w:t>indirect</w:t>
      </w:r>
      <w:proofErr w:type="gramEnd"/>
      <w:r>
        <w:t xml:space="preserve"> value-added by the use of intermediate inputs imported from Australia and the payment of any production taxes in Australia.</w:t>
      </w:r>
    </w:p>
    <w:p w14:paraId="1DB7267D" w14:textId="77777777" w:rsidR="00F86B13" w:rsidRDefault="00F86B13" w:rsidP="00F86B13">
      <w:pPr>
        <w:pStyle w:val="BodyText"/>
      </w:pPr>
      <w:r>
        <w:t xml:space="preserve">Anecdotal evidence provided by consultations with members of the higher education sector has revealed that </w:t>
      </w:r>
      <w:r w:rsidRPr="007B12EF">
        <w:t xml:space="preserve">Australian universities </w:t>
      </w:r>
      <w:r>
        <w:t xml:space="preserve">establish offshore campuses for a variety of commercial reasons. While some are expected to be profitable ventures on their own account, others serve a more strategic purpose to attract greater numbers of students to higher margin onshore programs in Australia and operate at zero or negative margins. As a </w:t>
      </w:r>
      <w:r>
        <w:lastRenderedPageBreak/>
        <w:t xml:space="preserve">result, there is a great deal of observed variation in the profits made by offshore operations of Australian universities. </w:t>
      </w:r>
    </w:p>
    <w:p w14:paraId="164C42E2" w14:textId="77777777" w:rsidR="00F86B13" w:rsidRPr="009813FE" w:rsidRDefault="00F86B13" w:rsidP="00F86B13">
      <w:pPr>
        <w:pStyle w:val="BodyText"/>
      </w:pPr>
      <w:r>
        <w:t xml:space="preserve">To estimate the economic contribution made by offshore international higher education Deloitte Access Economics has estimated the value of </w:t>
      </w:r>
      <w:proofErr w:type="spellStart"/>
      <w:r>
        <w:t>GOS</w:t>
      </w:r>
      <w:proofErr w:type="spellEnd"/>
      <w:r>
        <w:t xml:space="preserve"> in 2014 for a small number of Australian universities with offshore campuses. This analysis revealed values of </w:t>
      </w:r>
      <w:proofErr w:type="spellStart"/>
      <w:r>
        <w:t>GOS</w:t>
      </w:r>
      <w:proofErr w:type="spellEnd"/>
      <w:r>
        <w:t xml:space="preserve"> that range from -4% to +26% of total fee revenue.</w:t>
      </w:r>
    </w:p>
    <w:p w14:paraId="06AE97CB" w14:textId="77777777" w:rsidR="00F86B13" w:rsidRDefault="00F86B13" w:rsidP="00F86B13">
      <w:pPr>
        <w:pStyle w:val="BodyText"/>
      </w:pPr>
      <w:r>
        <w:t xml:space="preserve">The operational methods of offshore campuses also differ across universities, with some universities relying occasionally on Australian academics and administrative staff to support offshore operations, while others rely almost exclusively on local workers overseas. </w:t>
      </w:r>
    </w:p>
    <w:p w14:paraId="7302095B" w14:textId="77777777" w:rsidR="005B3772" w:rsidRDefault="00F86B13" w:rsidP="00F86B13">
      <w:pPr>
        <w:pStyle w:val="BodyText"/>
      </w:pPr>
      <w:r>
        <w:t>Overall, it is not possible to accurately determine the extent to which Australian university offshore campus operations draw upon labour and intermediate inputs from Australia, and therefore make further contributions to value-added domestically. At most, only a small proportion of fee revenue from offshore study is likely to result in value added in Australia since most wages will be paid to foreign staff and the majority of intermediate inputs sourced by offshore campuses are likely to be procured locally.</w:t>
      </w:r>
      <w:r w:rsidR="00850FFF">
        <w:t xml:space="preserve"> </w:t>
      </w:r>
    </w:p>
    <w:p w14:paraId="302DD442" w14:textId="77777777" w:rsidR="00F86B13" w:rsidRDefault="005B3772" w:rsidP="00F86B13">
      <w:pPr>
        <w:pStyle w:val="BodyText"/>
      </w:pPr>
      <w:r>
        <w:t>A survey of private VET providers was fielded as part of the project to assess the value added by offshore activity. Unfortunately, too few responses were received to report the results although evidence from those who did respond suggested that only a small proportion of wages were paid to Australian residents and the vast majority of intermediate inputs were sourced from overseas.</w:t>
      </w:r>
      <w:r w:rsidR="006569D3">
        <w:t xml:space="preserve"> </w:t>
      </w:r>
      <w:r w:rsidR="00F86B13">
        <w:t xml:space="preserve">To illustrate how the value-added to Australian GDP of offshore university operations may be measured relative to onshore activity, </w:t>
      </w:r>
      <w:r w:rsidR="00252E05">
        <w:fldChar w:fldCharType="begin"/>
      </w:r>
      <w:r w:rsidR="00252E05">
        <w:instrText xml:space="preserve"> REF _Ref437418365 \r \h </w:instrText>
      </w:r>
      <w:r w:rsidR="00252E05">
        <w:fldChar w:fldCharType="separate"/>
      </w:r>
      <w:r w:rsidR="00F03FA0">
        <w:t>Table 3.2</w:t>
      </w:r>
      <w:r w:rsidR="00252E05">
        <w:fldChar w:fldCharType="end"/>
      </w:r>
      <w:r w:rsidR="00DD7D47">
        <w:t xml:space="preserve"> </w:t>
      </w:r>
      <w:r w:rsidR="00F86B13">
        <w:t xml:space="preserve">provides some assumptions on how $1 of fee revenue translates to wages, </w:t>
      </w:r>
      <w:proofErr w:type="spellStart"/>
      <w:r w:rsidR="00F86B13">
        <w:t>GOS</w:t>
      </w:r>
      <w:proofErr w:type="spellEnd"/>
      <w:r w:rsidR="00F86B13">
        <w:t xml:space="preserve">, indirect activity from purchases of intermediate inputs and total value added for onshore and offshore study. </w:t>
      </w:r>
    </w:p>
    <w:p w14:paraId="6934A68A" w14:textId="77777777" w:rsidR="00F86B13" w:rsidRDefault="00F86B13" w:rsidP="00F86B13">
      <w:pPr>
        <w:pStyle w:val="BodyText"/>
      </w:pPr>
      <w:r>
        <w:t xml:space="preserve">The </w:t>
      </w:r>
      <w:r w:rsidR="00777AC2">
        <w:t xml:space="preserve">second </w:t>
      </w:r>
      <w:r>
        <w:t xml:space="preserve">column is based on an analysis of the university sector by </w:t>
      </w:r>
      <w:r w:rsidR="00E458AB">
        <w:t xml:space="preserve">Deloitte Access Economics </w:t>
      </w:r>
      <w:r>
        <w:t xml:space="preserve">for Universities Australia in 2015. The </w:t>
      </w:r>
      <w:r w:rsidR="00777AC2">
        <w:t>second</w:t>
      </w:r>
      <w:r>
        <w:t xml:space="preserve"> column is based on assumptions drawing on an analysis of university of financial reports detailing offshore activity. The analysis of university financial reports found the gross operating surplus of offshore campuses varies considerably by campus with some making net losses and others making significant profits. </w:t>
      </w:r>
    </w:p>
    <w:p w14:paraId="23E5EFAD" w14:textId="77777777" w:rsidR="00F86B13" w:rsidRDefault="00F86B13" w:rsidP="00F86B13">
      <w:pPr>
        <w:pStyle w:val="BodyText"/>
      </w:pPr>
      <w:r>
        <w:t>Since most expenditure on intermediate inputs and wages is likely to occur locally, the overall impact of offshore campus revenue on value added in Australia is quite small</w:t>
      </w:r>
      <w:r w:rsidR="009420AA">
        <w:t>.</w:t>
      </w:r>
      <w:r>
        <w:t xml:space="preserve"> As a result, while over 90% of onshore fee revenue is likely to translate to value added locally, only a small proportion of offshore fee revenue is likely to translate to value added locally and this will largely depend upon the gross operating surplus earned by offshore university operations. </w:t>
      </w:r>
    </w:p>
    <w:p w14:paraId="472876C5" w14:textId="77777777" w:rsidR="00F86B13" w:rsidRDefault="00F86B13" w:rsidP="00F86B13">
      <w:pPr>
        <w:pStyle w:val="BodyText"/>
      </w:pPr>
      <w:r>
        <w:t xml:space="preserve">While further research is needed to obtain more accurate estimates, offshore revenue is likely to have a much smaller impact on value added in Australia than onshore revenue. </w:t>
      </w:r>
    </w:p>
    <w:p w14:paraId="766142DF" w14:textId="77777777" w:rsidR="00F86B13" w:rsidRDefault="00F86B13" w:rsidP="00F86B13">
      <w:pPr>
        <w:pStyle w:val="CaptionTable"/>
      </w:pPr>
      <w:bookmarkStart w:id="124" w:name="_Toc438647407"/>
      <w:bookmarkStart w:id="125" w:name="_Ref437418365"/>
      <w:bookmarkStart w:id="126" w:name="_Toc450809283"/>
      <w:bookmarkEnd w:id="124"/>
      <w:r>
        <w:lastRenderedPageBreak/>
        <w:t>: Illustration of how $1 of revenue translates to value added for onshore and offshore university operations</w:t>
      </w:r>
      <w:bookmarkEnd w:id="125"/>
      <w:bookmarkEnd w:id="126"/>
    </w:p>
    <w:tbl>
      <w:tblPr>
        <w:tblStyle w:val="TableAE"/>
        <w:tblW w:w="0" w:type="auto"/>
        <w:tblLayout w:type="fixed"/>
        <w:tblLook w:val="04A0" w:firstRow="1" w:lastRow="0" w:firstColumn="1" w:lastColumn="0" w:noHBand="0" w:noVBand="1"/>
        <w:tblCaption w:val="Table 3.2: Illustration of how $1 of revenue translates to value added for onshore and offshore university operations"/>
        <w:tblDescription w:val="The table shows the illustration of how $1 of revenue translates to value added for onshore and offshore university operations."/>
      </w:tblPr>
      <w:tblGrid>
        <w:gridCol w:w="3227"/>
        <w:gridCol w:w="2180"/>
        <w:gridCol w:w="2744"/>
      </w:tblGrid>
      <w:tr w:rsidR="00F86B13" w14:paraId="58901C6E" w14:textId="77777777" w:rsidTr="00AA149D">
        <w:trPr>
          <w:cnfStyle w:val="100000000000" w:firstRow="1" w:lastRow="0" w:firstColumn="0" w:lastColumn="0" w:oddVBand="0" w:evenVBand="0" w:oddHBand="0" w:evenHBand="0" w:firstRowFirstColumn="0" w:firstRowLastColumn="0" w:lastRowFirstColumn="0" w:lastRowLastColumn="0"/>
          <w:tblHeader/>
        </w:trPr>
        <w:tc>
          <w:tcPr>
            <w:tcW w:w="3227" w:type="dxa"/>
          </w:tcPr>
          <w:p w14:paraId="0C4F6704" w14:textId="77777777" w:rsidR="00F86B13" w:rsidRDefault="00F86B13" w:rsidP="006772A3">
            <w:pPr>
              <w:pStyle w:val="TableHeadingCentre"/>
            </w:pPr>
            <w:r>
              <w:t>Scenario:</w:t>
            </w:r>
          </w:p>
        </w:tc>
        <w:tc>
          <w:tcPr>
            <w:tcW w:w="2180" w:type="dxa"/>
          </w:tcPr>
          <w:p w14:paraId="5D2FBD9F" w14:textId="77777777" w:rsidR="00F86B13" w:rsidRDefault="00F86B13" w:rsidP="006772A3">
            <w:pPr>
              <w:pStyle w:val="TableHeadingCentre"/>
            </w:pPr>
            <w:r>
              <w:t>Onshore study</w:t>
            </w:r>
          </w:p>
        </w:tc>
        <w:tc>
          <w:tcPr>
            <w:tcW w:w="2744" w:type="dxa"/>
          </w:tcPr>
          <w:p w14:paraId="0B8A6D4F" w14:textId="77777777" w:rsidR="00F86B13" w:rsidRDefault="00F86B13" w:rsidP="006772A3">
            <w:pPr>
              <w:pStyle w:val="TableHeadingCentre"/>
            </w:pPr>
            <w:r>
              <w:t>Offshore study at an Australian campus overseas</w:t>
            </w:r>
          </w:p>
        </w:tc>
      </w:tr>
      <w:tr w:rsidR="00F86B13" w14:paraId="4BBC6A3A" w14:textId="77777777" w:rsidTr="00E74E03">
        <w:tc>
          <w:tcPr>
            <w:tcW w:w="3227" w:type="dxa"/>
            <w:vAlign w:val="center"/>
          </w:tcPr>
          <w:p w14:paraId="2B9F92A9" w14:textId="77777777" w:rsidR="00F86B13" w:rsidRDefault="00F86B13" w:rsidP="006772A3">
            <w:pPr>
              <w:pStyle w:val="TabletextLeft"/>
            </w:pPr>
            <w:r>
              <w:t>Wages in Australia</w:t>
            </w:r>
          </w:p>
        </w:tc>
        <w:tc>
          <w:tcPr>
            <w:tcW w:w="2180" w:type="dxa"/>
            <w:vAlign w:val="center"/>
          </w:tcPr>
          <w:p w14:paraId="23CA2A0C" w14:textId="77777777" w:rsidR="00F86B13" w:rsidRDefault="00F86B13" w:rsidP="006772A3">
            <w:pPr>
              <w:pStyle w:val="TabletextLeft"/>
              <w:jc w:val="center"/>
            </w:pPr>
            <w:r>
              <w:t>0.51</w:t>
            </w:r>
          </w:p>
        </w:tc>
        <w:tc>
          <w:tcPr>
            <w:tcW w:w="2744" w:type="dxa"/>
            <w:vAlign w:val="center"/>
          </w:tcPr>
          <w:p w14:paraId="1DBBE13C" w14:textId="77777777" w:rsidR="00F86B13" w:rsidRDefault="00F86B13" w:rsidP="006772A3">
            <w:pPr>
              <w:pStyle w:val="TabletextLeft"/>
              <w:jc w:val="center"/>
            </w:pPr>
            <w:r>
              <w:t>0 to 0.1</w:t>
            </w:r>
          </w:p>
        </w:tc>
      </w:tr>
      <w:tr w:rsidR="00F86B13" w14:paraId="5B5B11EB" w14:textId="77777777" w:rsidTr="00E74E03">
        <w:tc>
          <w:tcPr>
            <w:tcW w:w="3227" w:type="dxa"/>
            <w:vAlign w:val="center"/>
          </w:tcPr>
          <w:p w14:paraId="16440C17" w14:textId="77777777" w:rsidR="00F86B13" w:rsidRDefault="00F86B13" w:rsidP="006772A3">
            <w:pPr>
              <w:pStyle w:val="TabletextLeft"/>
            </w:pPr>
            <w:proofErr w:type="spellStart"/>
            <w:r>
              <w:t>GOS</w:t>
            </w:r>
            <w:proofErr w:type="spellEnd"/>
            <w:r>
              <w:t xml:space="preserve"> in Australia</w:t>
            </w:r>
          </w:p>
        </w:tc>
        <w:tc>
          <w:tcPr>
            <w:tcW w:w="2180" w:type="dxa"/>
            <w:vAlign w:val="center"/>
          </w:tcPr>
          <w:p w14:paraId="4B9079BD" w14:textId="77777777" w:rsidR="00F86B13" w:rsidRDefault="00F86B13" w:rsidP="006772A3">
            <w:pPr>
              <w:pStyle w:val="TabletextLeft"/>
              <w:jc w:val="center"/>
            </w:pPr>
            <w:r>
              <w:t>0.16</w:t>
            </w:r>
          </w:p>
        </w:tc>
        <w:tc>
          <w:tcPr>
            <w:tcW w:w="2744" w:type="dxa"/>
            <w:vAlign w:val="center"/>
          </w:tcPr>
          <w:p w14:paraId="009B2806" w14:textId="77777777" w:rsidR="00F86B13" w:rsidRDefault="00F86B13" w:rsidP="006772A3">
            <w:pPr>
              <w:pStyle w:val="TabletextLeft"/>
              <w:jc w:val="center"/>
            </w:pPr>
            <w:r>
              <w:t>-0.04 to 0.26 (based on financial results)</w:t>
            </w:r>
          </w:p>
        </w:tc>
      </w:tr>
      <w:tr w:rsidR="00F86B13" w14:paraId="2169FEA3" w14:textId="77777777" w:rsidTr="00E74E03">
        <w:tc>
          <w:tcPr>
            <w:tcW w:w="3227" w:type="dxa"/>
            <w:vAlign w:val="center"/>
          </w:tcPr>
          <w:p w14:paraId="4FCB56DD" w14:textId="77777777" w:rsidR="00F86B13" w:rsidRDefault="00F86B13" w:rsidP="006772A3">
            <w:pPr>
              <w:pStyle w:val="TabletextLeft"/>
            </w:pPr>
            <w:r>
              <w:t>Indirect value added and production taxes in Australia</w:t>
            </w:r>
          </w:p>
        </w:tc>
        <w:tc>
          <w:tcPr>
            <w:tcW w:w="2180" w:type="dxa"/>
            <w:vAlign w:val="center"/>
          </w:tcPr>
          <w:p w14:paraId="46D03034" w14:textId="77777777" w:rsidR="00F86B13" w:rsidRDefault="00F86B13" w:rsidP="006772A3">
            <w:pPr>
              <w:pStyle w:val="TabletextLeft"/>
              <w:jc w:val="center"/>
            </w:pPr>
            <w:r>
              <w:t>0.25</w:t>
            </w:r>
          </w:p>
        </w:tc>
        <w:tc>
          <w:tcPr>
            <w:tcW w:w="2744" w:type="dxa"/>
            <w:vAlign w:val="center"/>
          </w:tcPr>
          <w:p w14:paraId="3BD62584" w14:textId="77777777" w:rsidR="00F86B13" w:rsidRDefault="00F86B13" w:rsidP="006772A3">
            <w:pPr>
              <w:pStyle w:val="TabletextLeft"/>
              <w:jc w:val="center"/>
            </w:pPr>
            <w:r>
              <w:t>0.01 to 0.05</w:t>
            </w:r>
          </w:p>
        </w:tc>
      </w:tr>
      <w:tr w:rsidR="00F86B13" w14:paraId="655B053E" w14:textId="77777777" w:rsidTr="00E74E03">
        <w:tc>
          <w:tcPr>
            <w:tcW w:w="3227" w:type="dxa"/>
            <w:vAlign w:val="center"/>
          </w:tcPr>
          <w:p w14:paraId="7A5A8A34" w14:textId="77777777" w:rsidR="00F86B13" w:rsidRPr="007E7786" w:rsidRDefault="00F86B13" w:rsidP="006772A3">
            <w:pPr>
              <w:pStyle w:val="TabletextLeft"/>
              <w:rPr>
                <w:b/>
              </w:rPr>
            </w:pPr>
            <w:r w:rsidRPr="000349C1">
              <w:rPr>
                <w:b/>
                <w:color w:val="002776" w:themeColor="text2"/>
              </w:rPr>
              <w:t>Total value added</w:t>
            </w:r>
          </w:p>
        </w:tc>
        <w:tc>
          <w:tcPr>
            <w:tcW w:w="2180" w:type="dxa"/>
            <w:vAlign w:val="center"/>
          </w:tcPr>
          <w:p w14:paraId="7E74E8AB" w14:textId="77777777" w:rsidR="00F86B13" w:rsidRPr="000349C1" w:rsidRDefault="00F86B13" w:rsidP="006772A3">
            <w:pPr>
              <w:pStyle w:val="TabletextLeft"/>
              <w:jc w:val="center"/>
            </w:pPr>
            <w:r w:rsidRPr="000349C1">
              <w:t>0.93</w:t>
            </w:r>
          </w:p>
        </w:tc>
        <w:tc>
          <w:tcPr>
            <w:tcW w:w="2744" w:type="dxa"/>
            <w:vAlign w:val="center"/>
          </w:tcPr>
          <w:p w14:paraId="660EEB05" w14:textId="77777777" w:rsidR="00F86B13" w:rsidRPr="000349C1" w:rsidRDefault="00F86B13" w:rsidP="006772A3">
            <w:pPr>
              <w:pStyle w:val="TabletextLeft"/>
              <w:jc w:val="center"/>
            </w:pPr>
            <w:r w:rsidRPr="000349C1">
              <w:t>-0.03 to 0.41</w:t>
            </w:r>
          </w:p>
        </w:tc>
      </w:tr>
    </w:tbl>
    <w:p w14:paraId="6FE500F9" w14:textId="77777777" w:rsidR="00F86B13" w:rsidRDefault="00F86B13" w:rsidP="00F86B13">
      <w:pPr>
        <w:pStyle w:val="Source"/>
      </w:pPr>
      <w:r>
        <w:t xml:space="preserve">Source: </w:t>
      </w:r>
      <w:r w:rsidR="00E458AB">
        <w:t>Deloitte Access Economics</w:t>
      </w:r>
      <w:r w:rsidR="00E458AB" w:rsidDel="00E458AB">
        <w:t xml:space="preserve"> </w:t>
      </w:r>
      <w:r>
        <w:t xml:space="preserve">report for Universities Australia 2015, </w:t>
      </w:r>
      <w:r w:rsidR="00E458AB">
        <w:t>Deloitte Access Economics</w:t>
      </w:r>
      <w:r w:rsidR="00E458AB" w:rsidDel="00E458AB">
        <w:t xml:space="preserve"> </w:t>
      </w:r>
      <w:r>
        <w:t>assumptions and analysis of offshore activity in various university Financial Reports.</w:t>
      </w:r>
    </w:p>
    <w:p w14:paraId="3F634E69" w14:textId="77777777" w:rsidR="00F86B13" w:rsidRDefault="00F86B13" w:rsidP="00F86B13">
      <w:pPr>
        <w:pStyle w:val="BodyText"/>
      </w:pPr>
      <w:r>
        <w:t xml:space="preserve">While the above analysis demonstrates that offshore international education is associated with smaller levels of economic activity in Australia than onshore international education, </w:t>
      </w:r>
      <w:r w:rsidR="00F21DE6">
        <w:t xml:space="preserve">it is a sector that has the potential to grow in the future as Australian university business models mature. </w:t>
      </w:r>
      <w:r>
        <w:t xml:space="preserve">Further, given that the majority of the value of </w:t>
      </w:r>
      <w:proofErr w:type="spellStart"/>
      <w:r>
        <w:t>GOS</w:t>
      </w:r>
      <w:proofErr w:type="spellEnd"/>
      <w:r>
        <w:t xml:space="preserve"> from these operations is ultimately repatriated to Australia, offshore international education represents a significant windfall to national income. </w:t>
      </w:r>
    </w:p>
    <w:p w14:paraId="5FC3F905" w14:textId="77777777" w:rsidR="00F86B13" w:rsidRDefault="00F86B13" w:rsidP="00F86B13">
      <w:pPr>
        <w:pStyle w:val="BodyText"/>
      </w:pPr>
      <w:r>
        <w:t xml:space="preserve">Importantly, this windfall occurs without the utilisation of scarce capital and labour resources in Australia and is generally uninhibited by supply and capacity constraints which may exist locally in Australia. Hence, while the multiplier on fee revenue offshore to value added in Australia is lower than for onshore revenue, their economic contributions should be seen as being distinct in nature. </w:t>
      </w:r>
    </w:p>
    <w:p w14:paraId="7C351DB6" w14:textId="77777777" w:rsidR="00F86B13" w:rsidRDefault="00F86B13" w:rsidP="00F86B13">
      <w:pPr>
        <w:pStyle w:val="BodyText"/>
      </w:pPr>
      <w:r>
        <w:t>There are opportunities for significant value added contributions to be made by international education offshore as the sector continues to grow into the future, uninhibited by supply constraints that may arise locally for onshore delivery. Indeed, it should be noted that revenue growth in one sector does not generally inhibit growth in the other.</w:t>
      </w:r>
    </w:p>
    <w:p w14:paraId="1CC1DAB6" w14:textId="77777777" w:rsidR="00F86B13" w:rsidRDefault="00F86B13" w:rsidP="00F86B13">
      <w:pPr>
        <w:pStyle w:val="Heading2"/>
      </w:pPr>
      <w:bookmarkStart w:id="127" w:name="_Toc436922206"/>
      <w:bookmarkStart w:id="128" w:name="_Toc450809238"/>
      <w:r>
        <w:t>Contribution by sector</w:t>
      </w:r>
      <w:bookmarkEnd w:id="127"/>
      <w:bookmarkEnd w:id="128"/>
    </w:p>
    <w:p w14:paraId="53F03AE1" w14:textId="77777777" w:rsidR="00B0624C" w:rsidRPr="004C6F48" w:rsidRDefault="00F86B13" w:rsidP="00B0624C">
      <w:pPr>
        <w:pStyle w:val="BodyText"/>
        <w:rPr>
          <w:lang w:eastAsia="en-AU"/>
        </w:rPr>
      </w:pPr>
      <w:r w:rsidRPr="004C6F48">
        <w:rPr>
          <w:lang w:eastAsia="en-AU"/>
        </w:rPr>
        <w:t>ABS data at the national level breaks down</w:t>
      </w:r>
      <w:r>
        <w:rPr>
          <w:lang w:eastAsia="en-AU"/>
        </w:rPr>
        <w:t xml:space="preserve"> total export revenue of $18.2 billion from education related personal travel into fees, and goods and services for the relevant</w:t>
      </w:r>
      <w:r w:rsidRPr="004C6F48">
        <w:rPr>
          <w:lang w:eastAsia="en-AU"/>
        </w:rPr>
        <w:t xml:space="preserve"> education categories. In particular, this section will focus on</w:t>
      </w:r>
      <w:r>
        <w:rPr>
          <w:lang w:eastAsia="en-AU"/>
        </w:rPr>
        <w:t xml:space="preserve"> the contribution of the</w:t>
      </w:r>
      <w:r w:rsidRPr="004C6F48">
        <w:rPr>
          <w:lang w:eastAsia="en-AU"/>
        </w:rPr>
        <w:t xml:space="preserve"> Higher Education, VET, Schools, </w:t>
      </w:r>
      <w:proofErr w:type="spellStart"/>
      <w:r w:rsidRPr="004C6F48">
        <w:rPr>
          <w:lang w:eastAsia="en-AU"/>
        </w:rPr>
        <w:t>SV</w:t>
      </w:r>
      <w:proofErr w:type="spellEnd"/>
      <w:r w:rsidRPr="004C6F48">
        <w:rPr>
          <w:lang w:eastAsia="en-AU"/>
        </w:rPr>
        <w:t xml:space="preserve"> </w:t>
      </w:r>
      <w:proofErr w:type="spellStart"/>
      <w:r w:rsidRPr="004C6F48">
        <w:rPr>
          <w:lang w:eastAsia="en-AU"/>
        </w:rPr>
        <w:t>ELICOS</w:t>
      </w:r>
      <w:proofErr w:type="spellEnd"/>
      <w:r w:rsidRPr="004C6F48">
        <w:rPr>
          <w:lang w:eastAsia="en-AU"/>
        </w:rPr>
        <w:t xml:space="preserve"> and non-award</w:t>
      </w:r>
      <w:r>
        <w:rPr>
          <w:lang w:eastAsia="en-AU"/>
        </w:rPr>
        <w:t xml:space="preserve"> sectors</w:t>
      </w:r>
      <w:r w:rsidRPr="004C6F48">
        <w:rPr>
          <w:lang w:eastAsia="en-AU"/>
        </w:rPr>
        <w:t>.</w:t>
      </w:r>
      <w:r w:rsidRPr="004C6F48">
        <w:rPr>
          <w:rStyle w:val="FootnoteReference"/>
        </w:rPr>
        <w:footnoteReference w:id="10"/>
      </w:r>
      <w:r w:rsidRPr="004C6F48">
        <w:rPr>
          <w:lang w:eastAsia="en-AU"/>
        </w:rPr>
        <w:t xml:space="preserve">  In </w:t>
      </w:r>
      <w:r w:rsidRPr="003B260D">
        <w:rPr>
          <w:lang w:eastAsia="en-AU"/>
        </w:rPr>
        <w:t>2014</w:t>
      </w:r>
      <w:r w:rsidRPr="00DE2131">
        <w:rPr>
          <w:lang w:eastAsia="en-AU"/>
        </w:rPr>
        <w:t>-15</w:t>
      </w:r>
      <w:r w:rsidRPr="004C6F48">
        <w:rPr>
          <w:lang w:eastAsia="en-AU"/>
        </w:rPr>
        <w:t>, Higher Education was the</w:t>
      </w:r>
      <w:r>
        <w:rPr>
          <w:lang w:eastAsia="en-AU"/>
        </w:rPr>
        <w:t xml:space="preserve"> single</w:t>
      </w:r>
      <w:r w:rsidRPr="004C6F48">
        <w:rPr>
          <w:lang w:eastAsia="en-AU"/>
        </w:rPr>
        <w:t xml:space="preserve"> largest contribut</w:t>
      </w:r>
      <w:r>
        <w:rPr>
          <w:lang w:eastAsia="en-AU"/>
        </w:rPr>
        <w:t xml:space="preserve">ing sector to Australia as measured by economic </w:t>
      </w:r>
      <w:r w:rsidR="00B0624C">
        <w:rPr>
          <w:lang w:eastAsia="en-AU"/>
        </w:rPr>
        <w:t>contribution</w:t>
      </w:r>
      <w:r w:rsidR="00B0624C" w:rsidRPr="004C6F48">
        <w:rPr>
          <w:lang w:eastAsia="en-AU"/>
        </w:rPr>
        <w:t xml:space="preserve">, </w:t>
      </w:r>
      <w:r w:rsidR="00B0624C">
        <w:rPr>
          <w:lang w:eastAsia="en-AU"/>
        </w:rPr>
        <w:t xml:space="preserve">with total value added equal to $11.1 billion. It also supported approximately 76,700 FTE jobs. The contribution of the Higher Education sector is approximately 70% of the total mode 2 contributions, despite </w:t>
      </w:r>
      <w:r w:rsidR="00B0624C" w:rsidRPr="004C6F48">
        <w:rPr>
          <w:lang w:eastAsia="en-AU"/>
        </w:rPr>
        <w:t>making up only 46% of</w:t>
      </w:r>
      <w:r w:rsidR="00B0624C">
        <w:rPr>
          <w:lang w:eastAsia="en-AU"/>
        </w:rPr>
        <w:t xml:space="preserve"> total</w:t>
      </w:r>
      <w:r w:rsidR="00B0624C" w:rsidRPr="004C6F48">
        <w:rPr>
          <w:lang w:eastAsia="en-AU"/>
        </w:rPr>
        <w:t xml:space="preserve"> student</w:t>
      </w:r>
      <w:r w:rsidR="00B0624C">
        <w:rPr>
          <w:lang w:eastAsia="en-AU"/>
        </w:rPr>
        <w:t xml:space="preserve"> enrolment</w:t>
      </w:r>
      <w:r w:rsidR="00B0624C" w:rsidRPr="004C6F48">
        <w:rPr>
          <w:lang w:eastAsia="en-AU"/>
        </w:rPr>
        <w:t xml:space="preserve"> numbers</w:t>
      </w:r>
      <w:r w:rsidR="00B0624C">
        <w:rPr>
          <w:lang w:eastAsia="en-AU"/>
        </w:rPr>
        <w:t xml:space="preserve"> (</w:t>
      </w:r>
      <w:proofErr w:type="spellStart"/>
      <w:r w:rsidR="00B0624C">
        <w:rPr>
          <w:lang w:eastAsia="en-AU"/>
        </w:rPr>
        <w:t>DET</w:t>
      </w:r>
      <w:proofErr w:type="spellEnd"/>
      <w:r w:rsidR="00B0624C">
        <w:rPr>
          <w:lang w:eastAsia="en-AU"/>
        </w:rPr>
        <w:t xml:space="preserve"> 2014). The sector’s significant</w:t>
      </w:r>
      <w:r w:rsidR="00B0624C" w:rsidRPr="004C6F48">
        <w:rPr>
          <w:lang w:eastAsia="en-AU"/>
        </w:rPr>
        <w:t xml:space="preserve"> contribution </w:t>
      </w:r>
      <w:r w:rsidR="00B0624C">
        <w:rPr>
          <w:lang w:eastAsia="en-AU"/>
        </w:rPr>
        <w:t xml:space="preserve">is </w:t>
      </w:r>
      <w:r w:rsidR="00B0624C" w:rsidRPr="004C6F48">
        <w:rPr>
          <w:lang w:eastAsia="en-AU"/>
        </w:rPr>
        <w:t>driven by</w:t>
      </w:r>
      <w:r w:rsidR="00B0624C">
        <w:rPr>
          <w:lang w:eastAsia="en-AU"/>
        </w:rPr>
        <w:t xml:space="preserve"> a combination of </w:t>
      </w:r>
      <w:r w:rsidR="00B0624C">
        <w:rPr>
          <w:lang w:eastAsia="en-AU"/>
        </w:rPr>
        <w:lastRenderedPageBreak/>
        <w:t xml:space="preserve">average higher fees, and longer </w:t>
      </w:r>
      <w:r w:rsidR="00B0624C" w:rsidRPr="004C6F48">
        <w:rPr>
          <w:lang w:eastAsia="en-AU"/>
        </w:rPr>
        <w:t>length</w:t>
      </w:r>
      <w:r w:rsidR="00B0624C">
        <w:rPr>
          <w:lang w:eastAsia="en-AU"/>
        </w:rPr>
        <w:t>s of stay by students. This is followed by the VET sector, which makes up 21% of student enrolments and 16% of total contributions.</w:t>
      </w:r>
    </w:p>
    <w:p w14:paraId="420F9D82" w14:textId="77777777" w:rsidR="00F86B13" w:rsidRPr="004C6F48" w:rsidRDefault="00B0624C" w:rsidP="00F86B13">
      <w:pPr>
        <w:pStyle w:val="BodyText"/>
        <w:rPr>
          <w:lang w:eastAsia="en-AU"/>
        </w:rPr>
      </w:pPr>
      <w:r>
        <w:rPr>
          <w:lang w:eastAsia="en-AU"/>
        </w:rPr>
        <w:t>W</w:t>
      </w:r>
      <w:r w:rsidRPr="00D01EC5">
        <w:rPr>
          <w:lang w:eastAsia="en-AU"/>
        </w:rPr>
        <w:t xml:space="preserve">hile </w:t>
      </w:r>
      <w:proofErr w:type="spellStart"/>
      <w:r w:rsidRPr="00D01EC5">
        <w:rPr>
          <w:lang w:eastAsia="en-AU"/>
        </w:rPr>
        <w:t>SV</w:t>
      </w:r>
      <w:proofErr w:type="spellEnd"/>
      <w:r w:rsidRPr="00D01EC5">
        <w:rPr>
          <w:lang w:eastAsia="en-AU"/>
        </w:rPr>
        <w:t xml:space="preserve"> </w:t>
      </w:r>
      <w:proofErr w:type="spellStart"/>
      <w:r w:rsidRPr="00D01EC5">
        <w:rPr>
          <w:lang w:eastAsia="en-AU"/>
        </w:rPr>
        <w:t>ELICOS</w:t>
      </w:r>
      <w:proofErr w:type="spellEnd"/>
      <w:r w:rsidRPr="00D01EC5">
        <w:rPr>
          <w:lang w:eastAsia="en-AU"/>
        </w:rPr>
        <w:t xml:space="preserve"> makes up a </w:t>
      </w:r>
      <w:r w:rsidRPr="003B260D">
        <w:rPr>
          <w:lang w:eastAsia="en-AU"/>
        </w:rPr>
        <w:t>23%</w:t>
      </w:r>
      <w:r w:rsidRPr="00D01EC5">
        <w:rPr>
          <w:lang w:eastAsia="en-AU"/>
        </w:rPr>
        <w:t xml:space="preserve"> of total student enrolments, it contributed </w:t>
      </w:r>
      <w:r w:rsidRPr="003B260D">
        <w:rPr>
          <w:lang w:eastAsia="en-AU"/>
        </w:rPr>
        <w:t xml:space="preserve">to only </w:t>
      </w:r>
      <w:r>
        <w:rPr>
          <w:lang w:eastAsia="en-AU"/>
        </w:rPr>
        <w:t>6</w:t>
      </w:r>
      <w:r w:rsidRPr="003B260D">
        <w:rPr>
          <w:lang w:eastAsia="en-AU"/>
        </w:rPr>
        <w:t>% of total contributions</w:t>
      </w:r>
      <w:r>
        <w:rPr>
          <w:lang w:eastAsia="en-AU"/>
        </w:rPr>
        <w:t xml:space="preserve"> (</w:t>
      </w:r>
      <w:r>
        <w:rPr>
          <w:lang w:eastAsia="en-AU"/>
        </w:rPr>
        <w:fldChar w:fldCharType="begin"/>
      </w:r>
      <w:r>
        <w:rPr>
          <w:lang w:eastAsia="en-AU"/>
        </w:rPr>
        <w:instrText xml:space="preserve"> REF _Ref437282443 \r \h </w:instrText>
      </w:r>
      <w:r>
        <w:rPr>
          <w:lang w:eastAsia="en-AU"/>
        </w:rPr>
      </w:r>
      <w:r>
        <w:rPr>
          <w:lang w:eastAsia="en-AU"/>
        </w:rPr>
        <w:fldChar w:fldCharType="separate"/>
      </w:r>
      <w:r w:rsidR="00F03FA0">
        <w:rPr>
          <w:lang w:eastAsia="en-AU"/>
        </w:rPr>
        <w:t>Chart 3.1</w:t>
      </w:r>
      <w:r>
        <w:rPr>
          <w:lang w:eastAsia="en-AU"/>
        </w:rPr>
        <w:fldChar w:fldCharType="end"/>
      </w:r>
      <w:r>
        <w:rPr>
          <w:lang w:eastAsia="en-AU"/>
        </w:rPr>
        <w:t>)</w:t>
      </w:r>
      <w:r w:rsidRPr="003B260D">
        <w:rPr>
          <w:lang w:eastAsia="en-AU"/>
        </w:rPr>
        <w:t xml:space="preserve">. The </w:t>
      </w:r>
      <w:r>
        <w:rPr>
          <w:lang w:eastAsia="en-AU"/>
        </w:rPr>
        <w:t>result is driven by the relatively shorter lengths of the average enrolment, and lower average fees compared to the tertiary sectors.</w:t>
      </w:r>
    </w:p>
    <w:p w14:paraId="6C1A60E9" w14:textId="77777777" w:rsidR="00F86B13" w:rsidRDefault="00F86B13" w:rsidP="00163EA3">
      <w:pPr>
        <w:pStyle w:val="CaptionChart"/>
        <w:outlineLvl w:val="0"/>
        <w:rPr>
          <w:lang w:eastAsia="en-AU"/>
        </w:rPr>
      </w:pPr>
      <w:bookmarkStart w:id="129" w:name="_Ref437282443"/>
      <w:bookmarkStart w:id="130" w:name="_Toc450809271"/>
      <w:r>
        <w:rPr>
          <w:lang w:eastAsia="en-AU"/>
        </w:rPr>
        <w:t xml:space="preserve">: </w:t>
      </w:r>
      <w:r>
        <w:t>Total value added  by education sector, 2014-15</w:t>
      </w:r>
      <w:bookmarkEnd w:id="129"/>
      <w:bookmarkEnd w:id="130"/>
    </w:p>
    <w:p w14:paraId="4B04BEEF" w14:textId="77777777" w:rsidR="00F86B13" w:rsidRDefault="00B0624C" w:rsidP="00F86B13">
      <w:pPr>
        <w:pStyle w:val="BodyText"/>
        <w:rPr>
          <w:lang w:eastAsia="en-AU"/>
        </w:rPr>
      </w:pPr>
      <w:r w:rsidRPr="007932D0">
        <w:rPr>
          <w:noProof/>
          <w:lang w:eastAsia="en-AU"/>
        </w:rPr>
        <w:drawing>
          <wp:inline distT="0" distB="0" distL="0" distR="0" wp14:anchorId="4E597F9B" wp14:editId="68E8E463">
            <wp:extent cx="4758182" cy="2556000"/>
            <wp:effectExtent l="0" t="0" r="0" b="9525"/>
            <wp:docPr id="19" name="Picture 19" descr="The chart shows the total value added by education sector in financial year 2014–15." title="Chart 3.1: Total value added by education sector,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58182" cy="2556000"/>
                    </a:xfrm>
                    <a:prstGeom prst="rect">
                      <a:avLst/>
                    </a:prstGeom>
                    <a:noFill/>
                    <a:ln>
                      <a:noFill/>
                    </a:ln>
                  </pic:spPr>
                </pic:pic>
              </a:graphicData>
            </a:graphic>
          </wp:inline>
        </w:drawing>
      </w:r>
    </w:p>
    <w:p w14:paraId="101DAD12" w14:textId="77777777" w:rsidR="00F86B13" w:rsidRDefault="00F86B13" w:rsidP="00163EA3">
      <w:pPr>
        <w:pStyle w:val="Source"/>
        <w:keepNext/>
        <w:keepLines/>
        <w:contextualSpacing/>
        <w:outlineLvl w:val="0"/>
      </w:pPr>
      <w:r>
        <w:t>Source: Deloitte Access Economics</w:t>
      </w:r>
      <w:r w:rsidR="00285257">
        <w:t>.</w:t>
      </w:r>
    </w:p>
    <w:p w14:paraId="5D8541A3" w14:textId="77777777" w:rsidR="00F86B13" w:rsidRDefault="00F86B13" w:rsidP="00F86B13">
      <w:pPr>
        <w:pStyle w:val="BodyText"/>
        <w:rPr>
          <w:lang w:eastAsia="en-AU"/>
        </w:rPr>
      </w:pPr>
    </w:p>
    <w:p w14:paraId="5C33E999" w14:textId="77777777" w:rsidR="00F86B13" w:rsidRDefault="008539C7" w:rsidP="00F86B13">
      <w:pPr>
        <w:pStyle w:val="BodyText"/>
        <w:rPr>
          <w:lang w:eastAsia="en-AU"/>
        </w:rPr>
      </w:pPr>
      <w:r>
        <w:rPr>
          <w:lang w:eastAsia="en-AU"/>
        </w:rPr>
        <w:fldChar w:fldCharType="begin"/>
      </w:r>
      <w:r>
        <w:rPr>
          <w:lang w:eastAsia="en-AU"/>
        </w:rPr>
        <w:instrText xml:space="preserve"> REF _Ref437337685 \r \h </w:instrText>
      </w:r>
      <w:r>
        <w:rPr>
          <w:lang w:eastAsia="en-AU"/>
        </w:rPr>
      </w:r>
      <w:r>
        <w:rPr>
          <w:lang w:eastAsia="en-AU"/>
        </w:rPr>
        <w:fldChar w:fldCharType="separate"/>
      </w:r>
      <w:r w:rsidR="00F03FA0">
        <w:rPr>
          <w:lang w:eastAsia="en-AU"/>
        </w:rPr>
        <w:t>Table 3.3</w:t>
      </w:r>
      <w:r>
        <w:rPr>
          <w:lang w:eastAsia="en-AU"/>
        </w:rPr>
        <w:fldChar w:fldCharType="end"/>
      </w:r>
      <w:r w:rsidR="00F86B13">
        <w:rPr>
          <w:lang w:eastAsia="en-AU"/>
        </w:rPr>
        <w:t xml:space="preserve"> gives the breakdown of contribution results by education sector in financial year 2014-15.</w:t>
      </w:r>
    </w:p>
    <w:p w14:paraId="4E957530" w14:textId="77777777" w:rsidR="00F86B13" w:rsidRDefault="00F86B13" w:rsidP="00163EA3">
      <w:pPr>
        <w:pStyle w:val="CaptionTable"/>
        <w:outlineLvl w:val="0"/>
      </w:pPr>
      <w:bookmarkStart w:id="131" w:name="_Toc436922238"/>
      <w:bookmarkStart w:id="132" w:name="_Ref437337685"/>
      <w:bookmarkStart w:id="133" w:name="_Toc450809284"/>
      <w:r>
        <w:lastRenderedPageBreak/>
        <w:t>: Contribution summary by sector, 2014-15</w:t>
      </w:r>
      <w:bookmarkEnd w:id="131"/>
      <w:bookmarkEnd w:id="132"/>
      <w:bookmarkEnd w:id="133"/>
    </w:p>
    <w:tbl>
      <w:tblPr>
        <w:tblW w:w="5000" w:type="pct"/>
        <w:tblLayout w:type="fixed"/>
        <w:tblLook w:val="04A0" w:firstRow="1" w:lastRow="0" w:firstColumn="1" w:lastColumn="0" w:noHBand="0" w:noVBand="1"/>
        <w:tblCaption w:val="Table 3.3: Contribution summary by sector, 2014–15"/>
        <w:tblDescription w:val="The table shows the breakdown of contribution by education sector in financial year 2014–15."/>
      </w:tblPr>
      <w:tblGrid>
        <w:gridCol w:w="1808"/>
        <w:gridCol w:w="994"/>
        <w:gridCol w:w="849"/>
        <w:gridCol w:w="1276"/>
        <w:gridCol w:w="1134"/>
        <w:gridCol w:w="1250"/>
        <w:gridCol w:w="1125"/>
      </w:tblGrid>
      <w:tr w:rsidR="00F86B13" w:rsidRPr="00821EC8" w14:paraId="55801AB1" w14:textId="77777777" w:rsidTr="006772A3">
        <w:trPr>
          <w:trHeight w:val="270"/>
        </w:trPr>
        <w:tc>
          <w:tcPr>
            <w:tcW w:w="1072" w:type="pct"/>
            <w:tcBorders>
              <w:top w:val="single" w:sz="18" w:space="0" w:color="002776"/>
              <w:left w:val="nil"/>
              <w:bottom w:val="single" w:sz="4" w:space="0" w:color="002776"/>
              <w:right w:val="nil"/>
            </w:tcBorders>
            <w:shd w:val="clear" w:color="auto" w:fill="auto"/>
            <w:noWrap/>
            <w:vAlign w:val="bottom"/>
            <w:hideMark/>
          </w:tcPr>
          <w:p w14:paraId="56BD8DC6" w14:textId="77777777" w:rsidR="00F86B13" w:rsidRPr="000349C1" w:rsidRDefault="00F86B13" w:rsidP="006772A3">
            <w:pPr>
              <w:keepNext/>
              <w:keepLines/>
              <w:rPr>
                <w:rFonts w:cs="Arial"/>
                <w:szCs w:val="22"/>
                <w:lang w:eastAsia="en-AU"/>
              </w:rPr>
            </w:pPr>
            <w:r w:rsidRPr="000349C1">
              <w:rPr>
                <w:rFonts w:cs="Arial"/>
                <w:szCs w:val="22"/>
                <w:lang w:eastAsia="en-AU"/>
              </w:rPr>
              <w:t> </w:t>
            </w:r>
          </w:p>
        </w:tc>
        <w:tc>
          <w:tcPr>
            <w:tcW w:w="589" w:type="pct"/>
            <w:tcBorders>
              <w:top w:val="single" w:sz="18" w:space="0" w:color="002776"/>
              <w:left w:val="nil"/>
              <w:bottom w:val="single" w:sz="4" w:space="0" w:color="002776"/>
              <w:right w:val="nil"/>
            </w:tcBorders>
            <w:shd w:val="clear" w:color="auto" w:fill="auto"/>
            <w:noWrap/>
            <w:vAlign w:val="bottom"/>
            <w:hideMark/>
          </w:tcPr>
          <w:p w14:paraId="40F4CEE1" w14:textId="77777777" w:rsidR="00F86B13" w:rsidRPr="000349C1" w:rsidRDefault="00F86B13" w:rsidP="000349C1">
            <w:pPr>
              <w:keepNext/>
              <w:keepLines/>
              <w:jc w:val="center"/>
              <w:rPr>
                <w:rFonts w:cs="Arial"/>
                <w:b/>
                <w:bCs/>
                <w:color w:val="002776"/>
                <w:szCs w:val="22"/>
                <w:lang w:eastAsia="en-AU"/>
              </w:rPr>
            </w:pPr>
            <w:r w:rsidRPr="000349C1">
              <w:rPr>
                <w:rFonts w:cs="Arial"/>
                <w:b/>
                <w:bCs/>
                <w:color w:val="002776"/>
                <w:szCs w:val="22"/>
                <w:lang w:eastAsia="en-AU"/>
              </w:rPr>
              <w:t>HE</w:t>
            </w:r>
          </w:p>
        </w:tc>
        <w:tc>
          <w:tcPr>
            <w:tcW w:w="503" w:type="pct"/>
            <w:tcBorders>
              <w:top w:val="single" w:sz="18" w:space="0" w:color="002776"/>
              <w:left w:val="nil"/>
              <w:bottom w:val="single" w:sz="4" w:space="0" w:color="002776"/>
              <w:right w:val="nil"/>
            </w:tcBorders>
            <w:shd w:val="clear" w:color="auto" w:fill="auto"/>
            <w:noWrap/>
            <w:vAlign w:val="bottom"/>
            <w:hideMark/>
          </w:tcPr>
          <w:p w14:paraId="0AB16170" w14:textId="77777777" w:rsidR="00F86B13" w:rsidRPr="000349C1" w:rsidRDefault="00F86B13" w:rsidP="000349C1">
            <w:pPr>
              <w:keepNext/>
              <w:keepLines/>
              <w:jc w:val="center"/>
              <w:rPr>
                <w:rFonts w:cs="Arial"/>
                <w:b/>
                <w:bCs/>
                <w:color w:val="002776"/>
                <w:szCs w:val="22"/>
                <w:lang w:eastAsia="en-AU"/>
              </w:rPr>
            </w:pPr>
            <w:r w:rsidRPr="000349C1">
              <w:rPr>
                <w:rFonts w:cs="Arial"/>
                <w:b/>
                <w:bCs/>
                <w:color w:val="002776"/>
                <w:szCs w:val="22"/>
                <w:lang w:eastAsia="en-AU"/>
              </w:rPr>
              <w:t>VET</w:t>
            </w:r>
          </w:p>
        </w:tc>
        <w:tc>
          <w:tcPr>
            <w:tcW w:w="756" w:type="pct"/>
            <w:tcBorders>
              <w:top w:val="single" w:sz="18" w:space="0" w:color="002776"/>
              <w:left w:val="nil"/>
              <w:bottom w:val="single" w:sz="4" w:space="0" w:color="002776"/>
              <w:right w:val="nil"/>
            </w:tcBorders>
            <w:shd w:val="clear" w:color="auto" w:fill="auto"/>
            <w:noWrap/>
            <w:vAlign w:val="bottom"/>
            <w:hideMark/>
          </w:tcPr>
          <w:p w14:paraId="51F3B50B" w14:textId="77777777" w:rsidR="00F86B13" w:rsidRPr="000349C1" w:rsidRDefault="00F86B13" w:rsidP="000349C1">
            <w:pPr>
              <w:keepNext/>
              <w:keepLines/>
              <w:jc w:val="center"/>
              <w:rPr>
                <w:rFonts w:cs="Arial"/>
                <w:b/>
                <w:bCs/>
                <w:color w:val="002776"/>
                <w:szCs w:val="22"/>
                <w:lang w:eastAsia="en-AU"/>
              </w:rPr>
            </w:pPr>
            <w:r w:rsidRPr="000349C1">
              <w:rPr>
                <w:rFonts w:cs="Arial"/>
                <w:b/>
                <w:bCs/>
                <w:color w:val="002776"/>
                <w:szCs w:val="22"/>
                <w:lang w:eastAsia="en-AU"/>
              </w:rPr>
              <w:t>Schools</w:t>
            </w:r>
          </w:p>
        </w:tc>
        <w:tc>
          <w:tcPr>
            <w:tcW w:w="672" w:type="pct"/>
            <w:tcBorders>
              <w:top w:val="single" w:sz="18" w:space="0" w:color="002776"/>
              <w:left w:val="nil"/>
              <w:bottom w:val="single" w:sz="4" w:space="0" w:color="002776"/>
              <w:right w:val="nil"/>
            </w:tcBorders>
            <w:shd w:val="clear" w:color="auto" w:fill="auto"/>
            <w:noWrap/>
            <w:vAlign w:val="bottom"/>
            <w:hideMark/>
          </w:tcPr>
          <w:p w14:paraId="0D75390C" w14:textId="77777777" w:rsidR="00F86B13" w:rsidRPr="000349C1" w:rsidRDefault="00F86B13" w:rsidP="000349C1">
            <w:pPr>
              <w:keepNext/>
              <w:keepLines/>
              <w:jc w:val="center"/>
              <w:rPr>
                <w:rFonts w:cs="Arial"/>
                <w:b/>
                <w:bCs/>
                <w:color w:val="002776"/>
                <w:szCs w:val="22"/>
                <w:lang w:eastAsia="en-AU"/>
              </w:rPr>
            </w:pPr>
            <w:proofErr w:type="spellStart"/>
            <w:r w:rsidRPr="000349C1">
              <w:rPr>
                <w:rFonts w:cs="Arial"/>
                <w:b/>
                <w:bCs/>
                <w:color w:val="002776"/>
                <w:szCs w:val="22"/>
                <w:lang w:eastAsia="en-AU"/>
              </w:rPr>
              <w:t>SV</w:t>
            </w:r>
            <w:proofErr w:type="spellEnd"/>
            <w:r w:rsidRPr="000349C1">
              <w:rPr>
                <w:rFonts w:cs="Arial"/>
                <w:b/>
                <w:bCs/>
                <w:color w:val="002776"/>
                <w:szCs w:val="22"/>
                <w:lang w:eastAsia="en-AU"/>
              </w:rPr>
              <w:t xml:space="preserve"> </w:t>
            </w:r>
            <w:proofErr w:type="spellStart"/>
            <w:r w:rsidRPr="000349C1">
              <w:rPr>
                <w:rFonts w:cs="Arial"/>
                <w:b/>
                <w:bCs/>
                <w:color w:val="002776"/>
                <w:szCs w:val="22"/>
                <w:lang w:eastAsia="en-AU"/>
              </w:rPr>
              <w:t>ELICOS</w:t>
            </w:r>
            <w:proofErr w:type="spellEnd"/>
          </w:p>
        </w:tc>
        <w:tc>
          <w:tcPr>
            <w:tcW w:w="741" w:type="pct"/>
            <w:tcBorders>
              <w:top w:val="single" w:sz="18" w:space="0" w:color="002776"/>
              <w:left w:val="nil"/>
              <w:bottom w:val="single" w:sz="4" w:space="0" w:color="002776"/>
              <w:right w:val="nil"/>
            </w:tcBorders>
            <w:shd w:val="clear" w:color="auto" w:fill="auto"/>
            <w:noWrap/>
            <w:vAlign w:val="bottom"/>
            <w:hideMark/>
          </w:tcPr>
          <w:p w14:paraId="651A30DD" w14:textId="77777777" w:rsidR="00F86B13" w:rsidRPr="000349C1" w:rsidRDefault="00F86B13" w:rsidP="000349C1">
            <w:pPr>
              <w:keepNext/>
              <w:keepLines/>
              <w:jc w:val="center"/>
              <w:rPr>
                <w:rFonts w:cs="Arial"/>
                <w:b/>
                <w:bCs/>
                <w:color w:val="002776"/>
                <w:szCs w:val="22"/>
                <w:lang w:eastAsia="en-AU"/>
              </w:rPr>
            </w:pPr>
            <w:r w:rsidRPr="000349C1">
              <w:rPr>
                <w:rFonts w:cs="Arial"/>
                <w:b/>
                <w:bCs/>
                <w:color w:val="002776"/>
                <w:szCs w:val="22"/>
                <w:lang w:eastAsia="en-AU"/>
              </w:rPr>
              <w:t>Non-award</w:t>
            </w:r>
          </w:p>
        </w:tc>
        <w:tc>
          <w:tcPr>
            <w:tcW w:w="667" w:type="pct"/>
            <w:tcBorders>
              <w:top w:val="single" w:sz="18" w:space="0" w:color="002776"/>
              <w:left w:val="nil"/>
              <w:bottom w:val="single" w:sz="4" w:space="0" w:color="002776"/>
              <w:right w:val="nil"/>
            </w:tcBorders>
            <w:shd w:val="clear" w:color="auto" w:fill="auto"/>
            <w:noWrap/>
            <w:vAlign w:val="bottom"/>
            <w:hideMark/>
          </w:tcPr>
          <w:p w14:paraId="38D16E45" w14:textId="77777777" w:rsidR="00F86B13" w:rsidRPr="000349C1" w:rsidRDefault="00F86B13" w:rsidP="000349C1">
            <w:pPr>
              <w:keepNext/>
              <w:keepLines/>
              <w:jc w:val="center"/>
              <w:rPr>
                <w:rFonts w:cs="Arial"/>
                <w:b/>
                <w:bCs/>
                <w:color w:val="002776"/>
                <w:szCs w:val="22"/>
                <w:lang w:eastAsia="en-AU"/>
              </w:rPr>
            </w:pPr>
            <w:r w:rsidRPr="000349C1">
              <w:rPr>
                <w:rFonts w:cs="Arial"/>
                <w:b/>
                <w:bCs/>
                <w:color w:val="002776"/>
                <w:szCs w:val="22"/>
                <w:lang w:eastAsia="en-AU"/>
              </w:rPr>
              <w:t>Total*</w:t>
            </w:r>
          </w:p>
        </w:tc>
      </w:tr>
      <w:tr w:rsidR="00F86B13" w:rsidRPr="00821EC8" w14:paraId="79E5D2DA" w14:textId="77777777" w:rsidTr="006772A3">
        <w:trPr>
          <w:trHeight w:val="255"/>
        </w:trPr>
        <w:tc>
          <w:tcPr>
            <w:tcW w:w="1072" w:type="pct"/>
            <w:tcBorders>
              <w:top w:val="nil"/>
              <w:left w:val="nil"/>
              <w:bottom w:val="nil"/>
              <w:right w:val="nil"/>
            </w:tcBorders>
            <w:shd w:val="clear" w:color="000000" w:fill="B0CAFF"/>
            <w:noWrap/>
            <w:vAlign w:val="bottom"/>
            <w:hideMark/>
          </w:tcPr>
          <w:p w14:paraId="2E8CD909" w14:textId="77777777" w:rsidR="00F86B13" w:rsidRPr="00A0328A" w:rsidRDefault="00F86B13" w:rsidP="006772A3">
            <w:pPr>
              <w:keepNext/>
              <w:keepLines/>
              <w:rPr>
                <w:rFonts w:cs="Arial"/>
                <w:i/>
                <w:iCs/>
                <w:sz w:val="20"/>
                <w:lang w:eastAsia="en-AU"/>
              </w:rPr>
            </w:pPr>
            <w:r w:rsidRPr="00A0328A">
              <w:rPr>
                <w:rFonts w:cs="Arial"/>
                <w:i/>
                <w:iCs/>
                <w:sz w:val="20"/>
                <w:lang w:eastAsia="en-AU"/>
              </w:rPr>
              <w:t>Export revenue</w:t>
            </w:r>
          </w:p>
        </w:tc>
        <w:tc>
          <w:tcPr>
            <w:tcW w:w="589" w:type="pct"/>
            <w:tcBorders>
              <w:top w:val="nil"/>
              <w:left w:val="nil"/>
              <w:bottom w:val="nil"/>
              <w:right w:val="nil"/>
            </w:tcBorders>
            <w:shd w:val="clear" w:color="000000" w:fill="B0CAFF"/>
            <w:noWrap/>
            <w:vAlign w:val="bottom"/>
            <w:hideMark/>
          </w:tcPr>
          <w:p w14:paraId="6C6EF4D9" w14:textId="77777777" w:rsidR="00F86B13" w:rsidRPr="00D703A4" w:rsidRDefault="00F86B13" w:rsidP="006772A3">
            <w:pPr>
              <w:keepNext/>
              <w:keepLines/>
              <w:rPr>
                <w:rFonts w:cs="Arial"/>
                <w:i/>
                <w:iCs/>
                <w:sz w:val="20"/>
                <w:lang w:eastAsia="en-AU"/>
              </w:rPr>
            </w:pPr>
            <w:r w:rsidRPr="00D703A4">
              <w:rPr>
                <w:rFonts w:cs="Arial"/>
                <w:i/>
                <w:iCs/>
                <w:sz w:val="20"/>
                <w:lang w:eastAsia="en-AU"/>
              </w:rPr>
              <w:t> </w:t>
            </w:r>
          </w:p>
        </w:tc>
        <w:tc>
          <w:tcPr>
            <w:tcW w:w="503" w:type="pct"/>
            <w:tcBorders>
              <w:top w:val="nil"/>
              <w:left w:val="nil"/>
              <w:bottom w:val="nil"/>
              <w:right w:val="nil"/>
            </w:tcBorders>
            <w:shd w:val="clear" w:color="000000" w:fill="B0CAFF"/>
            <w:noWrap/>
            <w:vAlign w:val="bottom"/>
            <w:hideMark/>
          </w:tcPr>
          <w:p w14:paraId="77B42D14" w14:textId="77777777" w:rsidR="00F86B13" w:rsidRPr="00D703A4" w:rsidRDefault="00F86B13" w:rsidP="006772A3">
            <w:pPr>
              <w:keepNext/>
              <w:keepLines/>
              <w:rPr>
                <w:rFonts w:cs="Arial"/>
                <w:i/>
                <w:iCs/>
                <w:sz w:val="20"/>
                <w:lang w:eastAsia="en-AU"/>
              </w:rPr>
            </w:pPr>
            <w:r w:rsidRPr="00D703A4">
              <w:rPr>
                <w:rFonts w:cs="Arial"/>
                <w:i/>
                <w:iCs/>
                <w:sz w:val="20"/>
                <w:lang w:eastAsia="en-AU"/>
              </w:rPr>
              <w:t> </w:t>
            </w:r>
          </w:p>
        </w:tc>
        <w:tc>
          <w:tcPr>
            <w:tcW w:w="756" w:type="pct"/>
            <w:tcBorders>
              <w:top w:val="nil"/>
              <w:left w:val="nil"/>
              <w:bottom w:val="nil"/>
              <w:right w:val="nil"/>
            </w:tcBorders>
            <w:shd w:val="clear" w:color="000000" w:fill="B0CAFF"/>
            <w:noWrap/>
            <w:vAlign w:val="bottom"/>
            <w:hideMark/>
          </w:tcPr>
          <w:p w14:paraId="56324908" w14:textId="77777777" w:rsidR="00F86B13" w:rsidRPr="00D703A4" w:rsidRDefault="00F86B13" w:rsidP="006772A3">
            <w:pPr>
              <w:keepNext/>
              <w:keepLines/>
              <w:rPr>
                <w:rFonts w:cs="Arial"/>
                <w:i/>
                <w:iCs/>
                <w:sz w:val="20"/>
                <w:lang w:eastAsia="en-AU"/>
              </w:rPr>
            </w:pPr>
            <w:r w:rsidRPr="00D703A4">
              <w:rPr>
                <w:rFonts w:cs="Arial"/>
                <w:i/>
                <w:iCs/>
                <w:sz w:val="20"/>
                <w:lang w:eastAsia="en-AU"/>
              </w:rPr>
              <w:t> </w:t>
            </w:r>
          </w:p>
        </w:tc>
        <w:tc>
          <w:tcPr>
            <w:tcW w:w="672" w:type="pct"/>
            <w:tcBorders>
              <w:top w:val="nil"/>
              <w:left w:val="nil"/>
              <w:bottom w:val="nil"/>
              <w:right w:val="nil"/>
            </w:tcBorders>
            <w:shd w:val="clear" w:color="000000" w:fill="B0CAFF"/>
            <w:noWrap/>
            <w:vAlign w:val="bottom"/>
            <w:hideMark/>
          </w:tcPr>
          <w:p w14:paraId="62289FFB" w14:textId="77777777" w:rsidR="00F86B13" w:rsidRPr="00D703A4" w:rsidRDefault="00F86B13" w:rsidP="006772A3">
            <w:pPr>
              <w:keepNext/>
              <w:keepLines/>
              <w:rPr>
                <w:rFonts w:cs="Arial"/>
                <w:i/>
                <w:iCs/>
                <w:sz w:val="20"/>
                <w:lang w:eastAsia="en-AU"/>
              </w:rPr>
            </w:pPr>
            <w:r w:rsidRPr="00D703A4">
              <w:rPr>
                <w:rFonts w:cs="Arial"/>
                <w:i/>
                <w:iCs/>
                <w:sz w:val="20"/>
                <w:lang w:eastAsia="en-AU"/>
              </w:rPr>
              <w:t> </w:t>
            </w:r>
          </w:p>
        </w:tc>
        <w:tc>
          <w:tcPr>
            <w:tcW w:w="741" w:type="pct"/>
            <w:tcBorders>
              <w:top w:val="nil"/>
              <w:left w:val="nil"/>
              <w:bottom w:val="nil"/>
              <w:right w:val="nil"/>
            </w:tcBorders>
            <w:shd w:val="clear" w:color="000000" w:fill="B0CAFF"/>
            <w:noWrap/>
            <w:vAlign w:val="bottom"/>
            <w:hideMark/>
          </w:tcPr>
          <w:p w14:paraId="4B8E457C" w14:textId="77777777" w:rsidR="00F86B13" w:rsidRPr="00D703A4" w:rsidRDefault="00F86B13" w:rsidP="006772A3">
            <w:pPr>
              <w:keepNext/>
              <w:keepLines/>
              <w:rPr>
                <w:rFonts w:cs="Arial"/>
                <w:i/>
                <w:iCs/>
                <w:sz w:val="20"/>
                <w:lang w:eastAsia="en-AU"/>
              </w:rPr>
            </w:pPr>
            <w:r w:rsidRPr="00D703A4">
              <w:rPr>
                <w:rFonts w:cs="Arial"/>
                <w:i/>
                <w:iCs/>
                <w:sz w:val="20"/>
                <w:lang w:eastAsia="en-AU"/>
              </w:rPr>
              <w:t> </w:t>
            </w:r>
          </w:p>
        </w:tc>
        <w:tc>
          <w:tcPr>
            <w:tcW w:w="667" w:type="pct"/>
            <w:tcBorders>
              <w:top w:val="nil"/>
              <w:left w:val="nil"/>
              <w:bottom w:val="nil"/>
              <w:right w:val="nil"/>
            </w:tcBorders>
            <w:shd w:val="clear" w:color="000000" w:fill="B0CAFF"/>
            <w:noWrap/>
            <w:vAlign w:val="bottom"/>
            <w:hideMark/>
          </w:tcPr>
          <w:p w14:paraId="2C0C9611" w14:textId="77777777" w:rsidR="00F86B13" w:rsidRPr="00D703A4" w:rsidRDefault="00F86B13" w:rsidP="006772A3">
            <w:pPr>
              <w:keepNext/>
              <w:keepLines/>
              <w:rPr>
                <w:rFonts w:cs="Arial"/>
                <w:i/>
                <w:iCs/>
                <w:sz w:val="20"/>
                <w:lang w:eastAsia="en-AU"/>
              </w:rPr>
            </w:pPr>
            <w:r w:rsidRPr="00D703A4">
              <w:rPr>
                <w:rFonts w:cs="Arial"/>
                <w:i/>
                <w:iCs/>
                <w:sz w:val="20"/>
                <w:lang w:eastAsia="en-AU"/>
              </w:rPr>
              <w:t> </w:t>
            </w:r>
          </w:p>
        </w:tc>
      </w:tr>
      <w:tr w:rsidR="00F86B13" w:rsidRPr="00821EC8" w14:paraId="778272D8" w14:textId="77777777" w:rsidTr="006772A3">
        <w:trPr>
          <w:trHeight w:val="255"/>
        </w:trPr>
        <w:tc>
          <w:tcPr>
            <w:tcW w:w="1072" w:type="pct"/>
            <w:tcBorders>
              <w:top w:val="nil"/>
              <w:left w:val="nil"/>
              <w:bottom w:val="nil"/>
              <w:right w:val="nil"/>
            </w:tcBorders>
            <w:shd w:val="clear" w:color="auto" w:fill="auto"/>
            <w:noWrap/>
            <w:vAlign w:val="bottom"/>
            <w:hideMark/>
          </w:tcPr>
          <w:p w14:paraId="00D6FCBF" w14:textId="77777777" w:rsidR="00F86B13" w:rsidRPr="00A0328A" w:rsidRDefault="00F86B13" w:rsidP="006772A3">
            <w:pPr>
              <w:keepNext/>
              <w:keepLines/>
              <w:rPr>
                <w:rFonts w:cs="Arial"/>
                <w:sz w:val="20"/>
                <w:lang w:eastAsia="en-AU"/>
              </w:rPr>
            </w:pPr>
            <w:r w:rsidRPr="00A0328A">
              <w:rPr>
                <w:rFonts w:cs="Arial"/>
                <w:sz w:val="20"/>
                <w:lang w:eastAsia="en-AU"/>
              </w:rPr>
              <w:t>($m)</w:t>
            </w:r>
          </w:p>
        </w:tc>
        <w:tc>
          <w:tcPr>
            <w:tcW w:w="589" w:type="pct"/>
            <w:tcBorders>
              <w:top w:val="nil"/>
              <w:left w:val="nil"/>
              <w:bottom w:val="nil"/>
              <w:right w:val="nil"/>
            </w:tcBorders>
            <w:shd w:val="clear" w:color="auto" w:fill="auto"/>
            <w:noWrap/>
            <w:vAlign w:val="bottom"/>
            <w:hideMark/>
          </w:tcPr>
          <w:p w14:paraId="52AACF20" w14:textId="77777777" w:rsidR="00F86B13" w:rsidRPr="00D703A4" w:rsidRDefault="00F86B13" w:rsidP="000349C1">
            <w:pPr>
              <w:keepNext/>
              <w:keepLines/>
              <w:jc w:val="center"/>
              <w:rPr>
                <w:rFonts w:cs="Arial"/>
                <w:sz w:val="20"/>
                <w:lang w:eastAsia="en-AU"/>
              </w:rPr>
            </w:pPr>
            <w:r w:rsidRPr="00D703A4">
              <w:rPr>
                <w:rFonts w:cs="Arial"/>
                <w:sz w:val="20"/>
                <w:lang w:eastAsia="en-AU"/>
              </w:rPr>
              <w:t>12,453</w:t>
            </w:r>
          </w:p>
        </w:tc>
        <w:tc>
          <w:tcPr>
            <w:tcW w:w="503" w:type="pct"/>
            <w:tcBorders>
              <w:top w:val="nil"/>
              <w:left w:val="nil"/>
              <w:bottom w:val="nil"/>
              <w:right w:val="nil"/>
            </w:tcBorders>
            <w:shd w:val="clear" w:color="auto" w:fill="auto"/>
            <w:noWrap/>
            <w:vAlign w:val="bottom"/>
            <w:hideMark/>
          </w:tcPr>
          <w:p w14:paraId="7DD8F11D" w14:textId="77777777" w:rsidR="00F86B13" w:rsidRPr="00D703A4" w:rsidRDefault="00F86B13" w:rsidP="000349C1">
            <w:pPr>
              <w:keepNext/>
              <w:keepLines/>
              <w:jc w:val="center"/>
              <w:rPr>
                <w:rFonts w:cs="Arial"/>
                <w:sz w:val="20"/>
                <w:lang w:eastAsia="en-AU"/>
              </w:rPr>
            </w:pPr>
            <w:r w:rsidRPr="00D703A4">
              <w:rPr>
                <w:rFonts w:cs="Arial"/>
                <w:sz w:val="20"/>
                <w:lang w:eastAsia="en-AU"/>
              </w:rPr>
              <w:t>2,923</w:t>
            </w:r>
          </w:p>
        </w:tc>
        <w:tc>
          <w:tcPr>
            <w:tcW w:w="756" w:type="pct"/>
            <w:tcBorders>
              <w:top w:val="nil"/>
              <w:left w:val="nil"/>
              <w:bottom w:val="nil"/>
              <w:right w:val="nil"/>
            </w:tcBorders>
            <w:shd w:val="clear" w:color="auto" w:fill="auto"/>
            <w:noWrap/>
            <w:vAlign w:val="bottom"/>
            <w:hideMark/>
          </w:tcPr>
          <w:p w14:paraId="06A6DFD2" w14:textId="77777777" w:rsidR="00F86B13" w:rsidRPr="00D703A4" w:rsidRDefault="00F86B13" w:rsidP="000349C1">
            <w:pPr>
              <w:keepNext/>
              <w:keepLines/>
              <w:jc w:val="center"/>
              <w:rPr>
                <w:rFonts w:cs="Arial"/>
                <w:sz w:val="20"/>
                <w:lang w:eastAsia="en-AU"/>
              </w:rPr>
            </w:pPr>
            <w:r w:rsidRPr="00D703A4">
              <w:rPr>
                <w:rFonts w:cs="Arial"/>
                <w:sz w:val="20"/>
                <w:lang w:eastAsia="en-AU"/>
              </w:rPr>
              <w:t>689</w:t>
            </w:r>
          </w:p>
        </w:tc>
        <w:tc>
          <w:tcPr>
            <w:tcW w:w="672" w:type="pct"/>
            <w:tcBorders>
              <w:top w:val="nil"/>
              <w:left w:val="nil"/>
              <w:bottom w:val="nil"/>
              <w:right w:val="nil"/>
            </w:tcBorders>
            <w:shd w:val="clear" w:color="auto" w:fill="auto"/>
            <w:noWrap/>
            <w:vAlign w:val="bottom"/>
            <w:hideMark/>
          </w:tcPr>
          <w:p w14:paraId="4AE53F8C" w14:textId="77777777" w:rsidR="00F86B13" w:rsidRPr="00D703A4" w:rsidRDefault="00F86B13" w:rsidP="000349C1">
            <w:pPr>
              <w:keepNext/>
              <w:keepLines/>
              <w:jc w:val="center"/>
              <w:rPr>
                <w:rFonts w:cs="Arial"/>
                <w:sz w:val="20"/>
                <w:lang w:eastAsia="en-AU"/>
              </w:rPr>
            </w:pPr>
            <w:r w:rsidRPr="00D703A4">
              <w:rPr>
                <w:rFonts w:cs="Arial"/>
                <w:sz w:val="20"/>
                <w:lang w:eastAsia="en-AU"/>
              </w:rPr>
              <w:t>1,001</w:t>
            </w:r>
          </w:p>
        </w:tc>
        <w:tc>
          <w:tcPr>
            <w:tcW w:w="741" w:type="pct"/>
            <w:tcBorders>
              <w:top w:val="nil"/>
              <w:left w:val="nil"/>
              <w:bottom w:val="nil"/>
              <w:right w:val="nil"/>
            </w:tcBorders>
            <w:shd w:val="clear" w:color="auto" w:fill="auto"/>
            <w:noWrap/>
            <w:vAlign w:val="bottom"/>
            <w:hideMark/>
          </w:tcPr>
          <w:p w14:paraId="57C3C9E8" w14:textId="77777777" w:rsidR="00F86B13" w:rsidRPr="00D703A4" w:rsidRDefault="00F86B13" w:rsidP="000349C1">
            <w:pPr>
              <w:keepNext/>
              <w:keepLines/>
              <w:jc w:val="center"/>
              <w:rPr>
                <w:rFonts w:cs="Arial"/>
                <w:sz w:val="20"/>
                <w:lang w:eastAsia="en-AU"/>
              </w:rPr>
            </w:pPr>
            <w:r w:rsidRPr="00D703A4">
              <w:rPr>
                <w:rFonts w:cs="Arial"/>
                <w:sz w:val="20"/>
                <w:lang w:eastAsia="en-AU"/>
              </w:rPr>
              <w:t>723</w:t>
            </w:r>
          </w:p>
        </w:tc>
        <w:tc>
          <w:tcPr>
            <w:tcW w:w="667" w:type="pct"/>
            <w:tcBorders>
              <w:top w:val="nil"/>
              <w:left w:val="nil"/>
              <w:bottom w:val="nil"/>
              <w:right w:val="nil"/>
            </w:tcBorders>
            <w:shd w:val="clear" w:color="auto" w:fill="auto"/>
            <w:noWrap/>
            <w:vAlign w:val="bottom"/>
            <w:hideMark/>
          </w:tcPr>
          <w:p w14:paraId="0D25A047" w14:textId="77777777" w:rsidR="00F86B13" w:rsidRPr="00D703A4" w:rsidRDefault="00F86B13" w:rsidP="000349C1">
            <w:pPr>
              <w:keepNext/>
              <w:keepLines/>
              <w:jc w:val="center"/>
              <w:rPr>
                <w:rFonts w:cs="Arial"/>
                <w:sz w:val="20"/>
                <w:lang w:eastAsia="en-AU"/>
              </w:rPr>
            </w:pPr>
            <w:r w:rsidRPr="00D703A4">
              <w:rPr>
                <w:rFonts w:cs="Arial"/>
                <w:sz w:val="20"/>
                <w:lang w:eastAsia="en-AU"/>
              </w:rPr>
              <w:t>17,788</w:t>
            </w:r>
          </w:p>
        </w:tc>
      </w:tr>
      <w:tr w:rsidR="00F86B13" w:rsidRPr="00821EC8" w14:paraId="6892BB93" w14:textId="77777777" w:rsidTr="006772A3">
        <w:trPr>
          <w:trHeight w:val="255"/>
        </w:trPr>
        <w:tc>
          <w:tcPr>
            <w:tcW w:w="5000" w:type="pct"/>
            <w:gridSpan w:val="7"/>
            <w:tcBorders>
              <w:top w:val="single" w:sz="4" w:space="0" w:color="002776"/>
              <w:left w:val="nil"/>
              <w:bottom w:val="nil"/>
              <w:right w:val="nil"/>
            </w:tcBorders>
            <w:shd w:val="clear" w:color="000000" w:fill="B0CAFF"/>
            <w:noWrap/>
            <w:vAlign w:val="bottom"/>
            <w:hideMark/>
          </w:tcPr>
          <w:p w14:paraId="627CCB5E" w14:textId="77777777" w:rsidR="00F86B13" w:rsidRPr="00A0328A" w:rsidRDefault="00F86B13" w:rsidP="006772A3">
            <w:pPr>
              <w:keepNext/>
              <w:keepLines/>
              <w:rPr>
                <w:rFonts w:cs="Arial"/>
                <w:i/>
                <w:iCs/>
                <w:sz w:val="20"/>
                <w:lang w:eastAsia="en-AU"/>
              </w:rPr>
            </w:pPr>
            <w:r w:rsidRPr="00A0328A">
              <w:rPr>
                <w:rFonts w:cs="Arial"/>
                <w:i/>
                <w:iCs/>
                <w:sz w:val="20"/>
                <w:lang w:eastAsia="en-AU"/>
              </w:rPr>
              <w:t>Direct contribution</w:t>
            </w:r>
          </w:p>
        </w:tc>
      </w:tr>
      <w:tr w:rsidR="00B0624C" w:rsidRPr="00821EC8" w14:paraId="6BDC1792" w14:textId="77777777" w:rsidTr="005678FF">
        <w:trPr>
          <w:trHeight w:val="255"/>
        </w:trPr>
        <w:tc>
          <w:tcPr>
            <w:tcW w:w="1072" w:type="pct"/>
            <w:tcBorders>
              <w:top w:val="nil"/>
              <w:left w:val="nil"/>
              <w:bottom w:val="nil"/>
              <w:right w:val="nil"/>
            </w:tcBorders>
            <w:shd w:val="clear" w:color="auto" w:fill="auto"/>
            <w:noWrap/>
            <w:vAlign w:val="bottom"/>
            <w:hideMark/>
          </w:tcPr>
          <w:p w14:paraId="6032DBDB" w14:textId="77777777" w:rsidR="00B0624C" w:rsidRPr="00A0328A" w:rsidRDefault="00B0624C" w:rsidP="006772A3">
            <w:pPr>
              <w:keepNext/>
              <w:keepLines/>
              <w:rPr>
                <w:rFonts w:cs="Arial"/>
                <w:sz w:val="20"/>
                <w:lang w:eastAsia="en-AU"/>
              </w:rPr>
            </w:pPr>
            <w:r w:rsidRPr="00A0328A">
              <w:rPr>
                <w:rFonts w:cs="Arial"/>
                <w:sz w:val="20"/>
                <w:lang w:eastAsia="en-AU"/>
              </w:rPr>
              <w:t>Valued added ($m)</w:t>
            </w:r>
          </w:p>
        </w:tc>
        <w:tc>
          <w:tcPr>
            <w:tcW w:w="589" w:type="pct"/>
            <w:tcBorders>
              <w:top w:val="nil"/>
              <w:left w:val="nil"/>
              <w:bottom w:val="nil"/>
              <w:right w:val="nil"/>
            </w:tcBorders>
            <w:shd w:val="clear" w:color="auto" w:fill="auto"/>
            <w:noWrap/>
            <w:hideMark/>
          </w:tcPr>
          <w:p w14:paraId="1A293827"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7,841 </w:t>
            </w:r>
          </w:p>
        </w:tc>
        <w:tc>
          <w:tcPr>
            <w:tcW w:w="503" w:type="pct"/>
            <w:tcBorders>
              <w:top w:val="nil"/>
              <w:left w:val="nil"/>
              <w:bottom w:val="nil"/>
              <w:right w:val="nil"/>
            </w:tcBorders>
            <w:shd w:val="clear" w:color="auto" w:fill="auto"/>
            <w:noWrap/>
            <w:hideMark/>
          </w:tcPr>
          <w:p w14:paraId="3A5BF09B"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1,787 </w:t>
            </w:r>
          </w:p>
        </w:tc>
        <w:tc>
          <w:tcPr>
            <w:tcW w:w="756" w:type="pct"/>
            <w:tcBorders>
              <w:top w:val="nil"/>
              <w:left w:val="nil"/>
              <w:bottom w:val="nil"/>
              <w:right w:val="nil"/>
            </w:tcBorders>
            <w:shd w:val="clear" w:color="auto" w:fill="auto"/>
            <w:noWrap/>
            <w:hideMark/>
          </w:tcPr>
          <w:p w14:paraId="742A4C3D"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454 </w:t>
            </w:r>
          </w:p>
        </w:tc>
        <w:tc>
          <w:tcPr>
            <w:tcW w:w="672" w:type="pct"/>
            <w:tcBorders>
              <w:top w:val="nil"/>
              <w:left w:val="nil"/>
              <w:bottom w:val="nil"/>
              <w:right w:val="nil"/>
            </w:tcBorders>
            <w:shd w:val="clear" w:color="auto" w:fill="auto"/>
            <w:noWrap/>
            <w:hideMark/>
          </w:tcPr>
          <w:p w14:paraId="15BBA983"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588 </w:t>
            </w:r>
          </w:p>
        </w:tc>
        <w:tc>
          <w:tcPr>
            <w:tcW w:w="741" w:type="pct"/>
            <w:tcBorders>
              <w:top w:val="nil"/>
              <w:left w:val="nil"/>
              <w:bottom w:val="nil"/>
              <w:right w:val="nil"/>
            </w:tcBorders>
            <w:shd w:val="clear" w:color="auto" w:fill="auto"/>
            <w:noWrap/>
            <w:hideMark/>
          </w:tcPr>
          <w:p w14:paraId="5B62C8E6"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483 </w:t>
            </w:r>
          </w:p>
        </w:tc>
        <w:tc>
          <w:tcPr>
            <w:tcW w:w="667" w:type="pct"/>
            <w:tcBorders>
              <w:top w:val="nil"/>
              <w:left w:val="nil"/>
              <w:bottom w:val="nil"/>
              <w:right w:val="nil"/>
            </w:tcBorders>
            <w:shd w:val="clear" w:color="auto" w:fill="auto"/>
            <w:noWrap/>
            <w:hideMark/>
          </w:tcPr>
          <w:p w14:paraId="77C2163D"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11,154 </w:t>
            </w:r>
          </w:p>
        </w:tc>
      </w:tr>
      <w:tr w:rsidR="00B0624C" w:rsidRPr="00821EC8" w14:paraId="16BA1D62" w14:textId="77777777" w:rsidTr="005678FF">
        <w:trPr>
          <w:trHeight w:val="255"/>
        </w:trPr>
        <w:tc>
          <w:tcPr>
            <w:tcW w:w="1072" w:type="pct"/>
            <w:tcBorders>
              <w:top w:val="nil"/>
              <w:left w:val="nil"/>
              <w:bottom w:val="nil"/>
              <w:right w:val="nil"/>
            </w:tcBorders>
            <w:shd w:val="clear" w:color="auto" w:fill="auto"/>
            <w:noWrap/>
            <w:vAlign w:val="bottom"/>
            <w:hideMark/>
          </w:tcPr>
          <w:p w14:paraId="75812E27" w14:textId="77777777" w:rsidR="00B0624C" w:rsidRPr="00A0328A" w:rsidRDefault="00B0624C" w:rsidP="006772A3">
            <w:pPr>
              <w:keepNext/>
              <w:keepLines/>
              <w:ind w:firstLineChars="200" w:firstLine="400"/>
              <w:rPr>
                <w:rFonts w:cs="Arial"/>
                <w:i/>
                <w:iCs/>
                <w:sz w:val="20"/>
                <w:lang w:eastAsia="en-AU"/>
              </w:rPr>
            </w:pPr>
            <w:proofErr w:type="spellStart"/>
            <w:r w:rsidRPr="00A0328A">
              <w:rPr>
                <w:rFonts w:cs="Arial"/>
                <w:i/>
                <w:iCs/>
                <w:sz w:val="20"/>
                <w:lang w:eastAsia="en-AU"/>
              </w:rPr>
              <w:t>GOS</w:t>
            </w:r>
            <w:proofErr w:type="spellEnd"/>
          </w:p>
        </w:tc>
        <w:tc>
          <w:tcPr>
            <w:tcW w:w="589" w:type="pct"/>
            <w:tcBorders>
              <w:top w:val="nil"/>
              <w:left w:val="nil"/>
              <w:bottom w:val="nil"/>
              <w:right w:val="nil"/>
            </w:tcBorders>
            <w:shd w:val="clear" w:color="auto" w:fill="auto"/>
            <w:noWrap/>
            <w:hideMark/>
          </w:tcPr>
          <w:p w14:paraId="77D48095"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3,071 </w:t>
            </w:r>
          </w:p>
        </w:tc>
        <w:tc>
          <w:tcPr>
            <w:tcW w:w="503" w:type="pct"/>
            <w:tcBorders>
              <w:top w:val="nil"/>
              <w:left w:val="nil"/>
              <w:bottom w:val="nil"/>
              <w:right w:val="nil"/>
            </w:tcBorders>
            <w:shd w:val="clear" w:color="auto" w:fill="auto"/>
            <w:noWrap/>
            <w:hideMark/>
          </w:tcPr>
          <w:p w14:paraId="2E55BC0E"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655 </w:t>
            </w:r>
          </w:p>
        </w:tc>
        <w:tc>
          <w:tcPr>
            <w:tcW w:w="756" w:type="pct"/>
            <w:tcBorders>
              <w:top w:val="nil"/>
              <w:left w:val="nil"/>
              <w:bottom w:val="nil"/>
              <w:right w:val="nil"/>
            </w:tcBorders>
            <w:shd w:val="clear" w:color="auto" w:fill="auto"/>
            <w:noWrap/>
            <w:hideMark/>
          </w:tcPr>
          <w:p w14:paraId="2A1C3C87"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131 </w:t>
            </w:r>
          </w:p>
        </w:tc>
        <w:tc>
          <w:tcPr>
            <w:tcW w:w="672" w:type="pct"/>
            <w:tcBorders>
              <w:top w:val="nil"/>
              <w:left w:val="nil"/>
              <w:bottom w:val="nil"/>
              <w:right w:val="nil"/>
            </w:tcBorders>
            <w:shd w:val="clear" w:color="auto" w:fill="auto"/>
            <w:noWrap/>
            <w:hideMark/>
          </w:tcPr>
          <w:p w14:paraId="184ADFE9"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276 </w:t>
            </w:r>
          </w:p>
        </w:tc>
        <w:tc>
          <w:tcPr>
            <w:tcW w:w="741" w:type="pct"/>
            <w:tcBorders>
              <w:top w:val="nil"/>
              <w:left w:val="nil"/>
              <w:bottom w:val="nil"/>
              <w:right w:val="nil"/>
            </w:tcBorders>
            <w:shd w:val="clear" w:color="auto" w:fill="auto"/>
            <w:noWrap/>
            <w:hideMark/>
          </w:tcPr>
          <w:p w14:paraId="0B7CB175"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127 </w:t>
            </w:r>
          </w:p>
        </w:tc>
        <w:tc>
          <w:tcPr>
            <w:tcW w:w="667" w:type="pct"/>
            <w:tcBorders>
              <w:top w:val="nil"/>
              <w:left w:val="nil"/>
              <w:bottom w:val="nil"/>
              <w:right w:val="nil"/>
            </w:tcBorders>
            <w:shd w:val="clear" w:color="auto" w:fill="auto"/>
            <w:noWrap/>
            <w:hideMark/>
          </w:tcPr>
          <w:p w14:paraId="49B097BE"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4,260 </w:t>
            </w:r>
          </w:p>
        </w:tc>
      </w:tr>
      <w:tr w:rsidR="00B0624C" w:rsidRPr="00821EC8" w14:paraId="5D39DBCC" w14:textId="77777777" w:rsidTr="005678FF">
        <w:trPr>
          <w:trHeight w:val="255"/>
        </w:trPr>
        <w:tc>
          <w:tcPr>
            <w:tcW w:w="1072" w:type="pct"/>
            <w:tcBorders>
              <w:top w:val="nil"/>
              <w:left w:val="nil"/>
              <w:bottom w:val="nil"/>
              <w:right w:val="nil"/>
            </w:tcBorders>
            <w:shd w:val="clear" w:color="auto" w:fill="auto"/>
            <w:noWrap/>
            <w:vAlign w:val="bottom"/>
            <w:hideMark/>
          </w:tcPr>
          <w:p w14:paraId="7D05E568" w14:textId="77777777" w:rsidR="00B0624C" w:rsidRPr="00A0328A" w:rsidRDefault="00B0624C" w:rsidP="006772A3">
            <w:pPr>
              <w:keepNext/>
              <w:keepLines/>
              <w:ind w:firstLineChars="200" w:firstLine="400"/>
              <w:rPr>
                <w:rFonts w:cs="Arial"/>
                <w:i/>
                <w:iCs/>
                <w:sz w:val="20"/>
                <w:lang w:eastAsia="en-AU"/>
              </w:rPr>
            </w:pPr>
            <w:r w:rsidRPr="00A0328A">
              <w:rPr>
                <w:rFonts w:cs="Arial"/>
                <w:i/>
                <w:iCs/>
                <w:sz w:val="20"/>
                <w:lang w:eastAsia="en-AU"/>
              </w:rPr>
              <w:t>Wages</w:t>
            </w:r>
          </w:p>
        </w:tc>
        <w:tc>
          <w:tcPr>
            <w:tcW w:w="589" w:type="pct"/>
            <w:tcBorders>
              <w:top w:val="nil"/>
              <w:left w:val="nil"/>
              <w:bottom w:val="nil"/>
              <w:right w:val="nil"/>
            </w:tcBorders>
            <w:shd w:val="clear" w:color="auto" w:fill="auto"/>
            <w:noWrap/>
            <w:hideMark/>
          </w:tcPr>
          <w:p w14:paraId="663EB872"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4,617 </w:t>
            </w:r>
          </w:p>
        </w:tc>
        <w:tc>
          <w:tcPr>
            <w:tcW w:w="503" w:type="pct"/>
            <w:tcBorders>
              <w:top w:val="nil"/>
              <w:left w:val="nil"/>
              <w:bottom w:val="nil"/>
              <w:right w:val="nil"/>
            </w:tcBorders>
            <w:shd w:val="clear" w:color="auto" w:fill="auto"/>
            <w:noWrap/>
            <w:hideMark/>
          </w:tcPr>
          <w:p w14:paraId="0F36DC63"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1,133 </w:t>
            </w:r>
          </w:p>
        </w:tc>
        <w:tc>
          <w:tcPr>
            <w:tcW w:w="756" w:type="pct"/>
            <w:tcBorders>
              <w:top w:val="nil"/>
              <w:left w:val="nil"/>
              <w:bottom w:val="nil"/>
              <w:right w:val="nil"/>
            </w:tcBorders>
            <w:shd w:val="clear" w:color="auto" w:fill="auto"/>
            <w:noWrap/>
            <w:hideMark/>
          </w:tcPr>
          <w:p w14:paraId="46B175D1"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323 </w:t>
            </w:r>
          </w:p>
        </w:tc>
        <w:tc>
          <w:tcPr>
            <w:tcW w:w="672" w:type="pct"/>
            <w:tcBorders>
              <w:top w:val="nil"/>
              <w:left w:val="nil"/>
              <w:bottom w:val="nil"/>
              <w:right w:val="nil"/>
            </w:tcBorders>
            <w:shd w:val="clear" w:color="auto" w:fill="auto"/>
            <w:noWrap/>
            <w:hideMark/>
          </w:tcPr>
          <w:p w14:paraId="2101A114"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312 </w:t>
            </w:r>
          </w:p>
        </w:tc>
        <w:tc>
          <w:tcPr>
            <w:tcW w:w="741" w:type="pct"/>
            <w:tcBorders>
              <w:top w:val="nil"/>
              <w:left w:val="nil"/>
              <w:bottom w:val="nil"/>
              <w:right w:val="nil"/>
            </w:tcBorders>
            <w:shd w:val="clear" w:color="auto" w:fill="auto"/>
            <w:noWrap/>
            <w:hideMark/>
          </w:tcPr>
          <w:p w14:paraId="568D410C"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356 </w:t>
            </w:r>
          </w:p>
        </w:tc>
        <w:tc>
          <w:tcPr>
            <w:tcW w:w="667" w:type="pct"/>
            <w:tcBorders>
              <w:top w:val="nil"/>
              <w:left w:val="nil"/>
              <w:bottom w:val="nil"/>
              <w:right w:val="nil"/>
            </w:tcBorders>
            <w:shd w:val="clear" w:color="auto" w:fill="auto"/>
            <w:noWrap/>
            <w:hideMark/>
          </w:tcPr>
          <w:p w14:paraId="04055FD3"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6,741 </w:t>
            </w:r>
          </w:p>
        </w:tc>
      </w:tr>
      <w:tr w:rsidR="00B0624C" w:rsidRPr="00821EC8" w14:paraId="6B028A2F" w14:textId="77777777" w:rsidTr="005678FF">
        <w:trPr>
          <w:trHeight w:val="255"/>
        </w:trPr>
        <w:tc>
          <w:tcPr>
            <w:tcW w:w="1072" w:type="pct"/>
            <w:tcBorders>
              <w:top w:val="nil"/>
              <w:left w:val="nil"/>
              <w:bottom w:val="nil"/>
              <w:right w:val="nil"/>
            </w:tcBorders>
            <w:shd w:val="clear" w:color="auto" w:fill="auto"/>
            <w:noWrap/>
            <w:vAlign w:val="bottom"/>
            <w:hideMark/>
          </w:tcPr>
          <w:p w14:paraId="0FB1F927" w14:textId="77777777" w:rsidR="00B0624C" w:rsidRPr="00A0328A" w:rsidRDefault="00B0624C" w:rsidP="006772A3">
            <w:pPr>
              <w:keepNext/>
              <w:keepLines/>
              <w:rPr>
                <w:rFonts w:cs="Arial"/>
                <w:sz w:val="20"/>
                <w:lang w:eastAsia="en-AU"/>
              </w:rPr>
            </w:pPr>
            <w:r w:rsidRPr="00A0328A">
              <w:rPr>
                <w:rFonts w:cs="Arial"/>
                <w:sz w:val="20"/>
                <w:lang w:eastAsia="en-AU"/>
              </w:rPr>
              <w:t>Employment (FTE)</w:t>
            </w:r>
          </w:p>
        </w:tc>
        <w:tc>
          <w:tcPr>
            <w:tcW w:w="589" w:type="pct"/>
            <w:tcBorders>
              <w:top w:val="nil"/>
              <w:left w:val="nil"/>
              <w:bottom w:val="nil"/>
              <w:right w:val="nil"/>
            </w:tcBorders>
            <w:shd w:val="clear" w:color="auto" w:fill="auto"/>
            <w:noWrap/>
            <w:hideMark/>
          </w:tcPr>
          <w:p w14:paraId="39B0110E"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52,688 </w:t>
            </w:r>
          </w:p>
        </w:tc>
        <w:tc>
          <w:tcPr>
            <w:tcW w:w="503" w:type="pct"/>
            <w:tcBorders>
              <w:top w:val="nil"/>
              <w:left w:val="nil"/>
              <w:bottom w:val="nil"/>
              <w:right w:val="nil"/>
            </w:tcBorders>
            <w:shd w:val="clear" w:color="auto" w:fill="auto"/>
            <w:noWrap/>
            <w:hideMark/>
          </w:tcPr>
          <w:p w14:paraId="328B0F4B"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14,199 </w:t>
            </w:r>
          </w:p>
        </w:tc>
        <w:tc>
          <w:tcPr>
            <w:tcW w:w="756" w:type="pct"/>
            <w:tcBorders>
              <w:top w:val="nil"/>
              <w:left w:val="nil"/>
              <w:bottom w:val="nil"/>
              <w:right w:val="nil"/>
            </w:tcBorders>
            <w:shd w:val="clear" w:color="auto" w:fill="auto"/>
            <w:noWrap/>
            <w:hideMark/>
          </w:tcPr>
          <w:p w14:paraId="1BD6757B"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4,863 </w:t>
            </w:r>
          </w:p>
        </w:tc>
        <w:tc>
          <w:tcPr>
            <w:tcW w:w="672" w:type="pct"/>
            <w:tcBorders>
              <w:top w:val="nil"/>
              <w:left w:val="nil"/>
              <w:bottom w:val="nil"/>
              <w:right w:val="nil"/>
            </w:tcBorders>
            <w:shd w:val="clear" w:color="auto" w:fill="auto"/>
            <w:noWrap/>
            <w:hideMark/>
          </w:tcPr>
          <w:p w14:paraId="0D65C33B"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9,626 </w:t>
            </w:r>
          </w:p>
        </w:tc>
        <w:tc>
          <w:tcPr>
            <w:tcW w:w="741" w:type="pct"/>
            <w:tcBorders>
              <w:top w:val="nil"/>
              <w:left w:val="nil"/>
              <w:bottom w:val="nil"/>
              <w:right w:val="nil"/>
            </w:tcBorders>
            <w:shd w:val="clear" w:color="auto" w:fill="auto"/>
            <w:noWrap/>
            <w:hideMark/>
          </w:tcPr>
          <w:p w14:paraId="13FF7638"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3,807 </w:t>
            </w:r>
          </w:p>
        </w:tc>
        <w:tc>
          <w:tcPr>
            <w:tcW w:w="667" w:type="pct"/>
            <w:tcBorders>
              <w:top w:val="nil"/>
              <w:left w:val="nil"/>
              <w:bottom w:val="nil"/>
              <w:right w:val="nil"/>
            </w:tcBorders>
            <w:shd w:val="clear" w:color="auto" w:fill="auto"/>
            <w:noWrap/>
            <w:hideMark/>
          </w:tcPr>
          <w:p w14:paraId="4A66F645"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85,182 </w:t>
            </w:r>
          </w:p>
        </w:tc>
      </w:tr>
      <w:tr w:rsidR="00B0624C" w:rsidRPr="00821EC8" w14:paraId="421BF9FE" w14:textId="77777777" w:rsidTr="006772A3">
        <w:trPr>
          <w:trHeight w:val="255"/>
        </w:trPr>
        <w:tc>
          <w:tcPr>
            <w:tcW w:w="5000" w:type="pct"/>
            <w:gridSpan w:val="7"/>
            <w:tcBorders>
              <w:top w:val="single" w:sz="4" w:space="0" w:color="002776"/>
              <w:left w:val="nil"/>
              <w:bottom w:val="nil"/>
              <w:right w:val="nil"/>
            </w:tcBorders>
            <w:shd w:val="clear" w:color="000000" w:fill="B0CAFF"/>
            <w:noWrap/>
            <w:vAlign w:val="center"/>
            <w:hideMark/>
          </w:tcPr>
          <w:p w14:paraId="5B7C1419" w14:textId="77777777" w:rsidR="00B0624C" w:rsidRPr="00D703A4" w:rsidRDefault="00B0624C" w:rsidP="006772A3">
            <w:pPr>
              <w:keepNext/>
              <w:keepLines/>
              <w:rPr>
                <w:rFonts w:cs="Arial"/>
                <w:i/>
                <w:iCs/>
                <w:sz w:val="20"/>
                <w:lang w:eastAsia="en-AU"/>
              </w:rPr>
            </w:pPr>
            <w:r w:rsidRPr="00A0328A">
              <w:rPr>
                <w:rFonts w:cs="Arial"/>
                <w:i/>
                <w:iCs/>
                <w:sz w:val="20"/>
                <w:lang w:eastAsia="en-AU"/>
              </w:rPr>
              <w:t>Indirect contribution</w:t>
            </w:r>
          </w:p>
        </w:tc>
      </w:tr>
      <w:tr w:rsidR="00B0624C" w:rsidRPr="00B9321F" w14:paraId="52D01E67" w14:textId="77777777" w:rsidTr="005678FF">
        <w:trPr>
          <w:trHeight w:val="255"/>
        </w:trPr>
        <w:tc>
          <w:tcPr>
            <w:tcW w:w="1072" w:type="pct"/>
            <w:tcBorders>
              <w:top w:val="nil"/>
              <w:left w:val="nil"/>
              <w:bottom w:val="nil"/>
              <w:right w:val="nil"/>
            </w:tcBorders>
            <w:shd w:val="clear" w:color="auto" w:fill="auto"/>
            <w:noWrap/>
            <w:vAlign w:val="bottom"/>
            <w:hideMark/>
          </w:tcPr>
          <w:p w14:paraId="4652693A" w14:textId="77777777" w:rsidR="00B0624C" w:rsidRPr="00A0328A" w:rsidRDefault="00B0624C" w:rsidP="006772A3">
            <w:pPr>
              <w:keepNext/>
              <w:keepLines/>
              <w:rPr>
                <w:rFonts w:cs="Arial"/>
                <w:sz w:val="20"/>
                <w:lang w:eastAsia="en-AU"/>
              </w:rPr>
            </w:pPr>
            <w:r w:rsidRPr="00A0328A">
              <w:rPr>
                <w:rFonts w:cs="Arial"/>
                <w:sz w:val="20"/>
                <w:lang w:eastAsia="en-AU"/>
              </w:rPr>
              <w:t>Valued added ($m)</w:t>
            </w:r>
          </w:p>
        </w:tc>
        <w:tc>
          <w:tcPr>
            <w:tcW w:w="589" w:type="pct"/>
            <w:tcBorders>
              <w:top w:val="nil"/>
              <w:left w:val="nil"/>
              <w:bottom w:val="nil"/>
              <w:right w:val="nil"/>
            </w:tcBorders>
            <w:shd w:val="clear" w:color="auto" w:fill="auto"/>
            <w:noWrap/>
            <w:hideMark/>
          </w:tcPr>
          <w:p w14:paraId="629BBBBF"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3,237 </w:t>
            </w:r>
          </w:p>
        </w:tc>
        <w:tc>
          <w:tcPr>
            <w:tcW w:w="503" w:type="pct"/>
            <w:tcBorders>
              <w:top w:val="nil"/>
              <w:left w:val="nil"/>
              <w:bottom w:val="nil"/>
              <w:right w:val="nil"/>
            </w:tcBorders>
            <w:shd w:val="clear" w:color="auto" w:fill="auto"/>
            <w:noWrap/>
            <w:hideMark/>
          </w:tcPr>
          <w:p w14:paraId="0B7E7AE3"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765 </w:t>
            </w:r>
          </w:p>
        </w:tc>
        <w:tc>
          <w:tcPr>
            <w:tcW w:w="756" w:type="pct"/>
            <w:tcBorders>
              <w:top w:val="nil"/>
              <w:left w:val="nil"/>
              <w:bottom w:val="nil"/>
              <w:right w:val="nil"/>
            </w:tcBorders>
            <w:shd w:val="clear" w:color="auto" w:fill="auto"/>
            <w:noWrap/>
            <w:hideMark/>
          </w:tcPr>
          <w:p w14:paraId="0E3D0A8B"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163 </w:t>
            </w:r>
          </w:p>
        </w:tc>
        <w:tc>
          <w:tcPr>
            <w:tcW w:w="672" w:type="pct"/>
            <w:tcBorders>
              <w:top w:val="nil"/>
              <w:left w:val="nil"/>
              <w:bottom w:val="nil"/>
              <w:right w:val="nil"/>
            </w:tcBorders>
            <w:shd w:val="clear" w:color="auto" w:fill="auto"/>
            <w:noWrap/>
            <w:hideMark/>
          </w:tcPr>
          <w:p w14:paraId="56CA3330"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302 </w:t>
            </w:r>
          </w:p>
        </w:tc>
        <w:tc>
          <w:tcPr>
            <w:tcW w:w="741" w:type="pct"/>
            <w:tcBorders>
              <w:top w:val="nil"/>
              <w:left w:val="nil"/>
              <w:bottom w:val="nil"/>
              <w:right w:val="nil"/>
            </w:tcBorders>
            <w:shd w:val="clear" w:color="auto" w:fill="auto"/>
            <w:noWrap/>
            <w:hideMark/>
          </w:tcPr>
          <w:p w14:paraId="261A9739"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169 </w:t>
            </w:r>
          </w:p>
        </w:tc>
        <w:tc>
          <w:tcPr>
            <w:tcW w:w="667" w:type="pct"/>
            <w:tcBorders>
              <w:top w:val="nil"/>
              <w:left w:val="nil"/>
              <w:bottom w:val="nil"/>
              <w:right w:val="nil"/>
            </w:tcBorders>
            <w:shd w:val="clear" w:color="auto" w:fill="auto"/>
            <w:noWrap/>
            <w:hideMark/>
          </w:tcPr>
          <w:p w14:paraId="652836ED"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4,638 </w:t>
            </w:r>
          </w:p>
        </w:tc>
      </w:tr>
      <w:tr w:rsidR="00B0624C" w:rsidRPr="00B9321F" w14:paraId="6CC7A15C" w14:textId="77777777" w:rsidTr="005678FF">
        <w:trPr>
          <w:trHeight w:val="255"/>
        </w:trPr>
        <w:tc>
          <w:tcPr>
            <w:tcW w:w="1072" w:type="pct"/>
            <w:tcBorders>
              <w:top w:val="nil"/>
              <w:left w:val="nil"/>
              <w:bottom w:val="nil"/>
              <w:right w:val="nil"/>
            </w:tcBorders>
            <w:shd w:val="clear" w:color="auto" w:fill="auto"/>
            <w:noWrap/>
            <w:vAlign w:val="bottom"/>
            <w:hideMark/>
          </w:tcPr>
          <w:p w14:paraId="152B3C5F" w14:textId="77777777" w:rsidR="00B0624C" w:rsidRPr="00A0328A" w:rsidRDefault="00B0624C" w:rsidP="006772A3">
            <w:pPr>
              <w:keepNext/>
              <w:keepLines/>
              <w:ind w:firstLineChars="200" w:firstLine="400"/>
              <w:rPr>
                <w:rFonts w:cs="Arial"/>
                <w:i/>
                <w:iCs/>
                <w:sz w:val="20"/>
                <w:lang w:eastAsia="en-AU"/>
              </w:rPr>
            </w:pPr>
            <w:proofErr w:type="spellStart"/>
            <w:r w:rsidRPr="00A0328A">
              <w:rPr>
                <w:rFonts w:cs="Arial"/>
                <w:i/>
                <w:iCs/>
                <w:sz w:val="20"/>
                <w:lang w:eastAsia="en-AU"/>
              </w:rPr>
              <w:t>GOS</w:t>
            </w:r>
            <w:proofErr w:type="spellEnd"/>
          </w:p>
        </w:tc>
        <w:tc>
          <w:tcPr>
            <w:tcW w:w="589" w:type="pct"/>
            <w:tcBorders>
              <w:top w:val="nil"/>
              <w:left w:val="nil"/>
              <w:bottom w:val="nil"/>
              <w:right w:val="nil"/>
            </w:tcBorders>
            <w:shd w:val="clear" w:color="auto" w:fill="auto"/>
            <w:noWrap/>
            <w:hideMark/>
          </w:tcPr>
          <w:p w14:paraId="36B7D204"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1,480 </w:t>
            </w:r>
          </w:p>
        </w:tc>
        <w:tc>
          <w:tcPr>
            <w:tcW w:w="503" w:type="pct"/>
            <w:tcBorders>
              <w:top w:val="nil"/>
              <w:left w:val="nil"/>
              <w:bottom w:val="nil"/>
              <w:right w:val="nil"/>
            </w:tcBorders>
            <w:shd w:val="clear" w:color="auto" w:fill="auto"/>
            <w:noWrap/>
            <w:hideMark/>
          </w:tcPr>
          <w:p w14:paraId="4500C48F"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373 </w:t>
            </w:r>
          </w:p>
        </w:tc>
        <w:tc>
          <w:tcPr>
            <w:tcW w:w="756" w:type="pct"/>
            <w:tcBorders>
              <w:top w:val="nil"/>
              <w:left w:val="nil"/>
              <w:bottom w:val="nil"/>
              <w:right w:val="nil"/>
            </w:tcBorders>
            <w:shd w:val="clear" w:color="auto" w:fill="auto"/>
            <w:noWrap/>
            <w:hideMark/>
          </w:tcPr>
          <w:p w14:paraId="49818B60"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78 </w:t>
            </w:r>
          </w:p>
        </w:tc>
        <w:tc>
          <w:tcPr>
            <w:tcW w:w="672" w:type="pct"/>
            <w:tcBorders>
              <w:top w:val="nil"/>
              <w:left w:val="nil"/>
              <w:bottom w:val="nil"/>
              <w:right w:val="nil"/>
            </w:tcBorders>
            <w:shd w:val="clear" w:color="auto" w:fill="auto"/>
            <w:noWrap/>
            <w:hideMark/>
          </w:tcPr>
          <w:p w14:paraId="09CCAB29"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145 </w:t>
            </w:r>
          </w:p>
        </w:tc>
        <w:tc>
          <w:tcPr>
            <w:tcW w:w="741" w:type="pct"/>
            <w:tcBorders>
              <w:top w:val="nil"/>
              <w:left w:val="nil"/>
              <w:bottom w:val="nil"/>
              <w:right w:val="nil"/>
            </w:tcBorders>
            <w:shd w:val="clear" w:color="auto" w:fill="auto"/>
            <w:noWrap/>
            <w:hideMark/>
          </w:tcPr>
          <w:p w14:paraId="0BCEE9BD"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80 </w:t>
            </w:r>
          </w:p>
        </w:tc>
        <w:tc>
          <w:tcPr>
            <w:tcW w:w="667" w:type="pct"/>
            <w:tcBorders>
              <w:top w:val="nil"/>
              <w:left w:val="nil"/>
              <w:bottom w:val="nil"/>
              <w:right w:val="nil"/>
            </w:tcBorders>
            <w:shd w:val="clear" w:color="auto" w:fill="auto"/>
            <w:noWrap/>
            <w:hideMark/>
          </w:tcPr>
          <w:p w14:paraId="1BE9A0B9"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2,156 </w:t>
            </w:r>
          </w:p>
        </w:tc>
      </w:tr>
      <w:tr w:rsidR="00B0624C" w:rsidRPr="00B9321F" w14:paraId="143CA6B0" w14:textId="77777777" w:rsidTr="005678FF">
        <w:trPr>
          <w:trHeight w:val="255"/>
        </w:trPr>
        <w:tc>
          <w:tcPr>
            <w:tcW w:w="1072" w:type="pct"/>
            <w:tcBorders>
              <w:top w:val="nil"/>
              <w:left w:val="nil"/>
              <w:bottom w:val="nil"/>
              <w:right w:val="nil"/>
            </w:tcBorders>
            <w:shd w:val="clear" w:color="auto" w:fill="auto"/>
            <w:noWrap/>
            <w:vAlign w:val="bottom"/>
            <w:hideMark/>
          </w:tcPr>
          <w:p w14:paraId="4186438D" w14:textId="77777777" w:rsidR="00B0624C" w:rsidRPr="00A0328A" w:rsidRDefault="00B0624C" w:rsidP="006772A3">
            <w:pPr>
              <w:keepNext/>
              <w:keepLines/>
              <w:ind w:firstLineChars="200" w:firstLine="400"/>
              <w:rPr>
                <w:rFonts w:cs="Arial"/>
                <w:i/>
                <w:iCs/>
                <w:sz w:val="20"/>
                <w:lang w:eastAsia="en-AU"/>
              </w:rPr>
            </w:pPr>
            <w:r w:rsidRPr="00A0328A">
              <w:rPr>
                <w:rFonts w:cs="Arial"/>
                <w:i/>
                <w:iCs/>
                <w:sz w:val="20"/>
                <w:lang w:eastAsia="en-AU"/>
              </w:rPr>
              <w:t>Wages</w:t>
            </w:r>
          </w:p>
        </w:tc>
        <w:tc>
          <w:tcPr>
            <w:tcW w:w="589" w:type="pct"/>
            <w:tcBorders>
              <w:top w:val="nil"/>
              <w:left w:val="nil"/>
              <w:bottom w:val="nil"/>
              <w:right w:val="nil"/>
            </w:tcBorders>
            <w:shd w:val="clear" w:color="auto" w:fill="auto"/>
            <w:noWrap/>
            <w:hideMark/>
          </w:tcPr>
          <w:p w14:paraId="56DA5F19"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1,757 </w:t>
            </w:r>
          </w:p>
        </w:tc>
        <w:tc>
          <w:tcPr>
            <w:tcW w:w="503" w:type="pct"/>
            <w:tcBorders>
              <w:top w:val="nil"/>
              <w:left w:val="nil"/>
              <w:bottom w:val="nil"/>
              <w:right w:val="nil"/>
            </w:tcBorders>
            <w:shd w:val="clear" w:color="auto" w:fill="auto"/>
            <w:noWrap/>
            <w:hideMark/>
          </w:tcPr>
          <w:p w14:paraId="127F2AFC"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392 </w:t>
            </w:r>
          </w:p>
        </w:tc>
        <w:tc>
          <w:tcPr>
            <w:tcW w:w="756" w:type="pct"/>
            <w:tcBorders>
              <w:top w:val="nil"/>
              <w:left w:val="nil"/>
              <w:bottom w:val="nil"/>
              <w:right w:val="nil"/>
            </w:tcBorders>
            <w:shd w:val="clear" w:color="auto" w:fill="auto"/>
            <w:noWrap/>
            <w:hideMark/>
          </w:tcPr>
          <w:p w14:paraId="33A0C46A"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86 </w:t>
            </w:r>
          </w:p>
        </w:tc>
        <w:tc>
          <w:tcPr>
            <w:tcW w:w="672" w:type="pct"/>
            <w:tcBorders>
              <w:top w:val="nil"/>
              <w:left w:val="nil"/>
              <w:bottom w:val="nil"/>
              <w:right w:val="nil"/>
            </w:tcBorders>
            <w:shd w:val="clear" w:color="auto" w:fill="auto"/>
            <w:noWrap/>
            <w:hideMark/>
          </w:tcPr>
          <w:p w14:paraId="399BD932"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157 </w:t>
            </w:r>
          </w:p>
        </w:tc>
        <w:tc>
          <w:tcPr>
            <w:tcW w:w="741" w:type="pct"/>
            <w:tcBorders>
              <w:top w:val="nil"/>
              <w:left w:val="nil"/>
              <w:bottom w:val="nil"/>
              <w:right w:val="nil"/>
            </w:tcBorders>
            <w:shd w:val="clear" w:color="auto" w:fill="auto"/>
            <w:noWrap/>
            <w:hideMark/>
          </w:tcPr>
          <w:p w14:paraId="2AE81FF8"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89 </w:t>
            </w:r>
          </w:p>
        </w:tc>
        <w:tc>
          <w:tcPr>
            <w:tcW w:w="667" w:type="pct"/>
            <w:tcBorders>
              <w:top w:val="nil"/>
              <w:left w:val="nil"/>
              <w:bottom w:val="nil"/>
              <w:right w:val="nil"/>
            </w:tcBorders>
            <w:shd w:val="clear" w:color="auto" w:fill="auto"/>
            <w:noWrap/>
            <w:hideMark/>
          </w:tcPr>
          <w:p w14:paraId="261F278A"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2,482 </w:t>
            </w:r>
          </w:p>
        </w:tc>
      </w:tr>
      <w:tr w:rsidR="00B0624C" w:rsidRPr="00B9321F" w14:paraId="6BAD7715" w14:textId="77777777" w:rsidTr="005678FF">
        <w:trPr>
          <w:trHeight w:val="255"/>
        </w:trPr>
        <w:tc>
          <w:tcPr>
            <w:tcW w:w="1072" w:type="pct"/>
            <w:tcBorders>
              <w:top w:val="nil"/>
              <w:left w:val="nil"/>
              <w:bottom w:val="nil"/>
              <w:right w:val="nil"/>
            </w:tcBorders>
            <w:shd w:val="clear" w:color="auto" w:fill="auto"/>
            <w:noWrap/>
            <w:vAlign w:val="bottom"/>
            <w:hideMark/>
          </w:tcPr>
          <w:p w14:paraId="75D36156" w14:textId="77777777" w:rsidR="00B0624C" w:rsidRPr="00A0328A" w:rsidRDefault="00B0624C" w:rsidP="006772A3">
            <w:pPr>
              <w:keepNext/>
              <w:keepLines/>
              <w:rPr>
                <w:rFonts w:cs="Arial"/>
                <w:sz w:val="20"/>
                <w:lang w:eastAsia="en-AU"/>
              </w:rPr>
            </w:pPr>
            <w:r w:rsidRPr="00A0328A">
              <w:rPr>
                <w:rFonts w:cs="Arial"/>
                <w:sz w:val="20"/>
                <w:lang w:eastAsia="en-AU"/>
              </w:rPr>
              <w:t>Employment (FTE)</w:t>
            </w:r>
          </w:p>
        </w:tc>
        <w:tc>
          <w:tcPr>
            <w:tcW w:w="589" w:type="pct"/>
            <w:tcBorders>
              <w:top w:val="nil"/>
              <w:left w:val="nil"/>
              <w:bottom w:val="nil"/>
              <w:right w:val="nil"/>
            </w:tcBorders>
            <w:shd w:val="clear" w:color="auto" w:fill="auto"/>
            <w:noWrap/>
            <w:hideMark/>
          </w:tcPr>
          <w:p w14:paraId="494A114F"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23,990 </w:t>
            </w:r>
          </w:p>
        </w:tc>
        <w:tc>
          <w:tcPr>
            <w:tcW w:w="503" w:type="pct"/>
            <w:tcBorders>
              <w:top w:val="nil"/>
              <w:left w:val="nil"/>
              <w:bottom w:val="nil"/>
              <w:right w:val="nil"/>
            </w:tcBorders>
            <w:shd w:val="clear" w:color="auto" w:fill="auto"/>
            <w:noWrap/>
            <w:hideMark/>
          </w:tcPr>
          <w:p w14:paraId="3986E149"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5,265 </w:t>
            </w:r>
          </w:p>
        </w:tc>
        <w:tc>
          <w:tcPr>
            <w:tcW w:w="756" w:type="pct"/>
            <w:tcBorders>
              <w:top w:val="nil"/>
              <w:left w:val="nil"/>
              <w:bottom w:val="nil"/>
              <w:right w:val="nil"/>
            </w:tcBorders>
            <w:shd w:val="clear" w:color="auto" w:fill="auto"/>
            <w:noWrap/>
            <w:hideMark/>
          </w:tcPr>
          <w:p w14:paraId="067D8258"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1,153 </w:t>
            </w:r>
          </w:p>
        </w:tc>
        <w:tc>
          <w:tcPr>
            <w:tcW w:w="672" w:type="pct"/>
            <w:tcBorders>
              <w:top w:val="nil"/>
              <w:left w:val="nil"/>
              <w:bottom w:val="nil"/>
              <w:right w:val="nil"/>
            </w:tcBorders>
            <w:shd w:val="clear" w:color="auto" w:fill="auto"/>
            <w:noWrap/>
            <w:hideMark/>
          </w:tcPr>
          <w:p w14:paraId="17FE0EC3"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2,105 </w:t>
            </w:r>
          </w:p>
        </w:tc>
        <w:tc>
          <w:tcPr>
            <w:tcW w:w="741" w:type="pct"/>
            <w:tcBorders>
              <w:top w:val="nil"/>
              <w:left w:val="nil"/>
              <w:bottom w:val="nil"/>
              <w:right w:val="nil"/>
            </w:tcBorders>
            <w:shd w:val="clear" w:color="auto" w:fill="auto"/>
            <w:noWrap/>
            <w:hideMark/>
          </w:tcPr>
          <w:p w14:paraId="08890970"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1,193 </w:t>
            </w:r>
          </w:p>
        </w:tc>
        <w:tc>
          <w:tcPr>
            <w:tcW w:w="667" w:type="pct"/>
            <w:tcBorders>
              <w:top w:val="nil"/>
              <w:left w:val="nil"/>
              <w:bottom w:val="nil"/>
              <w:right w:val="nil"/>
            </w:tcBorders>
            <w:shd w:val="clear" w:color="auto" w:fill="auto"/>
            <w:noWrap/>
            <w:hideMark/>
          </w:tcPr>
          <w:p w14:paraId="0C3BC2D1"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33,706 </w:t>
            </w:r>
          </w:p>
        </w:tc>
      </w:tr>
      <w:tr w:rsidR="00B0624C" w:rsidRPr="00821EC8" w14:paraId="00A92BB5" w14:textId="77777777" w:rsidTr="006772A3">
        <w:trPr>
          <w:trHeight w:val="255"/>
        </w:trPr>
        <w:tc>
          <w:tcPr>
            <w:tcW w:w="1072" w:type="pct"/>
            <w:tcBorders>
              <w:top w:val="single" w:sz="4" w:space="0" w:color="002776"/>
              <w:left w:val="nil"/>
              <w:bottom w:val="nil"/>
              <w:right w:val="nil"/>
            </w:tcBorders>
            <w:shd w:val="clear" w:color="000000" w:fill="B0CAFF"/>
            <w:noWrap/>
            <w:vAlign w:val="bottom"/>
            <w:hideMark/>
          </w:tcPr>
          <w:p w14:paraId="78BE5271" w14:textId="77777777" w:rsidR="00B0624C" w:rsidRPr="00D703A4" w:rsidRDefault="00B0624C" w:rsidP="006772A3">
            <w:pPr>
              <w:keepNext/>
              <w:keepLines/>
              <w:rPr>
                <w:rFonts w:cs="Arial"/>
                <w:i/>
                <w:iCs/>
                <w:sz w:val="20"/>
                <w:lang w:eastAsia="en-AU"/>
              </w:rPr>
            </w:pPr>
            <w:r w:rsidRPr="00A0328A">
              <w:rPr>
                <w:rFonts w:cs="Arial"/>
                <w:i/>
                <w:iCs/>
                <w:sz w:val="20"/>
                <w:lang w:eastAsia="en-AU"/>
              </w:rPr>
              <w:t>Total c</w:t>
            </w:r>
            <w:r w:rsidRPr="00D703A4">
              <w:rPr>
                <w:rFonts w:cs="Arial"/>
                <w:i/>
                <w:iCs/>
                <w:sz w:val="20"/>
                <w:lang w:eastAsia="en-AU"/>
              </w:rPr>
              <w:t>ontribution</w:t>
            </w:r>
          </w:p>
        </w:tc>
        <w:tc>
          <w:tcPr>
            <w:tcW w:w="589" w:type="pct"/>
            <w:tcBorders>
              <w:top w:val="single" w:sz="4" w:space="0" w:color="002776"/>
              <w:left w:val="nil"/>
              <w:bottom w:val="nil"/>
              <w:right w:val="nil"/>
            </w:tcBorders>
            <w:shd w:val="clear" w:color="000000" w:fill="B0CAFF"/>
            <w:noWrap/>
            <w:vAlign w:val="bottom"/>
            <w:hideMark/>
          </w:tcPr>
          <w:p w14:paraId="386DB5F5" w14:textId="77777777" w:rsidR="00B0624C" w:rsidRPr="00D703A4" w:rsidRDefault="00B0624C" w:rsidP="006772A3">
            <w:pPr>
              <w:keepNext/>
              <w:keepLines/>
              <w:jc w:val="right"/>
              <w:rPr>
                <w:rFonts w:cs="Arial"/>
                <w:i/>
                <w:iCs/>
                <w:sz w:val="20"/>
                <w:lang w:eastAsia="en-AU"/>
              </w:rPr>
            </w:pPr>
          </w:p>
        </w:tc>
        <w:tc>
          <w:tcPr>
            <w:tcW w:w="503" w:type="pct"/>
            <w:tcBorders>
              <w:top w:val="single" w:sz="4" w:space="0" w:color="002776"/>
              <w:left w:val="nil"/>
              <w:bottom w:val="nil"/>
              <w:right w:val="nil"/>
            </w:tcBorders>
            <w:shd w:val="clear" w:color="000000" w:fill="B0CAFF"/>
            <w:noWrap/>
            <w:vAlign w:val="bottom"/>
            <w:hideMark/>
          </w:tcPr>
          <w:p w14:paraId="63EA4A0C" w14:textId="77777777" w:rsidR="00B0624C" w:rsidRPr="00D703A4" w:rsidRDefault="00B0624C" w:rsidP="006772A3">
            <w:pPr>
              <w:keepNext/>
              <w:keepLines/>
              <w:jc w:val="right"/>
              <w:rPr>
                <w:rFonts w:cs="Arial"/>
                <w:i/>
                <w:iCs/>
                <w:sz w:val="20"/>
                <w:lang w:eastAsia="en-AU"/>
              </w:rPr>
            </w:pPr>
            <w:r w:rsidRPr="007C15A9">
              <w:rPr>
                <w:rFonts w:asciiTheme="minorHAnsi" w:hAnsiTheme="minorHAnsi" w:cs="Arial"/>
                <w:i/>
                <w:iCs/>
                <w:sz w:val="20"/>
                <w:lang w:eastAsia="en-AU"/>
              </w:rPr>
              <w:t> </w:t>
            </w:r>
          </w:p>
        </w:tc>
        <w:tc>
          <w:tcPr>
            <w:tcW w:w="756" w:type="pct"/>
            <w:tcBorders>
              <w:top w:val="single" w:sz="4" w:space="0" w:color="002776"/>
              <w:left w:val="nil"/>
              <w:bottom w:val="nil"/>
              <w:right w:val="nil"/>
            </w:tcBorders>
            <w:shd w:val="clear" w:color="000000" w:fill="B0CAFF"/>
            <w:noWrap/>
            <w:vAlign w:val="bottom"/>
            <w:hideMark/>
          </w:tcPr>
          <w:p w14:paraId="2E27AA98" w14:textId="77777777" w:rsidR="00B0624C" w:rsidRPr="00D703A4" w:rsidRDefault="00B0624C" w:rsidP="006772A3">
            <w:pPr>
              <w:keepNext/>
              <w:keepLines/>
              <w:jc w:val="right"/>
              <w:rPr>
                <w:rFonts w:cs="Arial"/>
                <w:i/>
                <w:iCs/>
                <w:sz w:val="20"/>
                <w:lang w:eastAsia="en-AU"/>
              </w:rPr>
            </w:pPr>
            <w:r w:rsidRPr="007C15A9">
              <w:rPr>
                <w:rFonts w:asciiTheme="minorHAnsi" w:hAnsiTheme="minorHAnsi" w:cs="Arial"/>
                <w:i/>
                <w:iCs/>
                <w:sz w:val="20"/>
                <w:lang w:eastAsia="en-AU"/>
              </w:rPr>
              <w:t> </w:t>
            </w:r>
          </w:p>
        </w:tc>
        <w:tc>
          <w:tcPr>
            <w:tcW w:w="672" w:type="pct"/>
            <w:tcBorders>
              <w:top w:val="single" w:sz="4" w:space="0" w:color="002776"/>
              <w:left w:val="nil"/>
              <w:bottom w:val="nil"/>
              <w:right w:val="nil"/>
            </w:tcBorders>
            <w:shd w:val="clear" w:color="000000" w:fill="B0CAFF"/>
            <w:noWrap/>
            <w:vAlign w:val="bottom"/>
            <w:hideMark/>
          </w:tcPr>
          <w:p w14:paraId="42C842D7" w14:textId="77777777" w:rsidR="00B0624C" w:rsidRPr="00D703A4" w:rsidRDefault="00B0624C" w:rsidP="006772A3">
            <w:pPr>
              <w:keepNext/>
              <w:keepLines/>
              <w:jc w:val="right"/>
              <w:rPr>
                <w:rFonts w:cs="Arial"/>
                <w:i/>
                <w:iCs/>
                <w:sz w:val="20"/>
                <w:lang w:eastAsia="en-AU"/>
              </w:rPr>
            </w:pPr>
            <w:r w:rsidRPr="007C15A9">
              <w:rPr>
                <w:rFonts w:asciiTheme="minorHAnsi" w:hAnsiTheme="minorHAnsi" w:cs="Arial"/>
                <w:i/>
                <w:iCs/>
                <w:sz w:val="20"/>
                <w:lang w:eastAsia="en-AU"/>
              </w:rPr>
              <w:t> </w:t>
            </w:r>
          </w:p>
        </w:tc>
        <w:tc>
          <w:tcPr>
            <w:tcW w:w="741" w:type="pct"/>
            <w:tcBorders>
              <w:top w:val="single" w:sz="4" w:space="0" w:color="002776"/>
              <w:left w:val="nil"/>
              <w:bottom w:val="nil"/>
              <w:right w:val="nil"/>
            </w:tcBorders>
            <w:shd w:val="clear" w:color="000000" w:fill="B0CAFF"/>
            <w:noWrap/>
            <w:vAlign w:val="bottom"/>
            <w:hideMark/>
          </w:tcPr>
          <w:p w14:paraId="17B8FFBC" w14:textId="77777777" w:rsidR="00B0624C" w:rsidRPr="00D703A4" w:rsidRDefault="00B0624C" w:rsidP="006772A3">
            <w:pPr>
              <w:keepNext/>
              <w:keepLines/>
              <w:jc w:val="right"/>
              <w:rPr>
                <w:rFonts w:cs="Arial"/>
                <w:i/>
                <w:iCs/>
                <w:sz w:val="20"/>
                <w:lang w:eastAsia="en-AU"/>
              </w:rPr>
            </w:pPr>
            <w:r w:rsidRPr="007C15A9">
              <w:rPr>
                <w:rFonts w:asciiTheme="minorHAnsi" w:hAnsiTheme="minorHAnsi" w:cs="Arial"/>
                <w:i/>
                <w:iCs/>
                <w:sz w:val="20"/>
                <w:lang w:eastAsia="en-AU"/>
              </w:rPr>
              <w:t> </w:t>
            </w:r>
          </w:p>
        </w:tc>
        <w:tc>
          <w:tcPr>
            <w:tcW w:w="667" w:type="pct"/>
            <w:tcBorders>
              <w:top w:val="single" w:sz="4" w:space="0" w:color="002776"/>
              <w:left w:val="nil"/>
              <w:bottom w:val="nil"/>
              <w:right w:val="nil"/>
            </w:tcBorders>
            <w:shd w:val="clear" w:color="000000" w:fill="B0CAFF"/>
            <w:noWrap/>
            <w:vAlign w:val="bottom"/>
            <w:hideMark/>
          </w:tcPr>
          <w:p w14:paraId="2F3789AB" w14:textId="77777777" w:rsidR="00B0624C" w:rsidRPr="00D703A4" w:rsidRDefault="00B0624C" w:rsidP="006772A3">
            <w:pPr>
              <w:keepNext/>
              <w:keepLines/>
              <w:jc w:val="right"/>
              <w:rPr>
                <w:rFonts w:cs="Arial"/>
                <w:i/>
                <w:iCs/>
                <w:sz w:val="20"/>
                <w:lang w:eastAsia="en-AU"/>
              </w:rPr>
            </w:pPr>
            <w:r w:rsidRPr="007C15A9">
              <w:rPr>
                <w:rFonts w:asciiTheme="minorHAnsi" w:hAnsiTheme="minorHAnsi" w:cs="Arial"/>
                <w:i/>
                <w:iCs/>
                <w:sz w:val="20"/>
                <w:lang w:eastAsia="en-AU"/>
              </w:rPr>
              <w:t> </w:t>
            </w:r>
          </w:p>
        </w:tc>
      </w:tr>
      <w:tr w:rsidR="00B0624C" w:rsidRPr="00821EC8" w14:paraId="6B627AAF" w14:textId="77777777" w:rsidTr="005678FF">
        <w:trPr>
          <w:trHeight w:val="255"/>
        </w:trPr>
        <w:tc>
          <w:tcPr>
            <w:tcW w:w="1072" w:type="pct"/>
            <w:tcBorders>
              <w:top w:val="nil"/>
              <w:left w:val="nil"/>
              <w:bottom w:val="nil"/>
              <w:right w:val="nil"/>
            </w:tcBorders>
            <w:shd w:val="clear" w:color="auto" w:fill="auto"/>
            <w:noWrap/>
            <w:vAlign w:val="bottom"/>
            <w:hideMark/>
          </w:tcPr>
          <w:p w14:paraId="74FE7646" w14:textId="77777777" w:rsidR="00B0624C" w:rsidRPr="00A0328A" w:rsidRDefault="00B0624C" w:rsidP="006772A3">
            <w:pPr>
              <w:keepNext/>
              <w:keepLines/>
              <w:rPr>
                <w:rFonts w:cs="Arial"/>
                <w:sz w:val="20"/>
                <w:lang w:eastAsia="en-AU"/>
              </w:rPr>
            </w:pPr>
            <w:r w:rsidRPr="00A0328A">
              <w:rPr>
                <w:rFonts w:cs="Arial"/>
                <w:sz w:val="20"/>
                <w:lang w:eastAsia="en-AU"/>
              </w:rPr>
              <w:t>Valued added ($m)</w:t>
            </w:r>
          </w:p>
        </w:tc>
        <w:tc>
          <w:tcPr>
            <w:tcW w:w="589" w:type="pct"/>
            <w:tcBorders>
              <w:top w:val="nil"/>
              <w:left w:val="nil"/>
              <w:bottom w:val="nil"/>
              <w:right w:val="nil"/>
            </w:tcBorders>
            <w:shd w:val="clear" w:color="auto" w:fill="auto"/>
            <w:noWrap/>
            <w:hideMark/>
          </w:tcPr>
          <w:p w14:paraId="610C4C1F"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11,079 </w:t>
            </w:r>
          </w:p>
        </w:tc>
        <w:tc>
          <w:tcPr>
            <w:tcW w:w="503" w:type="pct"/>
            <w:tcBorders>
              <w:top w:val="nil"/>
              <w:left w:val="nil"/>
              <w:bottom w:val="nil"/>
              <w:right w:val="nil"/>
            </w:tcBorders>
            <w:shd w:val="clear" w:color="auto" w:fill="auto"/>
            <w:noWrap/>
            <w:hideMark/>
          </w:tcPr>
          <w:p w14:paraId="2FD12DD6"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2,553 </w:t>
            </w:r>
          </w:p>
        </w:tc>
        <w:tc>
          <w:tcPr>
            <w:tcW w:w="756" w:type="pct"/>
            <w:tcBorders>
              <w:top w:val="nil"/>
              <w:left w:val="nil"/>
              <w:bottom w:val="nil"/>
              <w:right w:val="nil"/>
            </w:tcBorders>
            <w:shd w:val="clear" w:color="auto" w:fill="auto"/>
            <w:noWrap/>
            <w:hideMark/>
          </w:tcPr>
          <w:p w14:paraId="06D825CA"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618 </w:t>
            </w:r>
          </w:p>
        </w:tc>
        <w:tc>
          <w:tcPr>
            <w:tcW w:w="672" w:type="pct"/>
            <w:tcBorders>
              <w:top w:val="nil"/>
              <w:left w:val="nil"/>
              <w:bottom w:val="nil"/>
              <w:right w:val="nil"/>
            </w:tcBorders>
            <w:shd w:val="clear" w:color="auto" w:fill="auto"/>
            <w:noWrap/>
            <w:hideMark/>
          </w:tcPr>
          <w:p w14:paraId="2D2E6EF5"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890 </w:t>
            </w:r>
          </w:p>
        </w:tc>
        <w:tc>
          <w:tcPr>
            <w:tcW w:w="741" w:type="pct"/>
            <w:tcBorders>
              <w:top w:val="nil"/>
              <w:left w:val="nil"/>
              <w:bottom w:val="nil"/>
              <w:right w:val="nil"/>
            </w:tcBorders>
            <w:shd w:val="clear" w:color="auto" w:fill="auto"/>
            <w:noWrap/>
            <w:hideMark/>
          </w:tcPr>
          <w:p w14:paraId="696365CC"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652 </w:t>
            </w:r>
          </w:p>
        </w:tc>
        <w:tc>
          <w:tcPr>
            <w:tcW w:w="667" w:type="pct"/>
            <w:tcBorders>
              <w:top w:val="nil"/>
              <w:left w:val="nil"/>
              <w:bottom w:val="nil"/>
              <w:right w:val="nil"/>
            </w:tcBorders>
            <w:shd w:val="clear" w:color="auto" w:fill="auto"/>
            <w:noWrap/>
            <w:hideMark/>
          </w:tcPr>
          <w:p w14:paraId="2545372D"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15,791 </w:t>
            </w:r>
          </w:p>
        </w:tc>
      </w:tr>
      <w:tr w:rsidR="00B0624C" w:rsidRPr="00821EC8" w14:paraId="7B57EDBE" w14:textId="77777777" w:rsidTr="005678FF">
        <w:trPr>
          <w:trHeight w:val="255"/>
        </w:trPr>
        <w:tc>
          <w:tcPr>
            <w:tcW w:w="1072" w:type="pct"/>
            <w:tcBorders>
              <w:top w:val="nil"/>
              <w:left w:val="nil"/>
              <w:bottom w:val="nil"/>
              <w:right w:val="nil"/>
            </w:tcBorders>
            <w:shd w:val="clear" w:color="auto" w:fill="auto"/>
            <w:noWrap/>
            <w:vAlign w:val="bottom"/>
            <w:hideMark/>
          </w:tcPr>
          <w:p w14:paraId="3C097466" w14:textId="77777777" w:rsidR="00B0624C" w:rsidRPr="00A0328A" w:rsidRDefault="00B0624C" w:rsidP="006772A3">
            <w:pPr>
              <w:keepNext/>
              <w:keepLines/>
              <w:ind w:firstLineChars="200" w:firstLine="400"/>
              <w:rPr>
                <w:rFonts w:cs="Arial"/>
                <w:i/>
                <w:iCs/>
                <w:sz w:val="20"/>
                <w:lang w:eastAsia="en-AU"/>
              </w:rPr>
            </w:pPr>
            <w:proofErr w:type="spellStart"/>
            <w:r w:rsidRPr="00A0328A">
              <w:rPr>
                <w:rFonts w:cs="Arial"/>
                <w:i/>
                <w:iCs/>
                <w:sz w:val="20"/>
                <w:lang w:eastAsia="en-AU"/>
              </w:rPr>
              <w:t>GOS</w:t>
            </w:r>
            <w:proofErr w:type="spellEnd"/>
          </w:p>
        </w:tc>
        <w:tc>
          <w:tcPr>
            <w:tcW w:w="589" w:type="pct"/>
            <w:tcBorders>
              <w:top w:val="nil"/>
              <w:left w:val="nil"/>
              <w:bottom w:val="nil"/>
              <w:right w:val="nil"/>
            </w:tcBorders>
            <w:shd w:val="clear" w:color="auto" w:fill="auto"/>
            <w:noWrap/>
            <w:hideMark/>
          </w:tcPr>
          <w:p w14:paraId="51C34B63"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4,551 </w:t>
            </w:r>
          </w:p>
        </w:tc>
        <w:tc>
          <w:tcPr>
            <w:tcW w:w="503" w:type="pct"/>
            <w:tcBorders>
              <w:top w:val="nil"/>
              <w:left w:val="nil"/>
              <w:bottom w:val="nil"/>
              <w:right w:val="nil"/>
            </w:tcBorders>
            <w:shd w:val="clear" w:color="auto" w:fill="auto"/>
            <w:noWrap/>
            <w:hideMark/>
          </w:tcPr>
          <w:p w14:paraId="4C30091A"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1,028 </w:t>
            </w:r>
          </w:p>
        </w:tc>
        <w:tc>
          <w:tcPr>
            <w:tcW w:w="756" w:type="pct"/>
            <w:tcBorders>
              <w:top w:val="nil"/>
              <w:left w:val="nil"/>
              <w:bottom w:val="nil"/>
              <w:right w:val="nil"/>
            </w:tcBorders>
            <w:shd w:val="clear" w:color="auto" w:fill="auto"/>
            <w:noWrap/>
            <w:hideMark/>
          </w:tcPr>
          <w:p w14:paraId="69DA191D"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209 </w:t>
            </w:r>
          </w:p>
        </w:tc>
        <w:tc>
          <w:tcPr>
            <w:tcW w:w="672" w:type="pct"/>
            <w:tcBorders>
              <w:top w:val="nil"/>
              <w:left w:val="nil"/>
              <w:bottom w:val="nil"/>
              <w:right w:val="nil"/>
            </w:tcBorders>
            <w:shd w:val="clear" w:color="auto" w:fill="auto"/>
            <w:noWrap/>
            <w:hideMark/>
          </w:tcPr>
          <w:p w14:paraId="6F02523C"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420 </w:t>
            </w:r>
          </w:p>
        </w:tc>
        <w:tc>
          <w:tcPr>
            <w:tcW w:w="741" w:type="pct"/>
            <w:tcBorders>
              <w:top w:val="nil"/>
              <w:left w:val="nil"/>
              <w:bottom w:val="nil"/>
              <w:right w:val="nil"/>
            </w:tcBorders>
            <w:shd w:val="clear" w:color="auto" w:fill="auto"/>
            <w:noWrap/>
            <w:hideMark/>
          </w:tcPr>
          <w:p w14:paraId="4719CCCB"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207 </w:t>
            </w:r>
          </w:p>
        </w:tc>
        <w:tc>
          <w:tcPr>
            <w:tcW w:w="667" w:type="pct"/>
            <w:tcBorders>
              <w:top w:val="nil"/>
              <w:left w:val="nil"/>
              <w:bottom w:val="nil"/>
              <w:right w:val="nil"/>
            </w:tcBorders>
            <w:shd w:val="clear" w:color="auto" w:fill="auto"/>
            <w:noWrap/>
            <w:hideMark/>
          </w:tcPr>
          <w:p w14:paraId="43D27178"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6,415 </w:t>
            </w:r>
          </w:p>
        </w:tc>
      </w:tr>
      <w:tr w:rsidR="00B0624C" w:rsidRPr="00821EC8" w14:paraId="6181CCA8" w14:textId="77777777" w:rsidTr="005678FF">
        <w:trPr>
          <w:trHeight w:val="255"/>
        </w:trPr>
        <w:tc>
          <w:tcPr>
            <w:tcW w:w="1072" w:type="pct"/>
            <w:tcBorders>
              <w:top w:val="nil"/>
              <w:left w:val="nil"/>
              <w:bottom w:val="nil"/>
              <w:right w:val="nil"/>
            </w:tcBorders>
            <w:shd w:val="clear" w:color="auto" w:fill="auto"/>
            <w:noWrap/>
            <w:vAlign w:val="bottom"/>
            <w:hideMark/>
          </w:tcPr>
          <w:p w14:paraId="77489A77" w14:textId="77777777" w:rsidR="00B0624C" w:rsidRPr="00A0328A" w:rsidRDefault="00B0624C" w:rsidP="006772A3">
            <w:pPr>
              <w:keepNext/>
              <w:keepLines/>
              <w:ind w:firstLineChars="200" w:firstLine="400"/>
              <w:rPr>
                <w:rFonts w:cs="Arial"/>
                <w:i/>
                <w:iCs/>
                <w:sz w:val="20"/>
                <w:lang w:eastAsia="en-AU"/>
              </w:rPr>
            </w:pPr>
            <w:r w:rsidRPr="00A0328A">
              <w:rPr>
                <w:rFonts w:cs="Arial"/>
                <w:i/>
                <w:iCs/>
                <w:sz w:val="20"/>
                <w:lang w:eastAsia="en-AU"/>
              </w:rPr>
              <w:t>Wages</w:t>
            </w:r>
          </w:p>
        </w:tc>
        <w:tc>
          <w:tcPr>
            <w:tcW w:w="589" w:type="pct"/>
            <w:tcBorders>
              <w:top w:val="nil"/>
              <w:left w:val="nil"/>
              <w:bottom w:val="nil"/>
              <w:right w:val="nil"/>
            </w:tcBorders>
            <w:shd w:val="clear" w:color="auto" w:fill="auto"/>
            <w:noWrap/>
            <w:hideMark/>
          </w:tcPr>
          <w:p w14:paraId="375ABE98"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6,374 </w:t>
            </w:r>
          </w:p>
        </w:tc>
        <w:tc>
          <w:tcPr>
            <w:tcW w:w="503" w:type="pct"/>
            <w:tcBorders>
              <w:top w:val="nil"/>
              <w:left w:val="nil"/>
              <w:bottom w:val="nil"/>
              <w:right w:val="nil"/>
            </w:tcBorders>
            <w:shd w:val="clear" w:color="auto" w:fill="auto"/>
            <w:noWrap/>
            <w:hideMark/>
          </w:tcPr>
          <w:p w14:paraId="2F4E8E55"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1,525 </w:t>
            </w:r>
          </w:p>
        </w:tc>
        <w:tc>
          <w:tcPr>
            <w:tcW w:w="756" w:type="pct"/>
            <w:tcBorders>
              <w:top w:val="nil"/>
              <w:left w:val="nil"/>
              <w:bottom w:val="nil"/>
              <w:right w:val="nil"/>
            </w:tcBorders>
            <w:shd w:val="clear" w:color="auto" w:fill="auto"/>
            <w:noWrap/>
            <w:hideMark/>
          </w:tcPr>
          <w:p w14:paraId="73B726CC"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409 </w:t>
            </w:r>
          </w:p>
        </w:tc>
        <w:tc>
          <w:tcPr>
            <w:tcW w:w="672" w:type="pct"/>
            <w:tcBorders>
              <w:top w:val="nil"/>
              <w:left w:val="nil"/>
              <w:bottom w:val="nil"/>
              <w:right w:val="nil"/>
            </w:tcBorders>
            <w:shd w:val="clear" w:color="auto" w:fill="auto"/>
            <w:noWrap/>
            <w:hideMark/>
          </w:tcPr>
          <w:p w14:paraId="54584ABB"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469 </w:t>
            </w:r>
          </w:p>
        </w:tc>
        <w:tc>
          <w:tcPr>
            <w:tcW w:w="741" w:type="pct"/>
            <w:tcBorders>
              <w:top w:val="nil"/>
              <w:left w:val="nil"/>
              <w:bottom w:val="nil"/>
              <w:right w:val="nil"/>
            </w:tcBorders>
            <w:shd w:val="clear" w:color="auto" w:fill="auto"/>
            <w:noWrap/>
            <w:hideMark/>
          </w:tcPr>
          <w:p w14:paraId="5A37D40E"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445 </w:t>
            </w:r>
          </w:p>
        </w:tc>
        <w:tc>
          <w:tcPr>
            <w:tcW w:w="667" w:type="pct"/>
            <w:tcBorders>
              <w:top w:val="nil"/>
              <w:left w:val="nil"/>
              <w:bottom w:val="nil"/>
              <w:right w:val="nil"/>
            </w:tcBorders>
            <w:shd w:val="clear" w:color="auto" w:fill="auto"/>
            <w:noWrap/>
            <w:hideMark/>
          </w:tcPr>
          <w:p w14:paraId="2ACEFB0C"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9,223 </w:t>
            </w:r>
          </w:p>
        </w:tc>
      </w:tr>
      <w:tr w:rsidR="00B0624C" w:rsidRPr="00821EC8" w14:paraId="3EF18C8C" w14:textId="77777777" w:rsidTr="005678FF">
        <w:trPr>
          <w:trHeight w:val="270"/>
        </w:trPr>
        <w:tc>
          <w:tcPr>
            <w:tcW w:w="1072" w:type="pct"/>
            <w:tcBorders>
              <w:top w:val="nil"/>
              <w:left w:val="nil"/>
              <w:bottom w:val="single" w:sz="18" w:space="0" w:color="002776"/>
              <w:right w:val="nil"/>
            </w:tcBorders>
            <w:shd w:val="clear" w:color="auto" w:fill="auto"/>
            <w:noWrap/>
            <w:vAlign w:val="bottom"/>
            <w:hideMark/>
          </w:tcPr>
          <w:p w14:paraId="4B9525F1" w14:textId="77777777" w:rsidR="00B0624C" w:rsidRPr="00A0328A" w:rsidRDefault="00B0624C" w:rsidP="006772A3">
            <w:pPr>
              <w:keepNext/>
              <w:keepLines/>
              <w:rPr>
                <w:rFonts w:cs="Arial"/>
                <w:sz w:val="20"/>
                <w:lang w:eastAsia="en-AU"/>
              </w:rPr>
            </w:pPr>
            <w:r w:rsidRPr="00A0328A">
              <w:rPr>
                <w:rFonts w:cs="Arial"/>
                <w:sz w:val="20"/>
                <w:lang w:eastAsia="en-AU"/>
              </w:rPr>
              <w:t>Employment (FTE)</w:t>
            </w:r>
          </w:p>
        </w:tc>
        <w:tc>
          <w:tcPr>
            <w:tcW w:w="589" w:type="pct"/>
            <w:tcBorders>
              <w:top w:val="nil"/>
              <w:left w:val="nil"/>
              <w:bottom w:val="single" w:sz="18" w:space="0" w:color="002776"/>
              <w:right w:val="nil"/>
            </w:tcBorders>
            <w:shd w:val="clear" w:color="auto" w:fill="auto"/>
            <w:noWrap/>
            <w:hideMark/>
          </w:tcPr>
          <w:p w14:paraId="33DD7162"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76,677 </w:t>
            </w:r>
          </w:p>
        </w:tc>
        <w:tc>
          <w:tcPr>
            <w:tcW w:w="503" w:type="pct"/>
            <w:tcBorders>
              <w:top w:val="nil"/>
              <w:left w:val="nil"/>
              <w:bottom w:val="single" w:sz="18" w:space="0" w:color="002776"/>
              <w:right w:val="nil"/>
            </w:tcBorders>
            <w:shd w:val="clear" w:color="auto" w:fill="auto"/>
            <w:noWrap/>
            <w:hideMark/>
          </w:tcPr>
          <w:p w14:paraId="5153867B"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19,463 </w:t>
            </w:r>
          </w:p>
        </w:tc>
        <w:tc>
          <w:tcPr>
            <w:tcW w:w="756" w:type="pct"/>
            <w:tcBorders>
              <w:top w:val="nil"/>
              <w:left w:val="nil"/>
              <w:bottom w:val="single" w:sz="18" w:space="0" w:color="002776"/>
              <w:right w:val="nil"/>
            </w:tcBorders>
            <w:shd w:val="clear" w:color="auto" w:fill="auto"/>
            <w:noWrap/>
            <w:hideMark/>
          </w:tcPr>
          <w:p w14:paraId="0C5AFA46"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6,016 </w:t>
            </w:r>
          </w:p>
        </w:tc>
        <w:tc>
          <w:tcPr>
            <w:tcW w:w="672" w:type="pct"/>
            <w:tcBorders>
              <w:top w:val="nil"/>
              <w:left w:val="nil"/>
              <w:bottom w:val="single" w:sz="18" w:space="0" w:color="002776"/>
              <w:right w:val="nil"/>
            </w:tcBorders>
            <w:shd w:val="clear" w:color="auto" w:fill="auto"/>
            <w:noWrap/>
            <w:hideMark/>
          </w:tcPr>
          <w:p w14:paraId="193FFDE3"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11,731 </w:t>
            </w:r>
          </w:p>
        </w:tc>
        <w:tc>
          <w:tcPr>
            <w:tcW w:w="741" w:type="pct"/>
            <w:tcBorders>
              <w:top w:val="nil"/>
              <w:left w:val="nil"/>
              <w:bottom w:val="single" w:sz="18" w:space="0" w:color="002776"/>
              <w:right w:val="nil"/>
            </w:tcBorders>
            <w:shd w:val="clear" w:color="auto" w:fill="auto"/>
            <w:noWrap/>
            <w:hideMark/>
          </w:tcPr>
          <w:p w14:paraId="46FBB89E" w14:textId="77777777" w:rsidR="00B0624C" w:rsidRPr="00D703A4" w:rsidRDefault="00B0624C" w:rsidP="000349C1">
            <w:pPr>
              <w:keepNext/>
              <w:keepLines/>
              <w:jc w:val="center"/>
              <w:rPr>
                <w:rFonts w:cs="Arial"/>
                <w:sz w:val="20"/>
                <w:lang w:eastAsia="en-AU"/>
              </w:rPr>
            </w:pPr>
            <w:r w:rsidRPr="007C15A9">
              <w:rPr>
                <w:rFonts w:asciiTheme="minorHAnsi" w:hAnsiTheme="minorHAnsi"/>
                <w:sz w:val="20"/>
              </w:rPr>
              <w:t xml:space="preserve"> 5,000 </w:t>
            </w:r>
          </w:p>
        </w:tc>
        <w:tc>
          <w:tcPr>
            <w:tcW w:w="667" w:type="pct"/>
            <w:tcBorders>
              <w:top w:val="nil"/>
              <w:left w:val="nil"/>
              <w:bottom w:val="single" w:sz="18" w:space="0" w:color="002776"/>
              <w:right w:val="nil"/>
            </w:tcBorders>
            <w:shd w:val="clear" w:color="auto" w:fill="auto"/>
            <w:noWrap/>
            <w:hideMark/>
          </w:tcPr>
          <w:p w14:paraId="41E6665B" w14:textId="77777777" w:rsidR="00B0624C" w:rsidRPr="00A0328A" w:rsidRDefault="00B0624C" w:rsidP="000349C1">
            <w:pPr>
              <w:keepNext/>
              <w:keepLines/>
              <w:jc w:val="center"/>
              <w:rPr>
                <w:rFonts w:cs="Arial"/>
                <w:sz w:val="20"/>
                <w:lang w:eastAsia="en-AU"/>
              </w:rPr>
            </w:pPr>
            <w:r w:rsidRPr="007C15A9">
              <w:rPr>
                <w:rFonts w:asciiTheme="minorHAnsi" w:hAnsiTheme="minorHAnsi"/>
                <w:sz w:val="20"/>
              </w:rPr>
              <w:t xml:space="preserve"> 118,888 </w:t>
            </w:r>
          </w:p>
        </w:tc>
      </w:tr>
    </w:tbl>
    <w:p w14:paraId="53A9A861" w14:textId="77777777" w:rsidR="00F86B13" w:rsidRDefault="00F86B13" w:rsidP="00F86B13">
      <w:pPr>
        <w:pStyle w:val="Source"/>
        <w:keepNext/>
        <w:keepLines/>
        <w:contextualSpacing/>
      </w:pPr>
      <w:r>
        <w:t>Source: Deloitte Access Economics</w:t>
      </w:r>
      <w:r w:rsidR="00285257">
        <w:t>.</w:t>
      </w:r>
    </w:p>
    <w:p w14:paraId="2EAD830E" w14:textId="77777777" w:rsidR="00F86B13" w:rsidRDefault="00F86B13" w:rsidP="00F86B13">
      <w:pPr>
        <w:pStyle w:val="Source"/>
        <w:keepNext/>
        <w:keepLines/>
        <w:contextualSpacing/>
      </w:pPr>
      <w:r>
        <w:t xml:space="preserve">Note: Total does not include the contribution of New Zealand and </w:t>
      </w:r>
      <w:proofErr w:type="spellStart"/>
      <w:r>
        <w:t>AusAID</w:t>
      </w:r>
      <w:proofErr w:type="spellEnd"/>
      <w:r>
        <w:t>/Defence students, and consequently is not equal to the Mode 2 total given in</w:t>
      </w:r>
      <w:r w:rsidR="0091099E">
        <w:t xml:space="preserve"> </w:t>
      </w:r>
      <w:r w:rsidR="00252E05">
        <w:fldChar w:fldCharType="begin"/>
      </w:r>
      <w:r w:rsidR="00252E05">
        <w:instrText xml:space="preserve"> REF _Ref437418406 \r \h </w:instrText>
      </w:r>
      <w:r w:rsidR="00252E05">
        <w:fldChar w:fldCharType="separate"/>
      </w:r>
      <w:r w:rsidR="00F03FA0">
        <w:t>Table 3.1</w:t>
      </w:r>
      <w:r w:rsidR="00252E05">
        <w:fldChar w:fldCharType="end"/>
      </w:r>
      <w:r w:rsidR="00252E05">
        <w:t>.</w:t>
      </w:r>
    </w:p>
    <w:p w14:paraId="5189868D" w14:textId="77777777" w:rsidR="00F86B13" w:rsidRDefault="00F86B13" w:rsidP="00F86B13">
      <w:pPr>
        <w:pStyle w:val="Heading2"/>
      </w:pPr>
      <w:bookmarkStart w:id="134" w:name="_Toc436922207"/>
      <w:bookmarkStart w:id="135" w:name="_Ref437352912"/>
      <w:bookmarkStart w:id="136" w:name="_Toc450809239"/>
      <w:r>
        <w:t>Industries best placed to leverage off future growth in international education</w:t>
      </w:r>
      <w:bookmarkEnd w:id="134"/>
      <w:bookmarkEnd w:id="135"/>
      <w:bookmarkEnd w:id="136"/>
      <w:r>
        <w:t xml:space="preserve"> </w:t>
      </w:r>
    </w:p>
    <w:p w14:paraId="23FBC097" w14:textId="77777777" w:rsidR="00F86B13" w:rsidRDefault="00F86B13" w:rsidP="00F86B13">
      <w:pPr>
        <w:pStyle w:val="BodyText"/>
      </w:pPr>
      <w:r>
        <w:t xml:space="preserve">The following section explores the indirect contribution in detail, focusing on the industries that are supported by the international education sector, and would likely benefit from an expansion in the sector’s activities. </w:t>
      </w:r>
    </w:p>
    <w:p w14:paraId="0C1833E1" w14:textId="39A457F2" w:rsidR="00F86B13" w:rsidRPr="003B260D" w:rsidRDefault="00F86B13" w:rsidP="00F86B13">
      <w:pPr>
        <w:pStyle w:val="BodyText"/>
        <w:rPr>
          <w:b/>
          <w:i/>
          <w:color w:val="002776" w:themeColor="text2"/>
        </w:rPr>
      </w:pPr>
      <w:r>
        <w:t>The $9.3 billion in export fee revenue from the provision of international education and education services to students and other users, indirectly supported $2.0 billion in value added in other sectors.</w:t>
      </w:r>
      <w:r>
        <w:rPr>
          <w:rStyle w:val="FootnoteReference"/>
        </w:rPr>
        <w:footnoteReference w:id="11"/>
      </w:r>
      <w:r>
        <w:t xml:space="preserve"> </w:t>
      </w:r>
      <w:r w:rsidRPr="000349C1">
        <w:rPr>
          <w:b/>
          <w:color w:val="002776" w:themeColor="text2"/>
        </w:rPr>
        <w:t>On average, each dollar of revenue on international education fees supports $0.21 of indirect value added in other industries</w:t>
      </w:r>
      <w:r w:rsidR="008539C7">
        <w:rPr>
          <w:b/>
          <w:i/>
          <w:color w:val="002776" w:themeColor="text2"/>
        </w:rPr>
        <w:t>.</w:t>
      </w:r>
      <w:r w:rsidR="00A431A4">
        <w:rPr>
          <w:b/>
          <w:i/>
          <w:color w:val="002776" w:themeColor="text2"/>
        </w:rPr>
        <w:t xml:space="preserve"> </w:t>
      </w:r>
      <w:r>
        <w:t xml:space="preserve">The top three indirect sectors that benefit are professional, scientific and technical services ($0.04 for each dollar of revenue on international education fees), employment, travel agency and other administrative services ($0.02), and other services ($0.02). </w:t>
      </w:r>
    </w:p>
    <w:p w14:paraId="178AFC1B" w14:textId="77777777" w:rsidR="00F86B13" w:rsidRDefault="00F86B13" w:rsidP="00F86B13">
      <w:pPr>
        <w:pStyle w:val="BodyText"/>
      </w:pPr>
      <w:r>
        <w:fldChar w:fldCharType="begin"/>
      </w:r>
      <w:r>
        <w:instrText xml:space="preserve"> REF _Ref437281935 \r \h </w:instrText>
      </w:r>
      <w:r>
        <w:fldChar w:fldCharType="separate"/>
      </w:r>
      <w:r w:rsidR="00F03FA0">
        <w:t>Chart 3.2</w:t>
      </w:r>
      <w:r>
        <w:fldChar w:fldCharType="end"/>
      </w:r>
      <w:r>
        <w:t xml:space="preserve"> shows the breakdown of indirect value added by the top five industries. Together, they account for approximately 48% of total indirect value added.</w:t>
      </w:r>
    </w:p>
    <w:p w14:paraId="49F66895" w14:textId="77777777" w:rsidR="00F86B13" w:rsidRDefault="00F86B13" w:rsidP="00163EA3">
      <w:pPr>
        <w:pStyle w:val="CaptionChart"/>
        <w:outlineLvl w:val="0"/>
      </w:pPr>
      <w:bookmarkStart w:id="137" w:name="_Ref437281935"/>
      <w:bookmarkStart w:id="138" w:name="_Toc450809272"/>
      <w:r>
        <w:lastRenderedPageBreak/>
        <w:t xml:space="preserve">: Indirect value added </w:t>
      </w:r>
      <w:r w:rsidR="006569D3">
        <w:t xml:space="preserve">to GDP </w:t>
      </w:r>
      <w:r>
        <w:t>from international education fees, 2014-15</w:t>
      </w:r>
      <w:bookmarkEnd w:id="137"/>
      <w:bookmarkEnd w:id="138"/>
    </w:p>
    <w:p w14:paraId="0D16EEA1" w14:textId="77777777" w:rsidR="00F86B13" w:rsidRDefault="00F86B13" w:rsidP="000349C1">
      <w:pPr>
        <w:pStyle w:val="BodyText"/>
      </w:pPr>
      <w:r w:rsidRPr="003B0524">
        <w:rPr>
          <w:noProof/>
          <w:lang w:eastAsia="en-AU"/>
        </w:rPr>
        <w:drawing>
          <wp:inline distT="0" distB="0" distL="0" distR="0" wp14:anchorId="2BF3AA0B" wp14:editId="77C1AA8D">
            <wp:extent cx="4624737" cy="2556000"/>
            <wp:effectExtent l="0" t="0" r="0" b="9525"/>
            <wp:docPr id="52" name="Picture 52" descr="The chart shows the breakdown of indirect value added to GDP from international education fees by top five industries in financial year 2014–15." title="Chart 3.2: Indirect value added to GDP from international education fees,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24737" cy="2556000"/>
                    </a:xfrm>
                    <a:prstGeom prst="rect">
                      <a:avLst/>
                    </a:prstGeom>
                    <a:noFill/>
                    <a:ln>
                      <a:noFill/>
                    </a:ln>
                  </pic:spPr>
                </pic:pic>
              </a:graphicData>
            </a:graphic>
          </wp:inline>
        </w:drawing>
      </w:r>
    </w:p>
    <w:p w14:paraId="43CD4971" w14:textId="77777777" w:rsidR="00F86B13" w:rsidRDefault="00F86B13" w:rsidP="00F86B13">
      <w:pPr>
        <w:pStyle w:val="Source"/>
        <w:keepNext/>
        <w:keepLines/>
        <w:contextualSpacing/>
      </w:pPr>
      <w:r>
        <w:t>Source: Deloitte Access Economics</w:t>
      </w:r>
      <w:r w:rsidR="00285257">
        <w:t>.</w:t>
      </w:r>
    </w:p>
    <w:p w14:paraId="35873B4F" w14:textId="77777777" w:rsidR="00F86B13" w:rsidRPr="000349C1" w:rsidRDefault="00F86B13" w:rsidP="00F86B13">
      <w:pPr>
        <w:pStyle w:val="BodyText"/>
      </w:pPr>
      <w:r>
        <w:t xml:space="preserve">A variety of sectors are also likely to be both </w:t>
      </w:r>
      <w:r w:rsidRPr="000349C1">
        <w:rPr>
          <w:b/>
          <w:color w:val="002776" w:themeColor="text2"/>
        </w:rPr>
        <w:t>directly</w:t>
      </w:r>
      <w:r w:rsidRPr="003B260D">
        <w:rPr>
          <w:color w:val="002776" w:themeColor="text2"/>
        </w:rPr>
        <w:t xml:space="preserve"> </w:t>
      </w:r>
      <w:r w:rsidRPr="003B260D">
        <w:t xml:space="preserve">and </w:t>
      </w:r>
      <w:r w:rsidRPr="000349C1">
        <w:rPr>
          <w:b/>
          <w:color w:val="002776" w:themeColor="text2"/>
        </w:rPr>
        <w:t>indirectly</w:t>
      </w:r>
      <w:r w:rsidRPr="003B260D">
        <w:rPr>
          <w:color w:val="002776" w:themeColor="text2"/>
        </w:rPr>
        <w:t xml:space="preserve"> </w:t>
      </w:r>
      <w:r>
        <w:t xml:space="preserve">supported by onshore international student expenditure on goods and services, with direct </w:t>
      </w:r>
      <w:r w:rsidR="00F21DE6">
        <w:t>value added</w:t>
      </w:r>
      <w:r>
        <w:t xml:space="preserve"> not limited to one particular sector, as in the case with fees. A total onshore student </w:t>
      </w:r>
      <w:r w:rsidR="00B0624C">
        <w:t xml:space="preserve">expenditure of $9.7 billion on living expenses in 2014-15 contributed $5.2 billion in direct valued added, and $2.9 billion in indirect value added. </w:t>
      </w:r>
      <w:r w:rsidR="00B0624C" w:rsidRPr="000349C1">
        <w:rPr>
          <w:b/>
          <w:color w:val="002776" w:themeColor="text2"/>
        </w:rPr>
        <w:t>That is equivalent to $0.56 and $0.3</w:t>
      </w:r>
      <w:r w:rsidR="00B0624C">
        <w:rPr>
          <w:b/>
          <w:color w:val="002776" w:themeColor="text2"/>
        </w:rPr>
        <w:t>1</w:t>
      </w:r>
      <w:r w:rsidR="00B0624C" w:rsidRPr="000349C1">
        <w:rPr>
          <w:b/>
          <w:color w:val="002776" w:themeColor="text2"/>
        </w:rPr>
        <w:t xml:space="preserve"> in direct and indirect value added to the Australian economy for every dollar of student expenditure on living expenses.</w:t>
      </w:r>
    </w:p>
    <w:p w14:paraId="1FFB1593" w14:textId="77777777" w:rsidR="00F86B13" w:rsidRDefault="00F86B13" w:rsidP="00F86B13">
      <w:pPr>
        <w:pStyle w:val="BodyText"/>
      </w:pPr>
      <w:r>
        <w:t>The direct value-added from student expenditure on goods and services are concentrated in the following three sectors</w:t>
      </w:r>
      <w:r w:rsidR="00F21DE6">
        <w:t>: ownership of dwellings; retail trade;</w:t>
      </w:r>
      <w:r>
        <w:t xml:space="preserve"> and transportation (includes rail and road). In particular, e</w:t>
      </w:r>
      <w:r w:rsidRPr="00EA1B94">
        <w:t>ach dollar of student expenditure on goods and services directly contribute</w:t>
      </w:r>
      <w:r>
        <w:t>s</w:t>
      </w:r>
      <w:r w:rsidRPr="00EA1B94">
        <w:t xml:space="preserve"> to $0.19 in value added </w:t>
      </w:r>
      <w:r>
        <w:t>to</w:t>
      </w:r>
      <w:r w:rsidRPr="00EA1B94">
        <w:t xml:space="preserve"> ownership of </w:t>
      </w:r>
      <w:r w:rsidR="00B0624C" w:rsidRPr="00EA1B94">
        <w:t>dwellings, $0.1</w:t>
      </w:r>
      <w:r w:rsidR="00B0624C">
        <w:t>4</w:t>
      </w:r>
      <w:r w:rsidR="00B0624C" w:rsidRPr="00EA1B94">
        <w:t xml:space="preserve"> </w:t>
      </w:r>
      <w:r w:rsidR="00B0624C">
        <w:t>to</w:t>
      </w:r>
      <w:r w:rsidR="00B0624C" w:rsidRPr="00EA1B94">
        <w:t xml:space="preserve"> retail</w:t>
      </w:r>
      <w:r w:rsidR="00B0624C">
        <w:t xml:space="preserve"> trade</w:t>
      </w:r>
      <w:r w:rsidR="00B0624C" w:rsidRPr="00EA1B94">
        <w:t xml:space="preserve">; and $0.04 </w:t>
      </w:r>
      <w:r w:rsidR="00B0624C">
        <w:t>to</w:t>
      </w:r>
      <w:r w:rsidR="00B0624C" w:rsidRPr="00EA1B94">
        <w:t xml:space="preserve"> </w:t>
      </w:r>
      <w:r w:rsidR="00B0624C">
        <w:t>transportation</w:t>
      </w:r>
      <w:r w:rsidR="00B0624C" w:rsidRPr="00EA1B94">
        <w:t>.</w:t>
      </w:r>
    </w:p>
    <w:p w14:paraId="7E777400" w14:textId="77777777" w:rsidR="00F86B13" w:rsidRDefault="00F86B13" w:rsidP="00F86B13">
      <w:pPr>
        <w:pStyle w:val="BodyText"/>
      </w:pPr>
      <w:r>
        <w:t>This is largely consistent with the Universities Australia breakdown of total expenditure by categories, with a high total expenditure typically associated with a high value added. However, whereas retail trade was the largest sector by spending, it is the second largest by value added as it relies more on intermediate inputs than the dwellings sector.</w:t>
      </w:r>
    </w:p>
    <w:p w14:paraId="47AA2EC4" w14:textId="77777777" w:rsidR="00F86B13" w:rsidRDefault="00F86B13" w:rsidP="00F86B13">
      <w:pPr>
        <w:pStyle w:val="BodyText"/>
      </w:pPr>
      <w:r>
        <w:t>The benefits of international education to these direct industries have also been recognised by consultation participants. In particular, they have emphasised the importance of international students to supporting the local rental and the property construction market, particularly in regional areas. Other consultation participants also noted the contribution of international students to the retail and tourism industries.</w:t>
      </w:r>
    </w:p>
    <w:p w14:paraId="66D0FE53" w14:textId="77777777" w:rsidR="00F86B13" w:rsidRPr="00EA1B94" w:rsidRDefault="00B0624C" w:rsidP="00F86B13">
      <w:pPr>
        <w:pStyle w:val="BodyText"/>
        <w:rPr>
          <w:b/>
        </w:rPr>
      </w:pPr>
      <w:r>
        <w:lastRenderedPageBreak/>
        <w:fldChar w:fldCharType="begin"/>
      </w:r>
      <w:r>
        <w:instrText xml:space="preserve"> REF _Ref437347974 \r \h </w:instrText>
      </w:r>
      <w:r>
        <w:fldChar w:fldCharType="separate"/>
      </w:r>
      <w:r w:rsidR="00F03FA0">
        <w:t>Chart 3.3</w:t>
      </w:r>
      <w:r>
        <w:fldChar w:fldCharType="end"/>
      </w:r>
      <w:r>
        <w:t xml:space="preserve"> shows the breakdown of direct value added by the top five industries.</w:t>
      </w:r>
      <w:r w:rsidR="00A431A4">
        <w:rPr>
          <w:rStyle w:val="FootnoteReference"/>
        </w:rPr>
        <w:footnoteReference w:id="12"/>
      </w:r>
      <w:r>
        <w:t xml:space="preserve"> They account for 76% of the direct benefits from international student ex</w:t>
      </w:r>
      <w:r w:rsidR="007A7711">
        <w:t>penditure on goods and services</w:t>
      </w:r>
      <w:r w:rsidR="00F86B13">
        <w:t>.</w:t>
      </w:r>
    </w:p>
    <w:p w14:paraId="7AB9B048" w14:textId="77777777" w:rsidR="00F86B13" w:rsidRDefault="00F86B13" w:rsidP="00163EA3">
      <w:pPr>
        <w:pStyle w:val="CaptionChart"/>
        <w:outlineLvl w:val="0"/>
      </w:pPr>
      <w:bookmarkStart w:id="139" w:name="_Ref437347974"/>
      <w:bookmarkStart w:id="140" w:name="_Toc450809273"/>
      <w:r>
        <w:t xml:space="preserve">: Direct value added </w:t>
      </w:r>
      <w:r w:rsidR="006569D3">
        <w:t xml:space="preserve">to GDP </w:t>
      </w:r>
      <w:r>
        <w:t>from living expenses, 2014-15</w:t>
      </w:r>
      <w:bookmarkEnd w:id="139"/>
      <w:bookmarkEnd w:id="140"/>
      <w:r>
        <w:t xml:space="preserve"> </w:t>
      </w:r>
    </w:p>
    <w:p w14:paraId="40ACBD35" w14:textId="77777777" w:rsidR="00F86B13" w:rsidRDefault="00F86B13" w:rsidP="000349C1">
      <w:pPr>
        <w:pStyle w:val="BodyText"/>
      </w:pPr>
      <w:r w:rsidRPr="00F4427B">
        <w:t xml:space="preserve"> </w:t>
      </w:r>
      <w:r w:rsidR="00B0624C" w:rsidRPr="000955B5">
        <w:rPr>
          <w:noProof/>
          <w:lang w:eastAsia="en-AU"/>
        </w:rPr>
        <w:drawing>
          <wp:inline distT="0" distB="0" distL="0" distR="0" wp14:anchorId="53347F61" wp14:editId="23D1D2C0">
            <wp:extent cx="4984428" cy="2556000"/>
            <wp:effectExtent l="0" t="0" r="0" b="9525"/>
            <wp:docPr id="23" name="Picture 23" descr="The chart shows the breakdown of direct value added to GDP from living expenses by top five industries in financial year 2014–15." title="Chart 3.2: Indirect value added to GDP from international education fees, 2014–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84428" cy="2556000"/>
                    </a:xfrm>
                    <a:prstGeom prst="rect">
                      <a:avLst/>
                    </a:prstGeom>
                    <a:noFill/>
                    <a:ln>
                      <a:noFill/>
                    </a:ln>
                  </pic:spPr>
                </pic:pic>
              </a:graphicData>
            </a:graphic>
          </wp:inline>
        </w:drawing>
      </w:r>
    </w:p>
    <w:p w14:paraId="3DE36841" w14:textId="77777777" w:rsidR="00F86B13" w:rsidRDefault="00F86B13" w:rsidP="00F86B13">
      <w:pPr>
        <w:pStyle w:val="Source"/>
        <w:keepNext/>
        <w:keepLines/>
        <w:contextualSpacing/>
      </w:pPr>
      <w:r>
        <w:t>Source: Deloitte Access Economics</w:t>
      </w:r>
      <w:r w:rsidR="00285257">
        <w:t>.</w:t>
      </w:r>
    </w:p>
    <w:p w14:paraId="582362D3" w14:textId="77777777" w:rsidR="00F86B13" w:rsidRDefault="00F86B13" w:rsidP="00F86B13">
      <w:pPr>
        <w:pStyle w:val="BodyText"/>
      </w:pPr>
      <w:r>
        <w:t xml:space="preserve">The indirect value added from student expenditure on goods and services are concentrated in the sectors of finance, professional, scientific and technical services, and non-residential property operators and real estate services. Finance and construction services are important intermediate inputs for the provision of dwellings and consequently gain indirectly as a result of international students. Similarly, retail trade relies on both professional services and non-residential real estate services to run their businesses. </w:t>
      </w:r>
    </w:p>
    <w:p w14:paraId="609310FE" w14:textId="77777777" w:rsidR="00F86B13" w:rsidRPr="000349C1" w:rsidRDefault="00F86B13" w:rsidP="00F86B13">
      <w:pPr>
        <w:pStyle w:val="BodyText"/>
      </w:pPr>
      <w:r w:rsidRPr="000349C1">
        <w:rPr>
          <w:b/>
          <w:color w:val="002776" w:themeColor="text2"/>
        </w:rPr>
        <w:t>Each dollar of student expenditure on goods and services indirectly contributed to $0.05 in value added in the finance sector, and $0.03 in the professional services and non-residential property operators sectors respectively.</w:t>
      </w:r>
    </w:p>
    <w:p w14:paraId="04FFC009" w14:textId="77777777" w:rsidR="00F86B13" w:rsidRDefault="00131304" w:rsidP="00F86B13">
      <w:pPr>
        <w:pStyle w:val="BodyText"/>
      </w:pPr>
      <w:r>
        <w:fldChar w:fldCharType="begin"/>
      </w:r>
      <w:r>
        <w:instrText xml:space="preserve"> REF _Ref437348013 \r \h </w:instrText>
      </w:r>
      <w:r>
        <w:fldChar w:fldCharType="separate"/>
      </w:r>
      <w:r w:rsidR="00F03FA0">
        <w:t>Chart 3.4</w:t>
      </w:r>
      <w:r>
        <w:fldChar w:fldCharType="end"/>
      </w:r>
      <w:r w:rsidR="00F86B13">
        <w:t xml:space="preserve"> shows the breakdown of indirect value added by the top five industries. Collectively, they make up 48% of total indirect value added from international student expenditure on goods and services.</w:t>
      </w:r>
    </w:p>
    <w:p w14:paraId="6276D1FD" w14:textId="77777777" w:rsidR="00F86B13" w:rsidRDefault="00F86B13" w:rsidP="00F86B13">
      <w:pPr>
        <w:pStyle w:val="BodyText"/>
      </w:pPr>
    </w:p>
    <w:p w14:paraId="0362C403" w14:textId="77777777" w:rsidR="00F86B13" w:rsidRDefault="00F86B13" w:rsidP="00163EA3">
      <w:pPr>
        <w:pStyle w:val="CaptionChart"/>
        <w:outlineLvl w:val="0"/>
      </w:pPr>
      <w:bookmarkStart w:id="141" w:name="_Ref437348013"/>
      <w:bookmarkStart w:id="142" w:name="_Toc450809274"/>
      <w:r>
        <w:lastRenderedPageBreak/>
        <w:t xml:space="preserve">: Indirect value added </w:t>
      </w:r>
      <w:r w:rsidR="006569D3">
        <w:t xml:space="preserve">to GDP </w:t>
      </w:r>
      <w:r>
        <w:t>from living expenses, 2014-15</w:t>
      </w:r>
      <w:bookmarkEnd w:id="141"/>
      <w:bookmarkEnd w:id="142"/>
      <w:r>
        <w:t xml:space="preserve"> </w:t>
      </w:r>
    </w:p>
    <w:p w14:paraId="7F06462E" w14:textId="77777777" w:rsidR="00F86B13" w:rsidRDefault="00B0624C" w:rsidP="00F86B13">
      <w:pPr>
        <w:pStyle w:val="BodyText"/>
      </w:pPr>
      <w:r w:rsidRPr="000955B5">
        <w:rPr>
          <w:noProof/>
          <w:lang w:eastAsia="en-AU"/>
        </w:rPr>
        <w:drawing>
          <wp:inline distT="0" distB="0" distL="0" distR="0" wp14:anchorId="5C6D3667" wp14:editId="2964DECF">
            <wp:extent cx="4622211" cy="2556000"/>
            <wp:effectExtent l="0" t="0" r="635" b="9525"/>
            <wp:docPr id="24" name="Picture 24" descr="The chart shows the breakdown of indirect value added to GDP from living expenses by top five industries in financial year 2014–15.&#10;" title="Chart 3.4: Indirect value added to GDP from living expenses,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622211" cy="2556000"/>
                    </a:xfrm>
                    <a:prstGeom prst="rect">
                      <a:avLst/>
                    </a:prstGeom>
                    <a:noFill/>
                    <a:ln>
                      <a:noFill/>
                    </a:ln>
                  </pic:spPr>
                </pic:pic>
              </a:graphicData>
            </a:graphic>
          </wp:inline>
        </w:drawing>
      </w:r>
    </w:p>
    <w:p w14:paraId="2EBF6187" w14:textId="77777777" w:rsidR="00F86B13" w:rsidRDefault="00F86B13" w:rsidP="00F86B13">
      <w:pPr>
        <w:pStyle w:val="Source"/>
        <w:keepNext/>
        <w:keepLines/>
        <w:contextualSpacing/>
      </w:pPr>
      <w:r>
        <w:t>Source: Deloitte Access Economics</w:t>
      </w:r>
      <w:r w:rsidR="00285257">
        <w:t>.</w:t>
      </w:r>
    </w:p>
    <w:p w14:paraId="7F0D3375" w14:textId="77777777" w:rsidR="00B0624C" w:rsidRDefault="00B0624C" w:rsidP="00B0624C">
      <w:pPr>
        <w:pStyle w:val="Source"/>
        <w:keepNext/>
        <w:keepLines/>
        <w:contextualSpacing/>
      </w:pPr>
      <w:r>
        <w:t xml:space="preserve">Note: for comparison purposes, the sum of indirect benefits in </w:t>
      </w:r>
      <w:r>
        <w:fldChar w:fldCharType="begin"/>
      </w:r>
      <w:r>
        <w:instrText xml:space="preserve"> REF _Ref437281935 \r \h </w:instrText>
      </w:r>
      <w:r>
        <w:fldChar w:fldCharType="separate"/>
      </w:r>
      <w:r w:rsidR="00F03FA0">
        <w:t>Chart 3.2</w:t>
      </w:r>
      <w:r>
        <w:fldChar w:fldCharType="end"/>
      </w:r>
      <w:r>
        <w:t xml:space="preserve"> ($</w:t>
      </w:r>
      <w:proofErr w:type="spellStart"/>
      <w:r>
        <w:t>1,980M</w:t>
      </w:r>
      <w:proofErr w:type="spellEnd"/>
      <w:r>
        <w:t xml:space="preserve">) and indirect benefits in </w:t>
      </w:r>
      <w:r>
        <w:fldChar w:fldCharType="begin"/>
      </w:r>
      <w:r>
        <w:instrText xml:space="preserve"> REF _Ref437348013 \r \h </w:instrText>
      </w:r>
      <w:r>
        <w:fldChar w:fldCharType="separate"/>
      </w:r>
      <w:r w:rsidR="00F03FA0">
        <w:t>Chart 3.4</w:t>
      </w:r>
      <w:r>
        <w:fldChar w:fldCharType="end"/>
      </w:r>
      <w:r>
        <w:t xml:space="preserve"> ($</w:t>
      </w:r>
      <w:proofErr w:type="spellStart"/>
      <w:r>
        <w:t>2,928M</w:t>
      </w:r>
      <w:proofErr w:type="spellEnd"/>
      <w:r>
        <w:t>) is equal to total indirect contribution ($</w:t>
      </w:r>
      <w:proofErr w:type="spellStart"/>
      <w:r>
        <w:t>4,908M</w:t>
      </w:r>
      <w:proofErr w:type="spellEnd"/>
      <w:r>
        <w:t>) in</w:t>
      </w:r>
      <w:r w:rsidR="007A7711">
        <w:t xml:space="preserve"> </w:t>
      </w:r>
      <w:r w:rsidR="007A7711">
        <w:fldChar w:fldCharType="begin"/>
      </w:r>
      <w:r w:rsidR="007A7711">
        <w:instrText xml:space="preserve"> REF _Ref438733106 \r \h </w:instrText>
      </w:r>
      <w:r w:rsidR="007A7711">
        <w:fldChar w:fldCharType="separate"/>
      </w:r>
      <w:r w:rsidR="00F03FA0">
        <w:t>Table 3.1</w:t>
      </w:r>
      <w:r w:rsidR="007A7711">
        <w:fldChar w:fldCharType="end"/>
      </w:r>
      <w:r w:rsidR="007A7711">
        <w:t>.</w:t>
      </w:r>
    </w:p>
    <w:p w14:paraId="387C1148" w14:textId="77777777" w:rsidR="00F86B13" w:rsidRDefault="00F86B13" w:rsidP="00F86B13">
      <w:pPr>
        <w:pStyle w:val="BodyText"/>
      </w:pPr>
      <w:r>
        <w:t xml:space="preserve">The analysis here has been based on industry linkages associated with expenditure by international students and indeed these linkages were mentioned explicitly in a number of the stakeholder consultations.  However, international students may create broader linkages with local industries through </w:t>
      </w:r>
      <w:r w:rsidRPr="00E44A70">
        <w:t xml:space="preserve">access </w:t>
      </w:r>
      <w:r>
        <w:t xml:space="preserve">to </w:t>
      </w:r>
      <w:r w:rsidRPr="00E44A70">
        <w:t>a skilled workforce, knowledge exchange</w:t>
      </w:r>
      <w:r>
        <w:t>, industry connections</w:t>
      </w:r>
      <w:r w:rsidRPr="00E44A70">
        <w:t xml:space="preserve"> or trade facilitation</w:t>
      </w:r>
      <w:r>
        <w:t xml:space="preserve">. As part of the consultations, stakeholders were asked to comment on these potential industry linkages and to discuss which sectors could benefit from closer linkages to international students going forward. The findings from these stakeholder consultations are summarised in the box below. </w:t>
      </w:r>
    </w:p>
    <w:p w14:paraId="0AAFC1B7" w14:textId="77777777" w:rsidR="008539C7" w:rsidRDefault="008539C7" w:rsidP="00F86B13">
      <w:pPr>
        <w:pStyle w:val="BodyText"/>
        <w:ind w:firstLine="567"/>
        <w:rPr>
          <w:b/>
        </w:rPr>
      </w:pPr>
    </w:p>
    <w:p w14:paraId="13A732B2" w14:textId="77777777" w:rsidR="00C558D5" w:rsidRPr="000349C1" w:rsidRDefault="00C558D5" w:rsidP="00163EA3">
      <w:pPr>
        <w:pStyle w:val="IndentParaGrey"/>
        <w:outlineLvl w:val="0"/>
        <w:rPr>
          <w:b/>
          <w:color w:val="002776" w:themeColor="text2"/>
        </w:rPr>
      </w:pPr>
      <w:r w:rsidRPr="000349C1">
        <w:rPr>
          <w:b/>
          <w:color w:val="002776" w:themeColor="text2"/>
        </w:rPr>
        <w:lastRenderedPageBreak/>
        <w:t>Stakeholder views on potential industry linkages</w:t>
      </w:r>
    </w:p>
    <w:p w14:paraId="10508666" w14:textId="77777777" w:rsidR="00F86B13" w:rsidRPr="00E83668" w:rsidRDefault="00F86B13" w:rsidP="00163EA3">
      <w:pPr>
        <w:pStyle w:val="IndentParaGrey"/>
        <w:outlineLvl w:val="0"/>
        <w:rPr>
          <w:i/>
        </w:rPr>
      </w:pPr>
      <w:r>
        <w:rPr>
          <w:i/>
        </w:rPr>
        <w:t>A</w:t>
      </w:r>
      <w:r w:rsidRPr="00E83668">
        <w:rPr>
          <w:i/>
        </w:rPr>
        <w:t>ddressing skill shortages</w:t>
      </w:r>
    </w:p>
    <w:p w14:paraId="7C409F37" w14:textId="77777777" w:rsidR="00F86B13" w:rsidRDefault="00F86B13" w:rsidP="00F86B13">
      <w:pPr>
        <w:pStyle w:val="IndentParaGrey"/>
      </w:pPr>
      <w:r>
        <w:t xml:space="preserve">A number of stakeholders highlighted the role played by international students in addressing workplace shortages in certain sectors.  In particular, a number mentioned the important role of international students in providing a casual workforce for the hospitality sector during the course of their studies and also providing a permanent workforce for the sector after graduating. </w:t>
      </w:r>
    </w:p>
    <w:p w14:paraId="5628E89B" w14:textId="77777777" w:rsidR="00F86B13" w:rsidRDefault="00F86B13" w:rsidP="00F86B13">
      <w:pPr>
        <w:pStyle w:val="IndentParaGrey"/>
      </w:pPr>
      <w:r>
        <w:t xml:space="preserve">It was noted that if international students are able to get some work experience during or after their studies at major hotel chains, this experience is likely to be highly valued by hotels in their home country. Stakeholders noted that a number of major chains such as Accor were particularly interested in hiring international students particularly given their language skills and cultural connections to tourists from their home countries. </w:t>
      </w:r>
    </w:p>
    <w:p w14:paraId="7A70643D" w14:textId="77777777" w:rsidR="00F86B13" w:rsidRDefault="00F86B13" w:rsidP="00F86B13">
      <w:pPr>
        <w:pStyle w:val="IndentParaGrey"/>
      </w:pPr>
      <w:r>
        <w:t xml:space="preserve">Other stakeholders noted that international students could play an important role in addressing skills shortages in areas such as nursing and aged care and accounting. Others mentioned that many restaurants and agricultural producers were reliant on casual work by international students. </w:t>
      </w:r>
    </w:p>
    <w:p w14:paraId="44C26182" w14:textId="77777777" w:rsidR="00F86B13" w:rsidRDefault="00F86B13" w:rsidP="00F86B13">
      <w:pPr>
        <w:pStyle w:val="IndentParaGrey"/>
        <w:rPr>
          <w:i/>
        </w:rPr>
      </w:pPr>
      <w:r w:rsidRPr="00CB6108">
        <w:rPr>
          <w:i/>
        </w:rPr>
        <w:t>Innovation</w:t>
      </w:r>
    </w:p>
    <w:p w14:paraId="7023A0E6" w14:textId="77777777" w:rsidR="00F86B13" w:rsidRDefault="00F86B13" w:rsidP="00F86B13">
      <w:pPr>
        <w:pStyle w:val="IndentParaGrey"/>
      </w:pPr>
      <w:r>
        <w:t>Some stakeholder</w:t>
      </w:r>
      <w:r w:rsidR="001C629B">
        <w:t>s</w:t>
      </w:r>
      <w:r>
        <w:t xml:space="preserve"> also noted that international students could play an important role in helping to start small businesses and participate in start-ups in Australia. For example, </w:t>
      </w:r>
      <w:proofErr w:type="spellStart"/>
      <w:r>
        <w:t>muru</w:t>
      </w:r>
      <w:proofErr w:type="spellEnd"/>
      <w:r>
        <w:t xml:space="preserve">-D, an incubator funded by Telstra has a significant focus on start-ups looking to overseas markets including China, creating significant opportunities for Chinese speaking students. </w:t>
      </w:r>
    </w:p>
    <w:p w14:paraId="21E08E3E" w14:textId="77777777" w:rsidR="00F86B13" w:rsidRDefault="00F86B13" w:rsidP="00F86B13">
      <w:pPr>
        <w:pStyle w:val="IndentParaGrey"/>
        <w:rPr>
          <w:i/>
        </w:rPr>
      </w:pPr>
      <w:r>
        <w:rPr>
          <w:i/>
        </w:rPr>
        <w:t xml:space="preserve">Tourism </w:t>
      </w:r>
    </w:p>
    <w:p w14:paraId="3EBDAF93" w14:textId="77777777" w:rsidR="00F86B13" w:rsidRDefault="00F86B13" w:rsidP="00F86B13">
      <w:pPr>
        <w:pStyle w:val="IndentParaGrey"/>
      </w:pPr>
      <w:r>
        <w:t xml:space="preserve">Some stakeholders mentioned that many international students help support the tourism sector by returning to Australia for holidays or business meetings after graduating. The role of return visits by former students is discussed further in section </w:t>
      </w:r>
      <w:r>
        <w:fldChar w:fldCharType="begin"/>
      </w:r>
      <w:r>
        <w:instrText xml:space="preserve"> REF _Ref436838053 \r \h </w:instrText>
      </w:r>
      <w:r>
        <w:fldChar w:fldCharType="separate"/>
      </w:r>
      <w:r w:rsidR="00F03FA0">
        <w:t>5.1</w:t>
      </w:r>
      <w:r>
        <w:fldChar w:fldCharType="end"/>
      </w:r>
      <w:r>
        <w:t>.</w:t>
      </w:r>
    </w:p>
    <w:p w14:paraId="0E056615" w14:textId="77777777" w:rsidR="00566A3F" w:rsidRPr="00EB2BDC" w:rsidRDefault="00566A3F" w:rsidP="00566A3F">
      <w:pPr>
        <w:pStyle w:val="IndentParaGrey"/>
        <w:rPr>
          <w:i/>
        </w:rPr>
      </w:pPr>
      <w:r w:rsidRPr="00EB2BDC">
        <w:rPr>
          <w:i/>
        </w:rPr>
        <w:t>Trade facilitation</w:t>
      </w:r>
    </w:p>
    <w:p w14:paraId="0029F8A4" w14:textId="77777777" w:rsidR="00566A3F" w:rsidRPr="00EB2BDC" w:rsidRDefault="00566A3F" w:rsidP="00566A3F">
      <w:pPr>
        <w:pStyle w:val="IndentParaGrey"/>
      </w:pPr>
      <w:r>
        <w:t xml:space="preserve">Some stakeholders also noted that international students may play a role in facilitating trade between Australia and their home countries, noting that many Indonesian supermarkets sell a significant range of Australian products partly to cater for the preferences of international students who have previously studied here. This is consistent with findings in the academic literature. </w:t>
      </w:r>
      <w:proofErr w:type="spellStart"/>
      <w:r>
        <w:t>Genc</w:t>
      </w:r>
      <w:proofErr w:type="spellEnd"/>
      <w:r>
        <w:t xml:space="preserve"> et al (2011) undertake a meta-analysis of studies looking at the relationship between immigration and trade, finding that on average a 10% increase in immigrants increases the volume of trade by 1.5%.</w:t>
      </w:r>
    </w:p>
    <w:p w14:paraId="65346A37" w14:textId="77777777" w:rsidR="00F86B13" w:rsidRDefault="00F86B13" w:rsidP="00163EA3">
      <w:pPr>
        <w:pStyle w:val="Heading1"/>
        <w:rPr>
          <w:lang w:eastAsia="en-AU"/>
        </w:rPr>
      </w:pPr>
      <w:bookmarkStart w:id="143" w:name="_Toc442369964"/>
      <w:bookmarkStart w:id="144" w:name="_Toc442369965"/>
      <w:bookmarkStart w:id="145" w:name="_Toc442369968"/>
      <w:bookmarkStart w:id="146" w:name="_Toc442369969"/>
      <w:bookmarkStart w:id="147" w:name="_Toc442369970"/>
      <w:bookmarkStart w:id="148" w:name="_Toc442369971"/>
      <w:bookmarkStart w:id="149" w:name="_Toc442369972"/>
      <w:bookmarkStart w:id="150" w:name="_Toc442369973"/>
      <w:bookmarkStart w:id="151" w:name="_Toc442369974"/>
      <w:bookmarkStart w:id="152" w:name="_Toc442369975"/>
      <w:bookmarkStart w:id="153" w:name="_Toc442369976"/>
      <w:bookmarkStart w:id="154" w:name="_Toc442369977"/>
      <w:bookmarkStart w:id="155" w:name="_Toc442369978"/>
      <w:bookmarkStart w:id="156" w:name="_Toc442369979"/>
      <w:bookmarkStart w:id="157" w:name="_Toc442369980"/>
      <w:bookmarkStart w:id="158" w:name="_Toc442369981"/>
      <w:bookmarkStart w:id="159" w:name="_Toc442369982"/>
      <w:bookmarkStart w:id="160" w:name="_Toc442369983"/>
      <w:bookmarkStart w:id="161" w:name="_Toc436922208"/>
      <w:bookmarkStart w:id="162" w:name="_Toc450809240"/>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Pr>
          <w:lang w:eastAsia="en-AU"/>
        </w:rPr>
        <w:lastRenderedPageBreak/>
        <w:t>The regional contribution of international education</w:t>
      </w:r>
      <w:bookmarkEnd w:id="161"/>
      <w:bookmarkEnd w:id="162"/>
    </w:p>
    <w:p w14:paraId="26DBBA7E" w14:textId="77777777" w:rsidR="008539C7" w:rsidRDefault="00F86B13" w:rsidP="00F86B13">
      <w:pPr>
        <w:pStyle w:val="BodyText"/>
        <w:rPr>
          <w:lang w:eastAsia="en-AU"/>
        </w:rPr>
      </w:pPr>
      <w:r>
        <w:rPr>
          <w:lang w:eastAsia="en-AU"/>
        </w:rPr>
        <w:t>This chapter e</w:t>
      </w:r>
      <w:r w:rsidR="00131304">
        <w:rPr>
          <w:lang w:eastAsia="en-AU"/>
        </w:rPr>
        <w:t>xamines</w:t>
      </w:r>
      <w:r>
        <w:rPr>
          <w:lang w:eastAsia="en-AU"/>
        </w:rPr>
        <w:t xml:space="preserve"> the </w:t>
      </w:r>
      <w:r w:rsidR="00131304">
        <w:rPr>
          <w:lang w:eastAsia="en-AU"/>
        </w:rPr>
        <w:t>economic</w:t>
      </w:r>
      <w:r>
        <w:rPr>
          <w:lang w:eastAsia="en-AU"/>
        </w:rPr>
        <w:t xml:space="preserve"> contribution of onshore international students </w:t>
      </w:r>
      <w:r w:rsidR="00131304">
        <w:rPr>
          <w:lang w:eastAsia="en-AU"/>
        </w:rPr>
        <w:t>on regional communities. The contribution of international education is analysed by state and territory level and also at a more detailed regional level through case studies of the contribution of international education to Armidale</w:t>
      </w:r>
      <w:r w:rsidR="00873BE1">
        <w:rPr>
          <w:lang w:eastAsia="en-AU"/>
        </w:rPr>
        <w:t xml:space="preserve"> </w:t>
      </w:r>
      <w:r w:rsidR="00777AC2">
        <w:rPr>
          <w:lang w:eastAsia="en-AU"/>
        </w:rPr>
        <w:t xml:space="preserve">in </w:t>
      </w:r>
      <w:r w:rsidR="00873BE1">
        <w:rPr>
          <w:lang w:eastAsia="en-AU"/>
        </w:rPr>
        <w:t>NSW,</w:t>
      </w:r>
      <w:r w:rsidR="00131304">
        <w:rPr>
          <w:lang w:eastAsia="en-AU"/>
        </w:rPr>
        <w:t xml:space="preserve"> and how expenditure in major capital cities such as Melbourne flows through to regional areas of Victoria. The chapter also analyses the relative distribution of international students in the higher education sector in Australia. </w:t>
      </w:r>
    </w:p>
    <w:p w14:paraId="39E1DAF0" w14:textId="77777777" w:rsidR="00286C6F" w:rsidRPr="002D0A7C" w:rsidRDefault="00286C6F" w:rsidP="00163EA3">
      <w:pPr>
        <w:pStyle w:val="HeadingC"/>
        <w:pBdr>
          <w:top w:val="single" w:sz="4" w:space="1" w:color="auto"/>
          <w:left w:val="single" w:sz="4" w:space="4" w:color="auto"/>
          <w:bottom w:val="single" w:sz="4" w:space="1" w:color="auto"/>
          <w:right w:val="single" w:sz="4" w:space="4" w:color="auto"/>
        </w:pBdr>
        <w:shd w:val="clear" w:color="auto" w:fill="B0CAFF" w:themeFill="text2" w:themeFillTint="33"/>
        <w:jc w:val="center"/>
        <w:outlineLvl w:val="0"/>
      </w:pPr>
      <w:r>
        <w:t>Economic contribution at a state and regional level – key findings:</w:t>
      </w:r>
    </w:p>
    <w:p w14:paraId="2898F371" w14:textId="77777777" w:rsidR="00286C6F" w:rsidRDefault="00286C6F" w:rsidP="00286C6F">
      <w:pPr>
        <w:pStyle w:val="BodyText"/>
        <w:pBdr>
          <w:top w:val="single" w:sz="4" w:space="1" w:color="auto"/>
          <w:left w:val="single" w:sz="4" w:space="4" w:color="auto"/>
          <w:bottom w:val="single" w:sz="4" w:space="1" w:color="auto"/>
          <w:right w:val="single" w:sz="4" w:space="4" w:color="auto"/>
        </w:pBdr>
        <w:shd w:val="clear" w:color="auto" w:fill="B0CAFF" w:themeFill="text2" w:themeFillTint="33"/>
        <w:rPr>
          <w:lang w:eastAsia="en-AU"/>
        </w:rPr>
      </w:pPr>
      <w:r>
        <w:rPr>
          <w:lang w:eastAsia="en-AU"/>
        </w:rPr>
        <w:t>Deloitte Access Economics estimates that onshore international students studying in Australia contributed between 0.3% and 1.3% to the gross state product (</w:t>
      </w:r>
      <w:proofErr w:type="spellStart"/>
      <w:r>
        <w:rPr>
          <w:lang w:eastAsia="en-AU"/>
        </w:rPr>
        <w:t>GSP</w:t>
      </w:r>
      <w:proofErr w:type="spellEnd"/>
      <w:r>
        <w:rPr>
          <w:lang w:eastAsia="en-AU"/>
        </w:rPr>
        <w:t xml:space="preserve">) of their states/territories of enrolment in 2014-15. </w:t>
      </w:r>
    </w:p>
    <w:p w14:paraId="0EC0101E" w14:textId="77777777" w:rsidR="00286C6F" w:rsidRDefault="00286C6F" w:rsidP="00286C6F">
      <w:pPr>
        <w:pStyle w:val="BodyText"/>
        <w:pBdr>
          <w:top w:val="single" w:sz="4" w:space="1" w:color="auto"/>
          <w:left w:val="single" w:sz="4" w:space="4" w:color="auto"/>
          <w:bottom w:val="single" w:sz="4" w:space="1" w:color="auto"/>
          <w:right w:val="single" w:sz="4" w:space="4" w:color="auto"/>
        </w:pBdr>
        <w:shd w:val="clear" w:color="auto" w:fill="B0CAFF" w:themeFill="text2" w:themeFillTint="33"/>
        <w:rPr>
          <w:b/>
          <w:i/>
          <w:color w:val="002776"/>
          <w:lang w:eastAsia="en-AU"/>
        </w:rPr>
      </w:pPr>
      <w:r>
        <w:rPr>
          <w:lang w:eastAsia="en-AU"/>
        </w:rPr>
        <w:t xml:space="preserve">The economic and social contribution of international students is also not limited to metropolitan areas. </w:t>
      </w:r>
      <w:r w:rsidRPr="000349C1">
        <w:rPr>
          <w:lang w:eastAsia="en-AU"/>
        </w:rPr>
        <w:t>Deloitte Access Economics estimate that international students studying at the University of New England contributing a total of $33 million to the local economy in 2014-15, equivalent to 2.5% of gross regional product</w:t>
      </w:r>
      <w:r w:rsidRPr="000349C1">
        <w:rPr>
          <w:i/>
          <w:lang w:eastAsia="en-AU"/>
        </w:rPr>
        <w:t>.</w:t>
      </w:r>
    </w:p>
    <w:p w14:paraId="568E34F6" w14:textId="79370F1C" w:rsidR="00131304" w:rsidRDefault="00286C6F" w:rsidP="00286C6F">
      <w:pPr>
        <w:pStyle w:val="BodyText"/>
        <w:pBdr>
          <w:top w:val="single" w:sz="4" w:space="1" w:color="auto"/>
          <w:left w:val="single" w:sz="4" w:space="4" w:color="auto"/>
          <w:bottom w:val="single" w:sz="4" w:space="1" w:color="auto"/>
          <w:right w:val="single" w:sz="4" w:space="4" w:color="auto"/>
        </w:pBdr>
        <w:shd w:val="clear" w:color="auto" w:fill="B0CAFF" w:themeFill="text2" w:themeFillTint="33"/>
        <w:rPr>
          <w:lang w:eastAsia="en-AU"/>
        </w:rPr>
      </w:pPr>
      <w:r>
        <w:rPr>
          <w:lang w:eastAsia="en-AU"/>
        </w:rPr>
        <w:t xml:space="preserve">Students who choose to study in metropolitan areas also make an indirect contribution to regional areas through supply chain linkages. </w:t>
      </w:r>
      <w:r>
        <w:t>Deloitte Access Economics estimates</w:t>
      </w:r>
      <w:r w:rsidRPr="00EA1B94">
        <w:t xml:space="preserve"> that for each dollar spent on goods and services by the average international student in Melbourne, $0.</w:t>
      </w:r>
      <w:r>
        <w:t>30</w:t>
      </w:r>
      <w:r w:rsidRPr="00EA1B94">
        <w:t xml:space="preserve"> of indirect gross value added is generated in regional Victoria.</w:t>
      </w:r>
    </w:p>
    <w:p w14:paraId="7FAE39C2" w14:textId="77777777" w:rsidR="00F86B13" w:rsidRDefault="00F86B13" w:rsidP="00163EA3">
      <w:pPr>
        <w:pStyle w:val="Heading2"/>
        <w:rPr>
          <w:lang w:eastAsia="en-AU"/>
        </w:rPr>
      </w:pPr>
      <w:bookmarkStart w:id="163" w:name="_Toc436922209"/>
      <w:bookmarkStart w:id="164" w:name="_Toc450809241"/>
      <w:r>
        <w:rPr>
          <w:lang w:eastAsia="en-AU"/>
        </w:rPr>
        <w:t>Contribution by state</w:t>
      </w:r>
      <w:bookmarkEnd w:id="163"/>
      <w:bookmarkEnd w:id="164"/>
    </w:p>
    <w:p w14:paraId="59EAC295" w14:textId="77777777" w:rsidR="00F86B13" w:rsidRDefault="00F86B13" w:rsidP="00F86B13">
      <w:pPr>
        <w:pStyle w:val="BodyText"/>
        <w:rPr>
          <w:lang w:eastAsia="en-AU"/>
        </w:rPr>
      </w:pPr>
      <w:r w:rsidRPr="007568A7">
        <w:rPr>
          <w:lang w:eastAsia="en-AU"/>
        </w:rPr>
        <w:t xml:space="preserve">The international education revenue attributable to each state is estimated based on the methodology described in </w:t>
      </w:r>
      <w:r w:rsidR="00EA4CC2">
        <w:rPr>
          <w:lang w:eastAsia="en-AU"/>
        </w:rPr>
        <w:fldChar w:fldCharType="begin"/>
      </w:r>
      <w:r w:rsidR="00EA4CC2">
        <w:rPr>
          <w:lang w:eastAsia="en-AU"/>
        </w:rPr>
        <w:instrText xml:space="preserve"> REF _Ref441652618 \r \h </w:instrText>
      </w:r>
      <w:r w:rsidR="00EA4CC2">
        <w:rPr>
          <w:lang w:eastAsia="en-AU"/>
        </w:rPr>
      </w:r>
      <w:r w:rsidR="00EA4CC2">
        <w:rPr>
          <w:lang w:eastAsia="en-AU"/>
        </w:rPr>
        <w:fldChar w:fldCharType="separate"/>
      </w:r>
      <w:r w:rsidR="00F03FA0">
        <w:rPr>
          <w:lang w:eastAsia="en-AU"/>
        </w:rPr>
        <w:t>Appendix B</w:t>
      </w:r>
      <w:r w:rsidR="00EA4CC2">
        <w:rPr>
          <w:lang w:eastAsia="en-AU"/>
        </w:rPr>
        <w:fldChar w:fldCharType="end"/>
      </w:r>
      <w:r>
        <w:rPr>
          <w:lang w:eastAsia="en-AU"/>
        </w:rPr>
        <w:t>.</w:t>
      </w:r>
      <w:r w:rsidR="00083B04">
        <w:rPr>
          <w:lang w:eastAsia="en-AU"/>
        </w:rPr>
        <w:t xml:space="preserve"> This includes revenue from international students studying onshore, and the Mode 1 and Mode 4 provision of international education services.</w:t>
      </w:r>
      <w:r w:rsidR="007D64C8">
        <w:rPr>
          <w:rStyle w:val="FootnoteReference"/>
          <w:lang w:eastAsia="en-AU"/>
        </w:rPr>
        <w:footnoteReference w:id="13"/>
      </w:r>
      <w:r w:rsidR="00083B04">
        <w:rPr>
          <w:lang w:eastAsia="en-AU"/>
        </w:rPr>
        <w:t xml:space="preserve"> </w:t>
      </w:r>
      <w:r w:rsidRPr="007568A7">
        <w:rPr>
          <w:lang w:eastAsia="en-AU"/>
        </w:rPr>
        <w:t xml:space="preserve"> </w:t>
      </w:r>
      <w:r w:rsidR="00131304">
        <w:rPr>
          <w:lang w:eastAsia="en-AU"/>
        </w:rPr>
        <w:fldChar w:fldCharType="begin"/>
      </w:r>
      <w:r w:rsidR="00131304">
        <w:rPr>
          <w:lang w:eastAsia="en-AU"/>
        </w:rPr>
        <w:instrText xml:space="preserve"> REF _Ref437338125 \r \h </w:instrText>
      </w:r>
      <w:r w:rsidR="00131304">
        <w:rPr>
          <w:lang w:eastAsia="en-AU"/>
        </w:rPr>
      </w:r>
      <w:r w:rsidR="00131304">
        <w:rPr>
          <w:lang w:eastAsia="en-AU"/>
        </w:rPr>
        <w:fldChar w:fldCharType="separate"/>
      </w:r>
      <w:r w:rsidR="00F03FA0">
        <w:rPr>
          <w:lang w:eastAsia="en-AU"/>
        </w:rPr>
        <w:t>Table 4.1</w:t>
      </w:r>
      <w:r w:rsidR="00131304">
        <w:rPr>
          <w:lang w:eastAsia="en-AU"/>
        </w:rPr>
        <w:fldChar w:fldCharType="end"/>
      </w:r>
      <w:r>
        <w:rPr>
          <w:lang w:eastAsia="en-AU"/>
        </w:rPr>
        <w:t xml:space="preserve"> shows the </w:t>
      </w:r>
      <w:r w:rsidRPr="007568A7">
        <w:rPr>
          <w:lang w:eastAsia="en-AU"/>
        </w:rPr>
        <w:t>estimated total export revenue for each state and territory in the financial year 2014-15.</w:t>
      </w:r>
      <w:r>
        <w:rPr>
          <w:lang w:eastAsia="en-AU"/>
        </w:rPr>
        <w:t xml:space="preserve"> New South Wales had the highest export revenue from international education in 2014-15, at $</w:t>
      </w:r>
      <w:r w:rsidR="00083B04">
        <w:rPr>
          <w:lang w:eastAsia="en-AU"/>
        </w:rPr>
        <w:t>7.0</w:t>
      </w:r>
      <w:r>
        <w:rPr>
          <w:lang w:eastAsia="en-AU"/>
        </w:rPr>
        <w:t xml:space="preserve"> billion, followed by Victoria at $5.</w:t>
      </w:r>
      <w:r w:rsidR="00083B04">
        <w:rPr>
          <w:lang w:eastAsia="en-AU"/>
        </w:rPr>
        <w:t>8</w:t>
      </w:r>
      <w:r>
        <w:rPr>
          <w:lang w:eastAsia="en-AU"/>
        </w:rPr>
        <w:t xml:space="preserve"> billion, and Queensland at $2.</w:t>
      </w:r>
      <w:r w:rsidR="00083B04">
        <w:rPr>
          <w:lang w:eastAsia="en-AU"/>
        </w:rPr>
        <w:t xml:space="preserve">9 </w:t>
      </w:r>
      <w:r>
        <w:rPr>
          <w:lang w:eastAsia="en-AU"/>
        </w:rPr>
        <w:t>billion. When factoring in the relative sizes of the state economies, international education revenue also made a considerable contribution to the Australian Capital Territory, at 1.</w:t>
      </w:r>
      <w:r w:rsidR="00083B04">
        <w:rPr>
          <w:lang w:eastAsia="en-AU"/>
        </w:rPr>
        <w:t>1</w:t>
      </w:r>
      <w:r>
        <w:rPr>
          <w:lang w:eastAsia="en-AU"/>
        </w:rPr>
        <w:t>% of gross state product (</w:t>
      </w:r>
      <w:proofErr w:type="spellStart"/>
      <w:r>
        <w:rPr>
          <w:lang w:eastAsia="en-AU"/>
        </w:rPr>
        <w:t>GSP</w:t>
      </w:r>
      <w:proofErr w:type="spellEnd"/>
      <w:r>
        <w:rPr>
          <w:lang w:eastAsia="en-AU"/>
        </w:rPr>
        <w:t>), compare</w:t>
      </w:r>
      <w:r w:rsidR="00906682">
        <w:rPr>
          <w:lang w:eastAsia="en-AU"/>
        </w:rPr>
        <w:t>d to the national average of 1.0</w:t>
      </w:r>
      <w:r>
        <w:rPr>
          <w:lang w:eastAsia="en-AU"/>
        </w:rPr>
        <w:t>%.</w:t>
      </w:r>
    </w:p>
    <w:p w14:paraId="1E37B8C1" w14:textId="77777777" w:rsidR="00F86B13" w:rsidRPr="007568A7" w:rsidRDefault="00F86B13" w:rsidP="00F86B13">
      <w:pPr>
        <w:pStyle w:val="CaptionTable"/>
        <w:rPr>
          <w:lang w:eastAsia="en-AU"/>
        </w:rPr>
      </w:pPr>
      <w:bookmarkStart w:id="165" w:name="_Ref437338125"/>
      <w:bookmarkStart w:id="166" w:name="_Toc450809285"/>
      <w:r>
        <w:rPr>
          <w:lang w:eastAsia="en-AU"/>
        </w:rPr>
        <w:lastRenderedPageBreak/>
        <w:t xml:space="preserve">: </w:t>
      </w:r>
      <w:r w:rsidR="00083B04">
        <w:rPr>
          <w:lang w:eastAsia="en-AU"/>
        </w:rPr>
        <w:t>International education export revenue</w:t>
      </w:r>
      <w:r>
        <w:rPr>
          <w:lang w:eastAsia="en-AU"/>
        </w:rPr>
        <w:t xml:space="preserve"> by category and state, 2014-15</w:t>
      </w:r>
      <w:bookmarkEnd w:id="165"/>
      <w:bookmarkEnd w:id="166"/>
    </w:p>
    <w:tbl>
      <w:tblPr>
        <w:tblW w:w="5000" w:type="pct"/>
        <w:tblBorders>
          <w:top w:val="single" w:sz="18" w:space="0" w:color="002776" w:themeColor="text2"/>
          <w:bottom w:val="single" w:sz="18" w:space="0" w:color="002776" w:themeColor="text2"/>
        </w:tblBorders>
        <w:tblLook w:val="04A0" w:firstRow="1" w:lastRow="0" w:firstColumn="1" w:lastColumn="0" w:noHBand="0" w:noVBand="1"/>
        <w:tblCaption w:val="Table 4.1: International education export revenue by category and state, 2014–15"/>
        <w:tblDescription w:val="The table shows the international education export revenue by category and state in financial year 2014–15."/>
      </w:tblPr>
      <w:tblGrid>
        <w:gridCol w:w="2454"/>
        <w:gridCol w:w="1340"/>
        <w:gridCol w:w="1276"/>
        <w:gridCol w:w="1869"/>
        <w:gridCol w:w="1497"/>
      </w:tblGrid>
      <w:tr w:rsidR="00083B04" w:rsidRPr="000A4581" w14:paraId="6DBC120F" w14:textId="77777777" w:rsidTr="00E74E03">
        <w:trPr>
          <w:trHeight w:val="255"/>
        </w:trPr>
        <w:tc>
          <w:tcPr>
            <w:tcW w:w="1454" w:type="pct"/>
            <w:tcBorders>
              <w:top w:val="single" w:sz="18" w:space="0" w:color="002776" w:themeColor="text2"/>
              <w:bottom w:val="single" w:sz="8" w:space="0" w:color="002776" w:themeColor="text2"/>
            </w:tcBorders>
            <w:shd w:val="clear" w:color="auto" w:fill="auto"/>
            <w:noWrap/>
            <w:vAlign w:val="bottom"/>
            <w:hideMark/>
          </w:tcPr>
          <w:p w14:paraId="5AB789CC" w14:textId="77777777" w:rsidR="00083B04" w:rsidRPr="000349C1" w:rsidRDefault="00083B04" w:rsidP="006772A3">
            <w:pPr>
              <w:rPr>
                <w:rFonts w:cs="Arial"/>
                <w:b/>
                <w:color w:val="002776" w:themeColor="text2"/>
                <w:szCs w:val="22"/>
                <w:lang w:eastAsia="en-AU"/>
              </w:rPr>
            </w:pPr>
            <w:r w:rsidRPr="000349C1">
              <w:rPr>
                <w:rFonts w:cs="Arial"/>
                <w:b/>
                <w:color w:val="002776" w:themeColor="text2"/>
                <w:szCs w:val="22"/>
                <w:lang w:eastAsia="en-AU"/>
              </w:rPr>
              <w:t>State</w:t>
            </w:r>
          </w:p>
        </w:tc>
        <w:tc>
          <w:tcPr>
            <w:tcW w:w="794" w:type="pct"/>
            <w:tcBorders>
              <w:top w:val="single" w:sz="18" w:space="0" w:color="002776" w:themeColor="text2"/>
              <w:bottom w:val="single" w:sz="8" w:space="0" w:color="002776" w:themeColor="text2"/>
            </w:tcBorders>
            <w:shd w:val="clear" w:color="auto" w:fill="auto"/>
            <w:noWrap/>
            <w:vAlign w:val="bottom"/>
            <w:hideMark/>
          </w:tcPr>
          <w:p w14:paraId="4E2E2E1A" w14:textId="77777777" w:rsidR="00083B04" w:rsidRPr="000349C1" w:rsidRDefault="00083B04" w:rsidP="000349C1">
            <w:pPr>
              <w:jc w:val="center"/>
              <w:rPr>
                <w:rFonts w:cs="Arial"/>
                <w:b/>
                <w:color w:val="002776" w:themeColor="text2"/>
                <w:szCs w:val="22"/>
                <w:lang w:eastAsia="en-AU"/>
              </w:rPr>
            </w:pPr>
            <w:r w:rsidRPr="000349C1">
              <w:rPr>
                <w:rFonts w:cs="Arial"/>
                <w:b/>
                <w:color w:val="002776" w:themeColor="text2"/>
                <w:szCs w:val="22"/>
                <w:lang w:eastAsia="en-AU"/>
              </w:rPr>
              <w:t>Fees ($m)</w:t>
            </w:r>
          </w:p>
        </w:tc>
        <w:tc>
          <w:tcPr>
            <w:tcW w:w="756" w:type="pct"/>
            <w:tcBorders>
              <w:top w:val="single" w:sz="18" w:space="0" w:color="002776" w:themeColor="text2"/>
              <w:bottom w:val="single" w:sz="8" w:space="0" w:color="002776" w:themeColor="text2"/>
            </w:tcBorders>
            <w:shd w:val="clear" w:color="auto" w:fill="auto"/>
            <w:noWrap/>
            <w:vAlign w:val="bottom"/>
            <w:hideMark/>
          </w:tcPr>
          <w:p w14:paraId="5CAB70DD" w14:textId="77777777" w:rsidR="00083B04" w:rsidRPr="000349C1" w:rsidRDefault="00083B04" w:rsidP="000349C1">
            <w:pPr>
              <w:jc w:val="center"/>
              <w:rPr>
                <w:rFonts w:cs="Arial"/>
                <w:b/>
                <w:color w:val="002776" w:themeColor="text2"/>
                <w:szCs w:val="22"/>
                <w:lang w:eastAsia="en-AU"/>
              </w:rPr>
            </w:pPr>
            <w:proofErr w:type="spellStart"/>
            <w:r w:rsidRPr="000349C1">
              <w:rPr>
                <w:rFonts w:cs="Arial"/>
                <w:b/>
                <w:color w:val="002776" w:themeColor="text2"/>
                <w:szCs w:val="22"/>
                <w:lang w:eastAsia="en-AU"/>
              </w:rPr>
              <w:t>G+S</w:t>
            </w:r>
            <w:proofErr w:type="spellEnd"/>
            <w:r w:rsidRPr="000349C1">
              <w:rPr>
                <w:rFonts w:cs="Arial"/>
                <w:b/>
                <w:color w:val="002776" w:themeColor="text2"/>
                <w:szCs w:val="22"/>
                <w:lang w:eastAsia="en-AU"/>
              </w:rPr>
              <w:t xml:space="preserve"> ($m)</w:t>
            </w:r>
          </w:p>
        </w:tc>
        <w:tc>
          <w:tcPr>
            <w:tcW w:w="1108" w:type="pct"/>
            <w:tcBorders>
              <w:top w:val="single" w:sz="18" w:space="0" w:color="002776" w:themeColor="text2"/>
              <w:bottom w:val="single" w:sz="8" w:space="0" w:color="002776" w:themeColor="text2"/>
            </w:tcBorders>
          </w:tcPr>
          <w:p w14:paraId="3815AAD3" w14:textId="77777777" w:rsidR="00083B04" w:rsidRPr="000349C1" w:rsidRDefault="00083B04" w:rsidP="000349C1">
            <w:pPr>
              <w:jc w:val="center"/>
              <w:rPr>
                <w:rFonts w:cs="Arial"/>
                <w:b/>
                <w:color w:val="002776" w:themeColor="text2"/>
                <w:szCs w:val="22"/>
                <w:lang w:eastAsia="en-AU"/>
              </w:rPr>
            </w:pPr>
            <w:r>
              <w:rPr>
                <w:rFonts w:cs="Arial"/>
                <w:b/>
                <w:color w:val="002776" w:themeColor="text2"/>
                <w:szCs w:val="22"/>
                <w:lang w:eastAsia="en-AU"/>
              </w:rPr>
              <w:t>Mode 1/4 ($m)</w:t>
            </w:r>
          </w:p>
        </w:tc>
        <w:tc>
          <w:tcPr>
            <w:tcW w:w="887" w:type="pct"/>
            <w:tcBorders>
              <w:top w:val="single" w:sz="18" w:space="0" w:color="002776" w:themeColor="text2"/>
              <w:bottom w:val="single" w:sz="8" w:space="0" w:color="002776" w:themeColor="text2"/>
            </w:tcBorders>
            <w:shd w:val="clear" w:color="auto" w:fill="auto"/>
            <w:noWrap/>
            <w:vAlign w:val="bottom"/>
            <w:hideMark/>
          </w:tcPr>
          <w:p w14:paraId="324720A4" w14:textId="77777777" w:rsidR="00083B04" w:rsidRPr="000349C1" w:rsidRDefault="00083B04" w:rsidP="000349C1">
            <w:pPr>
              <w:jc w:val="center"/>
              <w:rPr>
                <w:rFonts w:cs="Arial"/>
                <w:b/>
                <w:color w:val="002776" w:themeColor="text2"/>
                <w:szCs w:val="22"/>
                <w:lang w:eastAsia="en-AU"/>
              </w:rPr>
            </w:pPr>
            <w:r w:rsidRPr="000349C1">
              <w:rPr>
                <w:rFonts w:cs="Arial"/>
                <w:b/>
                <w:color w:val="002776" w:themeColor="text2"/>
                <w:szCs w:val="22"/>
                <w:lang w:eastAsia="en-AU"/>
              </w:rPr>
              <w:t>Total ($m)</w:t>
            </w:r>
          </w:p>
        </w:tc>
      </w:tr>
      <w:tr w:rsidR="00083B04" w:rsidRPr="000A4581" w14:paraId="39B4D146" w14:textId="77777777" w:rsidTr="00E74E03">
        <w:trPr>
          <w:trHeight w:val="255"/>
        </w:trPr>
        <w:tc>
          <w:tcPr>
            <w:tcW w:w="1454" w:type="pct"/>
            <w:tcBorders>
              <w:top w:val="single" w:sz="8" w:space="0" w:color="002776" w:themeColor="text2"/>
            </w:tcBorders>
            <w:shd w:val="clear" w:color="auto" w:fill="auto"/>
            <w:noWrap/>
            <w:vAlign w:val="bottom"/>
            <w:hideMark/>
          </w:tcPr>
          <w:p w14:paraId="630DCB86" w14:textId="77777777" w:rsidR="00083B04" w:rsidRPr="000A4581" w:rsidRDefault="00083B04" w:rsidP="006772A3">
            <w:pPr>
              <w:rPr>
                <w:rFonts w:cs="Arial"/>
                <w:sz w:val="20"/>
                <w:lang w:eastAsia="en-AU"/>
              </w:rPr>
            </w:pPr>
            <w:r w:rsidRPr="000A4581">
              <w:rPr>
                <w:rFonts w:cs="Arial"/>
                <w:sz w:val="20"/>
                <w:lang w:eastAsia="en-AU"/>
              </w:rPr>
              <w:t xml:space="preserve"> N</w:t>
            </w:r>
            <w:r>
              <w:rPr>
                <w:rFonts w:cs="Arial"/>
                <w:sz w:val="20"/>
                <w:lang w:eastAsia="en-AU"/>
              </w:rPr>
              <w:t>ew South Wales</w:t>
            </w:r>
          </w:p>
        </w:tc>
        <w:tc>
          <w:tcPr>
            <w:tcW w:w="794" w:type="pct"/>
            <w:tcBorders>
              <w:top w:val="single" w:sz="8" w:space="0" w:color="002776" w:themeColor="text2"/>
            </w:tcBorders>
            <w:shd w:val="clear" w:color="auto" w:fill="auto"/>
            <w:noWrap/>
            <w:vAlign w:val="bottom"/>
            <w:hideMark/>
          </w:tcPr>
          <w:p w14:paraId="2345BA1C" w14:textId="77777777" w:rsidR="00083B04" w:rsidRPr="000A4581" w:rsidRDefault="00083B04" w:rsidP="000349C1">
            <w:pPr>
              <w:jc w:val="center"/>
              <w:rPr>
                <w:rFonts w:cs="Arial"/>
                <w:sz w:val="20"/>
                <w:lang w:eastAsia="en-AU"/>
              </w:rPr>
            </w:pPr>
            <w:r w:rsidRPr="000A4581">
              <w:rPr>
                <w:rFonts w:cs="Arial"/>
                <w:sz w:val="20"/>
                <w:lang w:eastAsia="en-AU"/>
              </w:rPr>
              <w:t>3,088</w:t>
            </w:r>
          </w:p>
        </w:tc>
        <w:tc>
          <w:tcPr>
            <w:tcW w:w="756" w:type="pct"/>
            <w:tcBorders>
              <w:top w:val="single" w:sz="8" w:space="0" w:color="002776" w:themeColor="text2"/>
            </w:tcBorders>
            <w:shd w:val="clear" w:color="auto" w:fill="auto"/>
            <w:noWrap/>
            <w:vAlign w:val="bottom"/>
            <w:hideMark/>
          </w:tcPr>
          <w:p w14:paraId="45018343" w14:textId="77777777" w:rsidR="00083B04" w:rsidRPr="000A4581" w:rsidRDefault="00083B04" w:rsidP="000349C1">
            <w:pPr>
              <w:jc w:val="center"/>
              <w:rPr>
                <w:rFonts w:cs="Arial"/>
                <w:sz w:val="20"/>
                <w:lang w:eastAsia="en-AU"/>
              </w:rPr>
            </w:pPr>
            <w:r w:rsidRPr="000A4581">
              <w:rPr>
                <w:rFonts w:cs="Arial"/>
                <w:sz w:val="20"/>
                <w:lang w:eastAsia="en-AU"/>
              </w:rPr>
              <w:t>3,711</w:t>
            </w:r>
          </w:p>
        </w:tc>
        <w:tc>
          <w:tcPr>
            <w:tcW w:w="1108" w:type="pct"/>
            <w:tcBorders>
              <w:top w:val="single" w:sz="8" w:space="0" w:color="002776" w:themeColor="text2"/>
            </w:tcBorders>
          </w:tcPr>
          <w:p w14:paraId="661578EE" w14:textId="77777777" w:rsidR="00083B04" w:rsidRPr="000A4581" w:rsidRDefault="00083B04" w:rsidP="000349C1">
            <w:pPr>
              <w:jc w:val="center"/>
              <w:rPr>
                <w:rFonts w:cs="Arial"/>
                <w:sz w:val="20"/>
                <w:lang w:eastAsia="en-AU"/>
              </w:rPr>
            </w:pPr>
            <w:r>
              <w:rPr>
                <w:rFonts w:cs="Arial"/>
                <w:sz w:val="20"/>
                <w:lang w:eastAsia="en-AU"/>
              </w:rPr>
              <w:t>206</w:t>
            </w:r>
          </w:p>
        </w:tc>
        <w:tc>
          <w:tcPr>
            <w:tcW w:w="887" w:type="pct"/>
            <w:tcBorders>
              <w:top w:val="single" w:sz="8" w:space="0" w:color="002776" w:themeColor="text2"/>
            </w:tcBorders>
            <w:shd w:val="clear" w:color="auto" w:fill="auto"/>
            <w:noWrap/>
            <w:vAlign w:val="bottom"/>
            <w:hideMark/>
          </w:tcPr>
          <w:p w14:paraId="60CD2943" w14:textId="77777777" w:rsidR="00083B04" w:rsidRPr="000A4581" w:rsidRDefault="00083B04" w:rsidP="000349C1">
            <w:pPr>
              <w:jc w:val="center"/>
              <w:rPr>
                <w:rFonts w:cs="Arial"/>
                <w:sz w:val="20"/>
                <w:lang w:eastAsia="en-AU"/>
              </w:rPr>
            </w:pPr>
            <w:r>
              <w:rPr>
                <w:rFonts w:cs="Arial"/>
                <w:sz w:val="20"/>
                <w:lang w:eastAsia="en-AU"/>
              </w:rPr>
              <w:t>7,005</w:t>
            </w:r>
          </w:p>
        </w:tc>
      </w:tr>
      <w:tr w:rsidR="00083B04" w:rsidRPr="000A4581" w14:paraId="4B971E6B" w14:textId="77777777" w:rsidTr="00E74E03">
        <w:trPr>
          <w:trHeight w:val="255"/>
        </w:trPr>
        <w:tc>
          <w:tcPr>
            <w:tcW w:w="1454" w:type="pct"/>
            <w:shd w:val="clear" w:color="auto" w:fill="auto"/>
            <w:noWrap/>
            <w:vAlign w:val="bottom"/>
            <w:hideMark/>
          </w:tcPr>
          <w:p w14:paraId="68CD2D6A" w14:textId="77777777" w:rsidR="00083B04" w:rsidRPr="000A4581" w:rsidRDefault="00083B04" w:rsidP="006772A3">
            <w:pPr>
              <w:rPr>
                <w:rFonts w:cs="Arial"/>
                <w:sz w:val="20"/>
                <w:lang w:eastAsia="en-AU"/>
              </w:rPr>
            </w:pPr>
            <w:r w:rsidRPr="000A4581">
              <w:rPr>
                <w:rFonts w:cs="Arial"/>
                <w:sz w:val="20"/>
                <w:lang w:eastAsia="en-AU"/>
              </w:rPr>
              <w:t xml:space="preserve"> Vic</w:t>
            </w:r>
            <w:r>
              <w:rPr>
                <w:rFonts w:cs="Arial"/>
                <w:sz w:val="20"/>
                <w:lang w:eastAsia="en-AU"/>
              </w:rPr>
              <w:t>toria</w:t>
            </w:r>
            <w:r w:rsidRPr="000A4581">
              <w:rPr>
                <w:rFonts w:cs="Arial"/>
                <w:sz w:val="20"/>
                <w:lang w:eastAsia="en-AU"/>
              </w:rPr>
              <w:t xml:space="preserve"> </w:t>
            </w:r>
          </w:p>
        </w:tc>
        <w:tc>
          <w:tcPr>
            <w:tcW w:w="794" w:type="pct"/>
            <w:shd w:val="clear" w:color="auto" w:fill="auto"/>
            <w:noWrap/>
            <w:vAlign w:val="bottom"/>
            <w:hideMark/>
          </w:tcPr>
          <w:p w14:paraId="2254242F" w14:textId="77777777" w:rsidR="00083B04" w:rsidRPr="000A4581" w:rsidRDefault="00083B04" w:rsidP="000349C1">
            <w:pPr>
              <w:jc w:val="center"/>
              <w:rPr>
                <w:rFonts w:cs="Arial"/>
                <w:sz w:val="20"/>
                <w:lang w:eastAsia="en-AU"/>
              </w:rPr>
            </w:pPr>
            <w:r w:rsidRPr="000A4581">
              <w:rPr>
                <w:rFonts w:cs="Arial"/>
                <w:sz w:val="20"/>
                <w:lang w:eastAsia="en-AU"/>
              </w:rPr>
              <w:t>2,703</w:t>
            </w:r>
          </w:p>
        </w:tc>
        <w:tc>
          <w:tcPr>
            <w:tcW w:w="756" w:type="pct"/>
            <w:shd w:val="clear" w:color="auto" w:fill="auto"/>
            <w:noWrap/>
            <w:vAlign w:val="bottom"/>
            <w:hideMark/>
          </w:tcPr>
          <w:p w14:paraId="10FCEF67" w14:textId="77777777" w:rsidR="00083B04" w:rsidRPr="000A4581" w:rsidRDefault="00083B04" w:rsidP="000349C1">
            <w:pPr>
              <w:jc w:val="center"/>
              <w:rPr>
                <w:rFonts w:cs="Arial"/>
                <w:sz w:val="20"/>
                <w:lang w:eastAsia="en-AU"/>
              </w:rPr>
            </w:pPr>
            <w:r w:rsidRPr="000A4581">
              <w:rPr>
                <w:rFonts w:cs="Arial"/>
                <w:sz w:val="20"/>
                <w:lang w:eastAsia="en-AU"/>
              </w:rPr>
              <w:t>2,952</w:t>
            </w:r>
          </w:p>
        </w:tc>
        <w:tc>
          <w:tcPr>
            <w:tcW w:w="1108" w:type="pct"/>
          </w:tcPr>
          <w:p w14:paraId="5278EB1A" w14:textId="77777777" w:rsidR="00083B04" w:rsidRPr="000A4581" w:rsidRDefault="00083B04" w:rsidP="000349C1">
            <w:pPr>
              <w:jc w:val="center"/>
              <w:rPr>
                <w:rFonts w:cs="Arial"/>
                <w:sz w:val="20"/>
                <w:lang w:eastAsia="en-AU"/>
              </w:rPr>
            </w:pPr>
            <w:r>
              <w:rPr>
                <w:rFonts w:cs="Arial"/>
                <w:sz w:val="20"/>
                <w:lang w:eastAsia="en-AU"/>
              </w:rPr>
              <w:t>194</w:t>
            </w:r>
          </w:p>
        </w:tc>
        <w:tc>
          <w:tcPr>
            <w:tcW w:w="887" w:type="pct"/>
            <w:shd w:val="clear" w:color="auto" w:fill="auto"/>
            <w:noWrap/>
            <w:vAlign w:val="bottom"/>
            <w:hideMark/>
          </w:tcPr>
          <w:p w14:paraId="03E0367D" w14:textId="77777777" w:rsidR="00083B04" w:rsidRPr="000A4581" w:rsidRDefault="00083B04" w:rsidP="000349C1">
            <w:pPr>
              <w:jc w:val="center"/>
              <w:rPr>
                <w:rFonts w:cs="Arial"/>
                <w:sz w:val="20"/>
                <w:lang w:eastAsia="en-AU"/>
              </w:rPr>
            </w:pPr>
            <w:r>
              <w:rPr>
                <w:rFonts w:cs="Arial"/>
                <w:sz w:val="20"/>
                <w:lang w:eastAsia="en-AU"/>
              </w:rPr>
              <w:t>5,848</w:t>
            </w:r>
          </w:p>
        </w:tc>
      </w:tr>
      <w:tr w:rsidR="00083B04" w:rsidRPr="000A4581" w14:paraId="623EAEC3" w14:textId="77777777" w:rsidTr="00E74E03">
        <w:trPr>
          <w:trHeight w:val="255"/>
        </w:trPr>
        <w:tc>
          <w:tcPr>
            <w:tcW w:w="1454" w:type="pct"/>
            <w:shd w:val="clear" w:color="auto" w:fill="auto"/>
            <w:noWrap/>
            <w:vAlign w:val="bottom"/>
            <w:hideMark/>
          </w:tcPr>
          <w:p w14:paraId="7F76D3DF" w14:textId="77777777" w:rsidR="00083B04" w:rsidRPr="000A4581" w:rsidRDefault="00083B04" w:rsidP="006772A3">
            <w:pPr>
              <w:rPr>
                <w:rFonts w:cs="Arial"/>
                <w:sz w:val="20"/>
                <w:lang w:eastAsia="en-AU"/>
              </w:rPr>
            </w:pPr>
            <w:r w:rsidRPr="000A4581">
              <w:rPr>
                <w:rFonts w:cs="Arial"/>
                <w:sz w:val="20"/>
                <w:lang w:eastAsia="en-AU"/>
              </w:rPr>
              <w:t xml:space="preserve"> Q</w:t>
            </w:r>
            <w:r>
              <w:rPr>
                <w:rFonts w:cs="Arial"/>
                <w:sz w:val="20"/>
                <w:lang w:eastAsia="en-AU"/>
              </w:rPr>
              <w:t>ueensland</w:t>
            </w:r>
            <w:r w:rsidRPr="000A4581">
              <w:rPr>
                <w:rFonts w:cs="Arial"/>
                <w:sz w:val="20"/>
                <w:lang w:eastAsia="en-AU"/>
              </w:rPr>
              <w:t xml:space="preserve"> </w:t>
            </w:r>
          </w:p>
        </w:tc>
        <w:tc>
          <w:tcPr>
            <w:tcW w:w="794" w:type="pct"/>
            <w:shd w:val="clear" w:color="auto" w:fill="auto"/>
            <w:noWrap/>
            <w:vAlign w:val="bottom"/>
            <w:hideMark/>
          </w:tcPr>
          <w:p w14:paraId="0CAB0C86" w14:textId="77777777" w:rsidR="00083B04" w:rsidRPr="000A4581" w:rsidRDefault="00083B04" w:rsidP="000349C1">
            <w:pPr>
              <w:jc w:val="center"/>
              <w:rPr>
                <w:rFonts w:cs="Arial"/>
                <w:sz w:val="20"/>
                <w:lang w:eastAsia="en-AU"/>
              </w:rPr>
            </w:pPr>
            <w:r w:rsidRPr="000A4581">
              <w:rPr>
                <w:rFonts w:cs="Arial"/>
                <w:sz w:val="20"/>
                <w:lang w:eastAsia="en-AU"/>
              </w:rPr>
              <w:t>1,402</w:t>
            </w:r>
          </w:p>
        </w:tc>
        <w:tc>
          <w:tcPr>
            <w:tcW w:w="756" w:type="pct"/>
            <w:shd w:val="clear" w:color="auto" w:fill="auto"/>
            <w:noWrap/>
            <w:vAlign w:val="bottom"/>
            <w:hideMark/>
          </w:tcPr>
          <w:p w14:paraId="190C238F" w14:textId="77777777" w:rsidR="00083B04" w:rsidRPr="000A4581" w:rsidRDefault="00083B04" w:rsidP="000349C1">
            <w:pPr>
              <w:jc w:val="center"/>
              <w:rPr>
                <w:rFonts w:cs="Arial"/>
                <w:sz w:val="20"/>
                <w:lang w:eastAsia="en-AU"/>
              </w:rPr>
            </w:pPr>
            <w:r w:rsidRPr="000A4581">
              <w:rPr>
                <w:rFonts w:cs="Arial"/>
                <w:sz w:val="20"/>
                <w:lang w:eastAsia="en-AU"/>
              </w:rPr>
              <w:t>1,369</w:t>
            </w:r>
          </w:p>
        </w:tc>
        <w:tc>
          <w:tcPr>
            <w:tcW w:w="1108" w:type="pct"/>
          </w:tcPr>
          <w:p w14:paraId="01BCE53E" w14:textId="77777777" w:rsidR="00083B04" w:rsidRPr="000A4581" w:rsidRDefault="00083B04" w:rsidP="000349C1">
            <w:pPr>
              <w:jc w:val="center"/>
              <w:rPr>
                <w:rFonts w:cs="Arial"/>
                <w:sz w:val="20"/>
                <w:lang w:eastAsia="en-AU"/>
              </w:rPr>
            </w:pPr>
            <w:r>
              <w:rPr>
                <w:rFonts w:cs="Arial"/>
                <w:sz w:val="20"/>
                <w:lang w:eastAsia="en-AU"/>
              </w:rPr>
              <w:t>92</w:t>
            </w:r>
          </w:p>
        </w:tc>
        <w:tc>
          <w:tcPr>
            <w:tcW w:w="887" w:type="pct"/>
            <w:shd w:val="clear" w:color="auto" w:fill="auto"/>
            <w:noWrap/>
            <w:vAlign w:val="bottom"/>
            <w:hideMark/>
          </w:tcPr>
          <w:p w14:paraId="46B32928" w14:textId="77777777" w:rsidR="00083B04" w:rsidRPr="000A4581" w:rsidRDefault="00083B04" w:rsidP="000349C1">
            <w:pPr>
              <w:jc w:val="center"/>
              <w:rPr>
                <w:rFonts w:cs="Arial"/>
                <w:sz w:val="20"/>
                <w:lang w:eastAsia="en-AU"/>
              </w:rPr>
            </w:pPr>
            <w:r>
              <w:rPr>
                <w:rFonts w:cs="Arial"/>
                <w:sz w:val="20"/>
                <w:lang w:eastAsia="en-AU"/>
              </w:rPr>
              <w:t>2,862</w:t>
            </w:r>
          </w:p>
        </w:tc>
      </w:tr>
      <w:tr w:rsidR="00083B04" w:rsidRPr="000A4581" w14:paraId="65FF94AE" w14:textId="77777777" w:rsidTr="00E74E03">
        <w:trPr>
          <w:trHeight w:val="255"/>
        </w:trPr>
        <w:tc>
          <w:tcPr>
            <w:tcW w:w="1454" w:type="pct"/>
            <w:shd w:val="clear" w:color="auto" w:fill="auto"/>
            <w:noWrap/>
            <w:vAlign w:val="bottom"/>
            <w:hideMark/>
          </w:tcPr>
          <w:p w14:paraId="19C34768" w14:textId="77777777" w:rsidR="00083B04" w:rsidRPr="000A4581" w:rsidRDefault="00083B04" w:rsidP="006772A3">
            <w:pPr>
              <w:rPr>
                <w:rFonts w:cs="Arial"/>
                <w:sz w:val="20"/>
                <w:lang w:eastAsia="en-AU"/>
              </w:rPr>
            </w:pPr>
            <w:r w:rsidRPr="000A4581">
              <w:rPr>
                <w:rFonts w:cs="Arial"/>
                <w:sz w:val="20"/>
                <w:lang w:eastAsia="en-AU"/>
              </w:rPr>
              <w:t xml:space="preserve"> S</w:t>
            </w:r>
            <w:r>
              <w:rPr>
                <w:rFonts w:cs="Arial"/>
                <w:sz w:val="20"/>
                <w:lang w:eastAsia="en-AU"/>
              </w:rPr>
              <w:t>outh Australia</w:t>
            </w:r>
            <w:r w:rsidRPr="000A4581">
              <w:rPr>
                <w:rFonts w:cs="Arial"/>
                <w:sz w:val="20"/>
                <w:lang w:eastAsia="en-AU"/>
              </w:rPr>
              <w:t xml:space="preserve"> </w:t>
            </w:r>
          </w:p>
        </w:tc>
        <w:tc>
          <w:tcPr>
            <w:tcW w:w="794" w:type="pct"/>
            <w:shd w:val="clear" w:color="auto" w:fill="auto"/>
            <w:noWrap/>
            <w:vAlign w:val="bottom"/>
            <w:hideMark/>
          </w:tcPr>
          <w:p w14:paraId="73972F14" w14:textId="77777777" w:rsidR="00083B04" w:rsidRPr="000A4581" w:rsidRDefault="00083B04" w:rsidP="000349C1">
            <w:pPr>
              <w:jc w:val="center"/>
              <w:rPr>
                <w:rFonts w:cs="Arial"/>
                <w:sz w:val="20"/>
                <w:lang w:eastAsia="en-AU"/>
              </w:rPr>
            </w:pPr>
            <w:r w:rsidRPr="000A4581">
              <w:rPr>
                <w:rFonts w:cs="Arial"/>
                <w:sz w:val="20"/>
                <w:lang w:eastAsia="en-AU"/>
              </w:rPr>
              <w:t>512</w:t>
            </w:r>
          </w:p>
        </w:tc>
        <w:tc>
          <w:tcPr>
            <w:tcW w:w="756" w:type="pct"/>
            <w:shd w:val="clear" w:color="auto" w:fill="auto"/>
            <w:noWrap/>
            <w:vAlign w:val="bottom"/>
            <w:hideMark/>
          </w:tcPr>
          <w:p w14:paraId="09F60B5A" w14:textId="77777777" w:rsidR="00083B04" w:rsidRPr="000A4581" w:rsidRDefault="00083B04" w:rsidP="000349C1">
            <w:pPr>
              <w:jc w:val="center"/>
              <w:rPr>
                <w:rFonts w:cs="Arial"/>
                <w:sz w:val="20"/>
                <w:lang w:eastAsia="en-AU"/>
              </w:rPr>
            </w:pPr>
            <w:r w:rsidRPr="000A4581">
              <w:rPr>
                <w:rFonts w:cs="Arial"/>
                <w:sz w:val="20"/>
                <w:lang w:eastAsia="en-AU"/>
              </w:rPr>
              <w:t>618</w:t>
            </w:r>
          </w:p>
        </w:tc>
        <w:tc>
          <w:tcPr>
            <w:tcW w:w="1108" w:type="pct"/>
          </w:tcPr>
          <w:p w14:paraId="3F1E438D" w14:textId="77777777" w:rsidR="00083B04" w:rsidRPr="000A4581" w:rsidRDefault="00083B04" w:rsidP="000349C1">
            <w:pPr>
              <w:jc w:val="center"/>
              <w:rPr>
                <w:rFonts w:cs="Arial"/>
                <w:sz w:val="20"/>
                <w:lang w:eastAsia="en-AU"/>
              </w:rPr>
            </w:pPr>
            <w:r>
              <w:rPr>
                <w:rFonts w:cs="Arial"/>
                <w:sz w:val="20"/>
                <w:lang w:eastAsia="en-AU"/>
              </w:rPr>
              <w:t>37</w:t>
            </w:r>
          </w:p>
        </w:tc>
        <w:tc>
          <w:tcPr>
            <w:tcW w:w="887" w:type="pct"/>
            <w:shd w:val="clear" w:color="auto" w:fill="auto"/>
            <w:noWrap/>
            <w:vAlign w:val="bottom"/>
            <w:hideMark/>
          </w:tcPr>
          <w:p w14:paraId="0712597C" w14:textId="77777777" w:rsidR="00083B04" w:rsidRPr="000A4581" w:rsidRDefault="00083B04" w:rsidP="000349C1">
            <w:pPr>
              <w:jc w:val="center"/>
              <w:rPr>
                <w:rFonts w:cs="Arial"/>
                <w:sz w:val="20"/>
                <w:lang w:eastAsia="en-AU"/>
              </w:rPr>
            </w:pPr>
            <w:r>
              <w:rPr>
                <w:rFonts w:cs="Arial"/>
                <w:sz w:val="20"/>
                <w:lang w:eastAsia="en-AU"/>
              </w:rPr>
              <w:t>1,167</w:t>
            </w:r>
          </w:p>
        </w:tc>
      </w:tr>
      <w:tr w:rsidR="00083B04" w:rsidRPr="000A4581" w14:paraId="34D3B81B" w14:textId="77777777" w:rsidTr="00E74E03">
        <w:trPr>
          <w:trHeight w:val="255"/>
        </w:trPr>
        <w:tc>
          <w:tcPr>
            <w:tcW w:w="1454" w:type="pct"/>
            <w:shd w:val="clear" w:color="auto" w:fill="auto"/>
            <w:noWrap/>
            <w:vAlign w:val="bottom"/>
            <w:hideMark/>
          </w:tcPr>
          <w:p w14:paraId="18F7BE9D" w14:textId="77777777" w:rsidR="00083B04" w:rsidRPr="000A4581" w:rsidRDefault="00083B04" w:rsidP="006772A3">
            <w:pPr>
              <w:rPr>
                <w:rFonts w:cs="Arial"/>
                <w:sz w:val="20"/>
                <w:lang w:eastAsia="en-AU"/>
              </w:rPr>
            </w:pPr>
            <w:r w:rsidRPr="000A4581">
              <w:rPr>
                <w:rFonts w:cs="Arial"/>
                <w:sz w:val="20"/>
                <w:lang w:eastAsia="en-AU"/>
              </w:rPr>
              <w:t xml:space="preserve"> W</w:t>
            </w:r>
            <w:r>
              <w:rPr>
                <w:rFonts w:cs="Arial"/>
                <w:sz w:val="20"/>
                <w:lang w:eastAsia="en-AU"/>
              </w:rPr>
              <w:t>estern Australia</w:t>
            </w:r>
            <w:r w:rsidRPr="000A4581">
              <w:rPr>
                <w:rFonts w:cs="Arial"/>
                <w:sz w:val="20"/>
                <w:lang w:eastAsia="en-AU"/>
              </w:rPr>
              <w:t xml:space="preserve"> </w:t>
            </w:r>
          </w:p>
        </w:tc>
        <w:tc>
          <w:tcPr>
            <w:tcW w:w="794" w:type="pct"/>
            <w:shd w:val="clear" w:color="auto" w:fill="auto"/>
            <w:noWrap/>
            <w:vAlign w:val="bottom"/>
            <w:hideMark/>
          </w:tcPr>
          <w:p w14:paraId="735859FC" w14:textId="77777777" w:rsidR="00083B04" w:rsidRPr="000A4581" w:rsidRDefault="00083B04" w:rsidP="000349C1">
            <w:pPr>
              <w:jc w:val="center"/>
              <w:rPr>
                <w:rFonts w:cs="Arial"/>
                <w:sz w:val="20"/>
                <w:lang w:eastAsia="en-AU"/>
              </w:rPr>
            </w:pPr>
            <w:r w:rsidRPr="000A4581">
              <w:rPr>
                <w:rFonts w:cs="Arial"/>
                <w:sz w:val="20"/>
                <w:lang w:eastAsia="en-AU"/>
              </w:rPr>
              <w:t>650</w:t>
            </w:r>
          </w:p>
        </w:tc>
        <w:tc>
          <w:tcPr>
            <w:tcW w:w="756" w:type="pct"/>
            <w:shd w:val="clear" w:color="auto" w:fill="auto"/>
            <w:noWrap/>
            <w:vAlign w:val="bottom"/>
            <w:hideMark/>
          </w:tcPr>
          <w:p w14:paraId="1F81074B" w14:textId="77777777" w:rsidR="00083B04" w:rsidRPr="000A4581" w:rsidRDefault="00083B04" w:rsidP="000349C1">
            <w:pPr>
              <w:jc w:val="center"/>
              <w:rPr>
                <w:rFonts w:cs="Arial"/>
                <w:sz w:val="20"/>
                <w:lang w:eastAsia="en-AU"/>
              </w:rPr>
            </w:pPr>
            <w:r w:rsidRPr="000A4581">
              <w:rPr>
                <w:rFonts w:cs="Arial"/>
                <w:sz w:val="20"/>
                <w:lang w:eastAsia="en-AU"/>
              </w:rPr>
              <w:t>715</w:t>
            </w:r>
          </w:p>
        </w:tc>
        <w:tc>
          <w:tcPr>
            <w:tcW w:w="1108" w:type="pct"/>
          </w:tcPr>
          <w:p w14:paraId="34018D8E" w14:textId="77777777" w:rsidR="00083B04" w:rsidRPr="000A4581" w:rsidRDefault="00083B04" w:rsidP="000349C1">
            <w:pPr>
              <w:jc w:val="center"/>
              <w:rPr>
                <w:rFonts w:cs="Arial"/>
                <w:sz w:val="20"/>
                <w:lang w:eastAsia="en-AU"/>
              </w:rPr>
            </w:pPr>
            <w:r>
              <w:rPr>
                <w:rFonts w:cs="Arial"/>
                <w:sz w:val="20"/>
                <w:lang w:eastAsia="en-AU"/>
              </w:rPr>
              <w:t>44</w:t>
            </w:r>
          </w:p>
        </w:tc>
        <w:tc>
          <w:tcPr>
            <w:tcW w:w="887" w:type="pct"/>
            <w:shd w:val="clear" w:color="auto" w:fill="auto"/>
            <w:noWrap/>
            <w:vAlign w:val="bottom"/>
            <w:hideMark/>
          </w:tcPr>
          <w:p w14:paraId="3AA05B1A" w14:textId="77777777" w:rsidR="00083B04" w:rsidRPr="000A4581" w:rsidRDefault="00083B04" w:rsidP="000349C1">
            <w:pPr>
              <w:jc w:val="center"/>
              <w:rPr>
                <w:rFonts w:cs="Arial"/>
                <w:sz w:val="20"/>
                <w:lang w:eastAsia="en-AU"/>
              </w:rPr>
            </w:pPr>
            <w:r>
              <w:rPr>
                <w:rFonts w:cs="Arial"/>
                <w:sz w:val="20"/>
                <w:lang w:eastAsia="en-AU"/>
              </w:rPr>
              <w:t>1,408</w:t>
            </w:r>
          </w:p>
        </w:tc>
      </w:tr>
      <w:tr w:rsidR="00083B04" w:rsidRPr="000A4581" w14:paraId="740F2F86" w14:textId="77777777" w:rsidTr="00E74E03">
        <w:trPr>
          <w:trHeight w:val="255"/>
        </w:trPr>
        <w:tc>
          <w:tcPr>
            <w:tcW w:w="1454" w:type="pct"/>
            <w:shd w:val="clear" w:color="auto" w:fill="auto"/>
            <w:noWrap/>
            <w:vAlign w:val="bottom"/>
            <w:hideMark/>
          </w:tcPr>
          <w:p w14:paraId="394ABE79" w14:textId="77777777" w:rsidR="00083B04" w:rsidRPr="000A4581" w:rsidRDefault="00083B04" w:rsidP="006772A3">
            <w:pPr>
              <w:rPr>
                <w:rFonts w:cs="Arial"/>
                <w:sz w:val="20"/>
                <w:lang w:eastAsia="en-AU"/>
              </w:rPr>
            </w:pPr>
            <w:r w:rsidRPr="000A4581">
              <w:rPr>
                <w:rFonts w:cs="Arial"/>
                <w:sz w:val="20"/>
                <w:lang w:eastAsia="en-AU"/>
              </w:rPr>
              <w:t xml:space="preserve"> Tas</w:t>
            </w:r>
            <w:r>
              <w:rPr>
                <w:rFonts w:cs="Arial"/>
                <w:sz w:val="20"/>
                <w:lang w:eastAsia="en-AU"/>
              </w:rPr>
              <w:t>mania</w:t>
            </w:r>
            <w:r w:rsidRPr="000A4581">
              <w:rPr>
                <w:rFonts w:cs="Arial"/>
                <w:sz w:val="20"/>
                <w:lang w:eastAsia="en-AU"/>
              </w:rPr>
              <w:t xml:space="preserve"> </w:t>
            </w:r>
          </w:p>
        </w:tc>
        <w:tc>
          <w:tcPr>
            <w:tcW w:w="794" w:type="pct"/>
            <w:shd w:val="clear" w:color="auto" w:fill="auto"/>
            <w:noWrap/>
            <w:vAlign w:val="bottom"/>
            <w:hideMark/>
          </w:tcPr>
          <w:p w14:paraId="0379F98F" w14:textId="77777777" w:rsidR="00083B04" w:rsidRPr="000A4581" w:rsidRDefault="00083B04" w:rsidP="000349C1">
            <w:pPr>
              <w:jc w:val="center"/>
              <w:rPr>
                <w:rFonts w:cs="Arial"/>
                <w:sz w:val="20"/>
                <w:lang w:eastAsia="en-AU"/>
              </w:rPr>
            </w:pPr>
            <w:r w:rsidRPr="000A4581">
              <w:rPr>
                <w:rFonts w:cs="Arial"/>
                <w:sz w:val="20"/>
                <w:lang w:eastAsia="en-AU"/>
              </w:rPr>
              <w:t>89</w:t>
            </w:r>
          </w:p>
        </w:tc>
        <w:tc>
          <w:tcPr>
            <w:tcW w:w="756" w:type="pct"/>
            <w:shd w:val="clear" w:color="auto" w:fill="auto"/>
            <w:noWrap/>
            <w:vAlign w:val="bottom"/>
            <w:hideMark/>
          </w:tcPr>
          <w:p w14:paraId="79678F01" w14:textId="77777777" w:rsidR="00083B04" w:rsidRPr="000A4581" w:rsidRDefault="00083B04" w:rsidP="000349C1">
            <w:pPr>
              <w:jc w:val="center"/>
              <w:rPr>
                <w:rFonts w:cs="Arial"/>
                <w:sz w:val="20"/>
                <w:lang w:eastAsia="en-AU"/>
              </w:rPr>
            </w:pPr>
            <w:r w:rsidRPr="000A4581">
              <w:rPr>
                <w:rFonts w:cs="Arial"/>
                <w:sz w:val="20"/>
                <w:lang w:eastAsia="en-AU"/>
              </w:rPr>
              <w:t>76</w:t>
            </w:r>
          </w:p>
        </w:tc>
        <w:tc>
          <w:tcPr>
            <w:tcW w:w="1108" w:type="pct"/>
          </w:tcPr>
          <w:p w14:paraId="14E61213" w14:textId="77777777" w:rsidR="00083B04" w:rsidRPr="000A4581" w:rsidRDefault="00083B04" w:rsidP="000349C1">
            <w:pPr>
              <w:jc w:val="center"/>
              <w:rPr>
                <w:rFonts w:cs="Arial"/>
                <w:sz w:val="20"/>
                <w:lang w:eastAsia="en-AU"/>
              </w:rPr>
            </w:pPr>
            <w:r>
              <w:rPr>
                <w:rFonts w:cs="Arial"/>
                <w:sz w:val="20"/>
                <w:lang w:eastAsia="en-AU"/>
              </w:rPr>
              <w:t>8</w:t>
            </w:r>
          </w:p>
        </w:tc>
        <w:tc>
          <w:tcPr>
            <w:tcW w:w="887" w:type="pct"/>
            <w:shd w:val="clear" w:color="auto" w:fill="auto"/>
            <w:noWrap/>
            <w:vAlign w:val="bottom"/>
            <w:hideMark/>
          </w:tcPr>
          <w:p w14:paraId="59502E5B" w14:textId="77777777" w:rsidR="00083B04" w:rsidRPr="000A4581" w:rsidRDefault="00083B04" w:rsidP="000349C1">
            <w:pPr>
              <w:jc w:val="center"/>
              <w:rPr>
                <w:rFonts w:cs="Arial"/>
                <w:sz w:val="20"/>
                <w:lang w:eastAsia="en-AU"/>
              </w:rPr>
            </w:pPr>
            <w:r>
              <w:rPr>
                <w:rFonts w:cs="Arial"/>
                <w:sz w:val="20"/>
                <w:lang w:eastAsia="en-AU"/>
              </w:rPr>
              <w:t>173</w:t>
            </w:r>
          </w:p>
        </w:tc>
      </w:tr>
      <w:tr w:rsidR="00083B04" w:rsidRPr="000A4581" w14:paraId="7822F11F" w14:textId="77777777" w:rsidTr="00E74E03">
        <w:trPr>
          <w:trHeight w:val="255"/>
        </w:trPr>
        <w:tc>
          <w:tcPr>
            <w:tcW w:w="1454" w:type="pct"/>
            <w:shd w:val="clear" w:color="auto" w:fill="auto"/>
            <w:noWrap/>
            <w:vAlign w:val="bottom"/>
            <w:hideMark/>
          </w:tcPr>
          <w:p w14:paraId="059F190D" w14:textId="77777777" w:rsidR="00083B04" w:rsidRPr="000A4581" w:rsidRDefault="00083B04" w:rsidP="006772A3">
            <w:pPr>
              <w:rPr>
                <w:rFonts w:cs="Arial"/>
                <w:sz w:val="20"/>
                <w:lang w:eastAsia="en-AU"/>
              </w:rPr>
            </w:pPr>
            <w:r w:rsidRPr="000A4581">
              <w:rPr>
                <w:rFonts w:cs="Arial"/>
                <w:sz w:val="20"/>
                <w:lang w:eastAsia="en-AU"/>
              </w:rPr>
              <w:t xml:space="preserve"> N</w:t>
            </w:r>
            <w:r>
              <w:rPr>
                <w:rFonts w:cs="Arial"/>
                <w:sz w:val="20"/>
                <w:lang w:eastAsia="en-AU"/>
              </w:rPr>
              <w:t>orthern Territory</w:t>
            </w:r>
            <w:r w:rsidRPr="000A4581">
              <w:rPr>
                <w:rFonts w:cs="Arial"/>
                <w:sz w:val="20"/>
                <w:lang w:eastAsia="en-AU"/>
              </w:rPr>
              <w:t xml:space="preserve"> </w:t>
            </w:r>
          </w:p>
        </w:tc>
        <w:tc>
          <w:tcPr>
            <w:tcW w:w="794" w:type="pct"/>
            <w:shd w:val="clear" w:color="auto" w:fill="auto"/>
            <w:noWrap/>
            <w:vAlign w:val="bottom"/>
            <w:hideMark/>
          </w:tcPr>
          <w:p w14:paraId="4390B474" w14:textId="77777777" w:rsidR="00083B04" w:rsidRPr="000A4581" w:rsidRDefault="00083B04" w:rsidP="000349C1">
            <w:pPr>
              <w:jc w:val="center"/>
              <w:rPr>
                <w:rFonts w:cs="Arial"/>
                <w:sz w:val="20"/>
                <w:lang w:eastAsia="en-AU"/>
              </w:rPr>
            </w:pPr>
            <w:r w:rsidRPr="000A4581">
              <w:rPr>
                <w:rFonts w:cs="Arial"/>
                <w:sz w:val="20"/>
                <w:lang w:eastAsia="en-AU"/>
              </w:rPr>
              <w:t>33</w:t>
            </w:r>
          </w:p>
        </w:tc>
        <w:tc>
          <w:tcPr>
            <w:tcW w:w="756" w:type="pct"/>
            <w:shd w:val="clear" w:color="auto" w:fill="auto"/>
            <w:noWrap/>
            <w:vAlign w:val="bottom"/>
            <w:hideMark/>
          </w:tcPr>
          <w:p w14:paraId="2167B0D7" w14:textId="77777777" w:rsidR="00083B04" w:rsidRPr="000A4581" w:rsidRDefault="00083B04" w:rsidP="000349C1">
            <w:pPr>
              <w:jc w:val="center"/>
              <w:rPr>
                <w:rFonts w:cs="Arial"/>
                <w:sz w:val="20"/>
                <w:lang w:eastAsia="en-AU"/>
              </w:rPr>
            </w:pPr>
            <w:r w:rsidRPr="000A4581">
              <w:rPr>
                <w:rFonts w:cs="Arial"/>
                <w:sz w:val="20"/>
                <w:lang w:eastAsia="en-AU"/>
              </w:rPr>
              <w:t>23</w:t>
            </w:r>
          </w:p>
        </w:tc>
        <w:tc>
          <w:tcPr>
            <w:tcW w:w="1108" w:type="pct"/>
          </w:tcPr>
          <w:p w14:paraId="21F7F4C2" w14:textId="77777777" w:rsidR="00083B04" w:rsidRPr="000A4581" w:rsidRDefault="00083B04" w:rsidP="000349C1">
            <w:pPr>
              <w:jc w:val="center"/>
              <w:rPr>
                <w:rFonts w:cs="Arial"/>
                <w:sz w:val="20"/>
                <w:lang w:eastAsia="en-AU"/>
              </w:rPr>
            </w:pPr>
            <w:r>
              <w:rPr>
                <w:rFonts w:cs="Arial"/>
                <w:sz w:val="20"/>
                <w:lang w:eastAsia="en-AU"/>
              </w:rPr>
              <w:t>3</w:t>
            </w:r>
          </w:p>
        </w:tc>
        <w:tc>
          <w:tcPr>
            <w:tcW w:w="887" w:type="pct"/>
            <w:shd w:val="clear" w:color="auto" w:fill="auto"/>
            <w:noWrap/>
            <w:vAlign w:val="bottom"/>
            <w:hideMark/>
          </w:tcPr>
          <w:p w14:paraId="40758959" w14:textId="77777777" w:rsidR="00083B04" w:rsidRPr="000A4581" w:rsidRDefault="00083B04" w:rsidP="000349C1">
            <w:pPr>
              <w:jc w:val="center"/>
              <w:rPr>
                <w:rFonts w:cs="Arial"/>
                <w:sz w:val="20"/>
                <w:lang w:eastAsia="en-AU"/>
              </w:rPr>
            </w:pPr>
            <w:r>
              <w:rPr>
                <w:rFonts w:cs="Arial"/>
                <w:sz w:val="20"/>
                <w:lang w:eastAsia="en-AU"/>
              </w:rPr>
              <w:t>58</w:t>
            </w:r>
          </w:p>
        </w:tc>
      </w:tr>
      <w:tr w:rsidR="00083B04" w:rsidRPr="000A4581" w14:paraId="3981CB2B" w14:textId="77777777" w:rsidTr="00E74E03">
        <w:trPr>
          <w:trHeight w:val="255"/>
        </w:trPr>
        <w:tc>
          <w:tcPr>
            <w:tcW w:w="1454" w:type="pct"/>
            <w:tcBorders>
              <w:bottom w:val="nil"/>
            </w:tcBorders>
            <w:shd w:val="clear" w:color="auto" w:fill="auto"/>
            <w:noWrap/>
            <w:vAlign w:val="bottom"/>
            <w:hideMark/>
          </w:tcPr>
          <w:p w14:paraId="6F8931A3" w14:textId="77777777" w:rsidR="00083B04" w:rsidRPr="000A4581" w:rsidRDefault="00083B04" w:rsidP="006772A3">
            <w:pPr>
              <w:rPr>
                <w:rFonts w:cs="Arial"/>
                <w:sz w:val="20"/>
                <w:lang w:eastAsia="en-AU"/>
              </w:rPr>
            </w:pPr>
            <w:r w:rsidRPr="000A4581">
              <w:rPr>
                <w:rFonts w:cs="Arial"/>
                <w:sz w:val="20"/>
                <w:lang w:eastAsia="en-AU"/>
              </w:rPr>
              <w:t xml:space="preserve"> A</w:t>
            </w:r>
            <w:r>
              <w:rPr>
                <w:rFonts w:cs="Arial"/>
                <w:sz w:val="20"/>
                <w:lang w:eastAsia="en-AU"/>
              </w:rPr>
              <w:t>ustralian Capital Territory</w:t>
            </w:r>
            <w:r w:rsidRPr="000A4581">
              <w:rPr>
                <w:rFonts w:cs="Arial"/>
                <w:sz w:val="20"/>
                <w:lang w:eastAsia="en-AU"/>
              </w:rPr>
              <w:t xml:space="preserve"> </w:t>
            </w:r>
          </w:p>
        </w:tc>
        <w:tc>
          <w:tcPr>
            <w:tcW w:w="794" w:type="pct"/>
            <w:tcBorders>
              <w:bottom w:val="nil"/>
            </w:tcBorders>
            <w:shd w:val="clear" w:color="auto" w:fill="auto"/>
            <w:noWrap/>
            <w:vAlign w:val="bottom"/>
            <w:hideMark/>
          </w:tcPr>
          <w:p w14:paraId="7D423252" w14:textId="77777777" w:rsidR="00083B04" w:rsidRPr="000A4581" w:rsidRDefault="00083B04" w:rsidP="000349C1">
            <w:pPr>
              <w:jc w:val="center"/>
              <w:rPr>
                <w:rFonts w:cs="Arial"/>
                <w:sz w:val="20"/>
                <w:lang w:eastAsia="en-AU"/>
              </w:rPr>
            </w:pPr>
            <w:r w:rsidRPr="000A4581">
              <w:rPr>
                <w:rFonts w:cs="Arial"/>
                <w:sz w:val="20"/>
                <w:lang w:eastAsia="en-AU"/>
              </w:rPr>
              <w:t>241</w:t>
            </w:r>
          </w:p>
        </w:tc>
        <w:tc>
          <w:tcPr>
            <w:tcW w:w="756" w:type="pct"/>
            <w:tcBorders>
              <w:bottom w:val="nil"/>
            </w:tcBorders>
            <w:shd w:val="clear" w:color="auto" w:fill="auto"/>
            <w:noWrap/>
            <w:vAlign w:val="bottom"/>
            <w:hideMark/>
          </w:tcPr>
          <w:p w14:paraId="6F917A95" w14:textId="77777777" w:rsidR="00083B04" w:rsidRPr="000A4581" w:rsidRDefault="00083B04" w:rsidP="000349C1">
            <w:pPr>
              <w:jc w:val="center"/>
              <w:rPr>
                <w:rFonts w:cs="Arial"/>
                <w:sz w:val="20"/>
                <w:lang w:eastAsia="en-AU"/>
              </w:rPr>
            </w:pPr>
            <w:r w:rsidRPr="000A4581">
              <w:rPr>
                <w:rFonts w:cs="Arial"/>
                <w:sz w:val="20"/>
                <w:lang w:eastAsia="en-AU"/>
              </w:rPr>
              <w:t>197</w:t>
            </w:r>
          </w:p>
        </w:tc>
        <w:tc>
          <w:tcPr>
            <w:tcW w:w="1108" w:type="pct"/>
            <w:tcBorders>
              <w:bottom w:val="nil"/>
            </w:tcBorders>
          </w:tcPr>
          <w:p w14:paraId="3B189DA4" w14:textId="77777777" w:rsidR="00083B04" w:rsidRPr="000A4581" w:rsidRDefault="00083B04" w:rsidP="000349C1">
            <w:pPr>
              <w:jc w:val="center"/>
              <w:rPr>
                <w:rFonts w:cs="Arial"/>
                <w:sz w:val="20"/>
                <w:lang w:eastAsia="en-AU"/>
              </w:rPr>
            </w:pPr>
            <w:r>
              <w:rPr>
                <w:rFonts w:cs="Arial"/>
                <w:sz w:val="20"/>
                <w:lang w:eastAsia="en-AU"/>
              </w:rPr>
              <w:t>20</w:t>
            </w:r>
          </w:p>
        </w:tc>
        <w:tc>
          <w:tcPr>
            <w:tcW w:w="887" w:type="pct"/>
            <w:tcBorders>
              <w:bottom w:val="nil"/>
            </w:tcBorders>
            <w:shd w:val="clear" w:color="auto" w:fill="auto"/>
            <w:noWrap/>
            <w:vAlign w:val="bottom"/>
            <w:hideMark/>
          </w:tcPr>
          <w:p w14:paraId="3A646BA1" w14:textId="77777777" w:rsidR="00083B04" w:rsidRPr="000A4581" w:rsidRDefault="00083B04" w:rsidP="000349C1">
            <w:pPr>
              <w:jc w:val="center"/>
              <w:rPr>
                <w:rFonts w:cs="Arial"/>
                <w:sz w:val="20"/>
                <w:lang w:eastAsia="en-AU"/>
              </w:rPr>
            </w:pPr>
            <w:r>
              <w:rPr>
                <w:rFonts w:cs="Arial"/>
                <w:sz w:val="20"/>
                <w:lang w:eastAsia="en-AU"/>
              </w:rPr>
              <w:t>459</w:t>
            </w:r>
          </w:p>
        </w:tc>
      </w:tr>
      <w:tr w:rsidR="00083B04" w:rsidRPr="000A4581" w14:paraId="4467A442" w14:textId="77777777" w:rsidTr="00E74E03">
        <w:trPr>
          <w:trHeight w:val="255"/>
        </w:trPr>
        <w:tc>
          <w:tcPr>
            <w:tcW w:w="1454" w:type="pct"/>
            <w:tcBorders>
              <w:top w:val="nil"/>
              <w:bottom w:val="single" w:sz="18" w:space="0" w:color="002776" w:themeColor="text2"/>
            </w:tcBorders>
            <w:shd w:val="clear" w:color="auto" w:fill="auto"/>
            <w:noWrap/>
            <w:vAlign w:val="bottom"/>
            <w:hideMark/>
          </w:tcPr>
          <w:p w14:paraId="435BF5A1" w14:textId="77777777" w:rsidR="00083B04" w:rsidRPr="007568A7" w:rsidRDefault="00083B04" w:rsidP="006772A3">
            <w:pPr>
              <w:rPr>
                <w:rFonts w:cs="Arial"/>
                <w:b/>
                <w:color w:val="002776" w:themeColor="text2"/>
                <w:sz w:val="20"/>
                <w:lang w:eastAsia="en-AU"/>
              </w:rPr>
            </w:pPr>
            <w:r w:rsidRPr="007568A7">
              <w:rPr>
                <w:rFonts w:cs="Arial"/>
                <w:b/>
                <w:color w:val="002776" w:themeColor="text2"/>
                <w:sz w:val="20"/>
                <w:lang w:eastAsia="en-AU"/>
              </w:rPr>
              <w:t xml:space="preserve"> Australia </w:t>
            </w:r>
          </w:p>
        </w:tc>
        <w:tc>
          <w:tcPr>
            <w:tcW w:w="794" w:type="pct"/>
            <w:tcBorders>
              <w:top w:val="nil"/>
              <w:bottom w:val="single" w:sz="18" w:space="0" w:color="002776" w:themeColor="text2"/>
            </w:tcBorders>
            <w:shd w:val="clear" w:color="auto" w:fill="auto"/>
            <w:noWrap/>
            <w:vAlign w:val="bottom"/>
            <w:hideMark/>
          </w:tcPr>
          <w:p w14:paraId="39EB067E" w14:textId="77777777" w:rsidR="00083B04" w:rsidRPr="000349C1" w:rsidRDefault="00083B04" w:rsidP="000349C1">
            <w:pPr>
              <w:jc w:val="center"/>
              <w:rPr>
                <w:rFonts w:cs="Arial"/>
                <w:sz w:val="20"/>
                <w:lang w:eastAsia="en-AU"/>
              </w:rPr>
            </w:pPr>
            <w:r w:rsidRPr="000349C1">
              <w:rPr>
                <w:rFonts w:cs="Arial"/>
                <w:sz w:val="20"/>
                <w:lang w:eastAsia="en-AU"/>
              </w:rPr>
              <w:t>8,717</w:t>
            </w:r>
          </w:p>
        </w:tc>
        <w:tc>
          <w:tcPr>
            <w:tcW w:w="756" w:type="pct"/>
            <w:tcBorders>
              <w:top w:val="nil"/>
              <w:bottom w:val="single" w:sz="18" w:space="0" w:color="002776" w:themeColor="text2"/>
            </w:tcBorders>
            <w:shd w:val="clear" w:color="auto" w:fill="auto"/>
            <w:noWrap/>
            <w:vAlign w:val="bottom"/>
            <w:hideMark/>
          </w:tcPr>
          <w:p w14:paraId="0864E3EC" w14:textId="77777777" w:rsidR="00083B04" w:rsidRPr="000349C1" w:rsidRDefault="00083B04" w:rsidP="000349C1">
            <w:pPr>
              <w:jc w:val="center"/>
              <w:rPr>
                <w:rFonts w:cs="Arial"/>
                <w:sz w:val="20"/>
                <w:lang w:eastAsia="en-AU"/>
              </w:rPr>
            </w:pPr>
            <w:r w:rsidRPr="000349C1">
              <w:rPr>
                <w:rFonts w:cs="Arial"/>
                <w:sz w:val="20"/>
                <w:lang w:eastAsia="en-AU"/>
              </w:rPr>
              <w:t>9,659</w:t>
            </w:r>
          </w:p>
        </w:tc>
        <w:tc>
          <w:tcPr>
            <w:tcW w:w="1108" w:type="pct"/>
            <w:tcBorders>
              <w:top w:val="nil"/>
              <w:bottom w:val="single" w:sz="18" w:space="0" w:color="002776" w:themeColor="text2"/>
            </w:tcBorders>
          </w:tcPr>
          <w:p w14:paraId="2188878A" w14:textId="77777777" w:rsidR="00083B04" w:rsidRPr="000349C1" w:rsidRDefault="00083B04" w:rsidP="000349C1">
            <w:pPr>
              <w:jc w:val="center"/>
              <w:rPr>
                <w:rFonts w:cs="Arial"/>
                <w:sz w:val="20"/>
                <w:lang w:eastAsia="en-AU"/>
              </w:rPr>
            </w:pPr>
            <w:r>
              <w:rPr>
                <w:rFonts w:cs="Arial"/>
                <w:sz w:val="20"/>
                <w:lang w:eastAsia="en-AU"/>
              </w:rPr>
              <w:t>603</w:t>
            </w:r>
          </w:p>
        </w:tc>
        <w:tc>
          <w:tcPr>
            <w:tcW w:w="887" w:type="pct"/>
            <w:tcBorders>
              <w:top w:val="nil"/>
              <w:bottom w:val="single" w:sz="18" w:space="0" w:color="002776" w:themeColor="text2"/>
            </w:tcBorders>
            <w:shd w:val="clear" w:color="auto" w:fill="auto"/>
            <w:noWrap/>
            <w:vAlign w:val="bottom"/>
            <w:hideMark/>
          </w:tcPr>
          <w:p w14:paraId="0DC47275" w14:textId="77777777" w:rsidR="00083B04" w:rsidRPr="000349C1" w:rsidRDefault="00083B04" w:rsidP="000349C1">
            <w:pPr>
              <w:jc w:val="center"/>
              <w:rPr>
                <w:rFonts w:cs="Arial"/>
                <w:sz w:val="20"/>
                <w:lang w:eastAsia="en-AU"/>
              </w:rPr>
            </w:pPr>
            <w:r>
              <w:rPr>
                <w:rFonts w:cs="Arial"/>
                <w:sz w:val="20"/>
                <w:lang w:eastAsia="en-AU"/>
              </w:rPr>
              <w:t>18,980</w:t>
            </w:r>
          </w:p>
        </w:tc>
      </w:tr>
    </w:tbl>
    <w:p w14:paraId="571542D4" w14:textId="77777777" w:rsidR="00F86B13" w:rsidRDefault="00F86B13" w:rsidP="00F86B13">
      <w:pPr>
        <w:pStyle w:val="Source"/>
        <w:keepNext/>
        <w:keepLines/>
        <w:contextualSpacing/>
      </w:pPr>
      <w:r>
        <w:t>Source: Deloitte Access Economics</w:t>
      </w:r>
      <w:r w:rsidR="00285257">
        <w:t>.</w:t>
      </w:r>
    </w:p>
    <w:p w14:paraId="65B1AA76" w14:textId="77777777" w:rsidR="00F86B13" w:rsidRPr="007568A7" w:rsidRDefault="00F86B13" w:rsidP="00F86B13">
      <w:pPr>
        <w:pStyle w:val="Source"/>
        <w:keepNext/>
        <w:keepLines/>
        <w:contextualSpacing/>
      </w:pPr>
      <w:r>
        <w:t xml:space="preserve">Note: For comparison purposes, the Australian total is equal to the sum of </w:t>
      </w:r>
      <w:r w:rsidR="00083B04">
        <w:t xml:space="preserve">Modes, 1, 2, 4, </w:t>
      </w:r>
      <w:r>
        <w:t xml:space="preserve">and </w:t>
      </w:r>
      <w:proofErr w:type="spellStart"/>
      <w:r>
        <w:t>NSV</w:t>
      </w:r>
      <w:proofErr w:type="spellEnd"/>
      <w:r>
        <w:t xml:space="preserve"> </w:t>
      </w:r>
      <w:proofErr w:type="spellStart"/>
      <w:r>
        <w:t>ELICOS</w:t>
      </w:r>
      <w:proofErr w:type="spellEnd"/>
      <w:r>
        <w:t xml:space="preserve"> revenue.</w:t>
      </w:r>
    </w:p>
    <w:p w14:paraId="6BE55CD6" w14:textId="77777777" w:rsidR="00F86B13" w:rsidRDefault="00F86B13" w:rsidP="00F86B13">
      <w:pPr>
        <w:pStyle w:val="BodyText"/>
        <w:rPr>
          <w:lang w:eastAsia="en-AU"/>
        </w:rPr>
      </w:pPr>
      <w:r w:rsidRPr="007568A7">
        <w:rPr>
          <w:lang w:eastAsia="en-AU"/>
        </w:rPr>
        <w:t xml:space="preserve">The </w:t>
      </w:r>
      <w:r>
        <w:rPr>
          <w:lang w:eastAsia="en-AU"/>
        </w:rPr>
        <w:t xml:space="preserve">estimated revenue is then apportioned to the relevant </w:t>
      </w:r>
      <w:proofErr w:type="spellStart"/>
      <w:r>
        <w:rPr>
          <w:lang w:eastAsia="en-AU"/>
        </w:rPr>
        <w:t>ANZSIC</w:t>
      </w:r>
      <w:proofErr w:type="spellEnd"/>
      <w:r>
        <w:rPr>
          <w:lang w:eastAsia="en-AU"/>
        </w:rPr>
        <w:t xml:space="preserve"> industries and</w:t>
      </w:r>
      <w:r w:rsidRPr="007568A7">
        <w:rPr>
          <w:lang w:eastAsia="en-AU"/>
        </w:rPr>
        <w:t xml:space="preserve"> put through the IO tables </w:t>
      </w:r>
      <w:r>
        <w:rPr>
          <w:lang w:eastAsia="en-AU"/>
        </w:rPr>
        <w:t>using</w:t>
      </w:r>
      <w:r w:rsidRPr="007568A7">
        <w:rPr>
          <w:lang w:eastAsia="en-AU"/>
        </w:rPr>
        <w:t xml:space="preserve"> the methodology described in</w:t>
      </w:r>
      <w:r w:rsidR="00EA4CC2">
        <w:rPr>
          <w:lang w:eastAsia="en-AU"/>
        </w:rPr>
        <w:t xml:space="preserve"> </w:t>
      </w:r>
      <w:r w:rsidR="00EA4CC2">
        <w:rPr>
          <w:lang w:eastAsia="en-AU"/>
        </w:rPr>
        <w:fldChar w:fldCharType="begin"/>
      </w:r>
      <w:r w:rsidR="00EA4CC2">
        <w:rPr>
          <w:lang w:eastAsia="en-AU"/>
        </w:rPr>
        <w:instrText xml:space="preserve"> REF _Ref442002716 \r \h </w:instrText>
      </w:r>
      <w:r w:rsidR="00EA4CC2">
        <w:rPr>
          <w:lang w:eastAsia="en-AU"/>
        </w:rPr>
      </w:r>
      <w:r w:rsidR="00EA4CC2">
        <w:rPr>
          <w:lang w:eastAsia="en-AU"/>
        </w:rPr>
        <w:fldChar w:fldCharType="separate"/>
      </w:r>
      <w:r w:rsidR="00F03FA0">
        <w:rPr>
          <w:lang w:eastAsia="en-AU"/>
        </w:rPr>
        <w:t>Appendix D</w:t>
      </w:r>
      <w:r w:rsidR="00EA4CC2">
        <w:rPr>
          <w:lang w:eastAsia="en-AU"/>
        </w:rPr>
        <w:fldChar w:fldCharType="end"/>
      </w:r>
      <w:r w:rsidRPr="007568A7">
        <w:rPr>
          <w:lang w:eastAsia="en-AU"/>
        </w:rPr>
        <w:t>.</w:t>
      </w:r>
      <w:r w:rsidRPr="00F40B15">
        <w:rPr>
          <w:lang w:eastAsia="en-AU"/>
        </w:rPr>
        <w:t xml:space="preserve"> </w:t>
      </w:r>
      <w:r w:rsidRPr="006453F2">
        <w:rPr>
          <w:lang w:eastAsia="en-AU"/>
        </w:rPr>
        <w:t>A</w:t>
      </w:r>
      <w:r w:rsidRPr="007959CE">
        <w:rPr>
          <w:lang w:eastAsia="en-AU"/>
        </w:rPr>
        <w:t xml:space="preserve">gain, it is </w:t>
      </w:r>
      <w:r w:rsidR="000E09C8">
        <w:rPr>
          <w:lang w:eastAsia="en-AU"/>
        </w:rPr>
        <w:t>noted</w:t>
      </w:r>
      <w:r w:rsidRPr="007959CE">
        <w:rPr>
          <w:lang w:eastAsia="en-AU"/>
        </w:rPr>
        <w:t xml:space="preserve"> that to produce estimates at the state levels, a number of simplifying assumptions have been made, which may have some effect on the accuracy of the results.</w:t>
      </w:r>
    </w:p>
    <w:p w14:paraId="59277421" w14:textId="77777777" w:rsidR="006F21EE" w:rsidRPr="00EA1B94" w:rsidRDefault="006F5CF3" w:rsidP="006F21EE">
      <w:pPr>
        <w:pStyle w:val="BodyText"/>
        <w:rPr>
          <w:b/>
          <w:i/>
          <w:color w:val="002776" w:themeColor="text2"/>
          <w:lang w:eastAsia="en-AU"/>
        </w:rPr>
      </w:pPr>
      <w:r w:rsidRPr="000349C1">
        <w:rPr>
          <w:b/>
          <w:color w:val="002776" w:themeColor="text2"/>
          <w:lang w:eastAsia="en-AU"/>
        </w:rPr>
        <w:t>Deloitte Access Economics estimates that onshore international students contributed between 0.</w:t>
      </w:r>
      <w:r>
        <w:rPr>
          <w:b/>
          <w:color w:val="002776" w:themeColor="text2"/>
          <w:lang w:eastAsia="en-AU"/>
        </w:rPr>
        <w:t>3</w:t>
      </w:r>
      <w:r w:rsidRPr="000349C1">
        <w:rPr>
          <w:b/>
          <w:color w:val="002776" w:themeColor="text2"/>
          <w:lang w:eastAsia="en-AU"/>
        </w:rPr>
        <w:t>% and 1.</w:t>
      </w:r>
      <w:r w:rsidR="00083B04">
        <w:rPr>
          <w:b/>
          <w:color w:val="002776" w:themeColor="text2"/>
          <w:lang w:eastAsia="en-AU"/>
        </w:rPr>
        <w:t>4</w:t>
      </w:r>
      <w:r w:rsidRPr="000349C1">
        <w:rPr>
          <w:b/>
          <w:color w:val="002776" w:themeColor="text2"/>
          <w:lang w:eastAsia="en-AU"/>
        </w:rPr>
        <w:t>% to the</w:t>
      </w:r>
      <w:r>
        <w:rPr>
          <w:b/>
          <w:color w:val="002776" w:themeColor="text2"/>
          <w:lang w:eastAsia="en-AU"/>
        </w:rPr>
        <w:t xml:space="preserve"> </w:t>
      </w:r>
      <w:proofErr w:type="spellStart"/>
      <w:r w:rsidRPr="000349C1">
        <w:rPr>
          <w:b/>
          <w:color w:val="002776" w:themeColor="text2"/>
          <w:lang w:eastAsia="en-AU"/>
        </w:rPr>
        <w:t>GSP</w:t>
      </w:r>
      <w:proofErr w:type="spellEnd"/>
      <w:r>
        <w:rPr>
          <w:b/>
          <w:color w:val="002776" w:themeColor="text2"/>
          <w:lang w:eastAsia="en-AU"/>
        </w:rPr>
        <w:t xml:space="preserve"> of each state</w:t>
      </w:r>
      <w:r w:rsidRPr="000349C1">
        <w:rPr>
          <w:b/>
          <w:color w:val="002776" w:themeColor="text2"/>
          <w:lang w:eastAsia="en-AU"/>
        </w:rPr>
        <w:t xml:space="preserve"> over financial year 2014-15. International edu</w:t>
      </w:r>
      <w:r>
        <w:rPr>
          <w:b/>
          <w:color w:val="002776" w:themeColor="text2"/>
          <w:lang w:eastAsia="en-AU"/>
        </w:rPr>
        <w:t>cation also employed between 0.3% and 1.</w:t>
      </w:r>
      <w:r w:rsidR="00083B04">
        <w:rPr>
          <w:b/>
          <w:color w:val="002776" w:themeColor="text2"/>
          <w:lang w:eastAsia="en-AU"/>
        </w:rPr>
        <w:t>5</w:t>
      </w:r>
      <w:r w:rsidRPr="000349C1">
        <w:rPr>
          <w:b/>
          <w:color w:val="002776" w:themeColor="text2"/>
          <w:lang w:eastAsia="en-AU"/>
        </w:rPr>
        <w:t xml:space="preserve">% of the States’ workforces in FTE terms over the same period. </w:t>
      </w:r>
      <w:r>
        <w:rPr>
          <w:lang w:eastAsia="en-AU"/>
        </w:rPr>
        <w:t xml:space="preserve">International education is the most significant in </w:t>
      </w:r>
      <w:r w:rsidRPr="001A2200">
        <w:rPr>
          <w:lang w:eastAsia="en-AU"/>
        </w:rPr>
        <w:t>Victoria, New South Wales, and the Australian Capital Territory</w:t>
      </w:r>
      <w:r w:rsidRPr="007568A7">
        <w:rPr>
          <w:lang w:eastAsia="en-AU"/>
        </w:rPr>
        <w:t xml:space="preserve">, </w:t>
      </w:r>
      <w:r>
        <w:rPr>
          <w:lang w:eastAsia="en-AU"/>
        </w:rPr>
        <w:t>contributing</w:t>
      </w:r>
      <w:r w:rsidRPr="001A2200">
        <w:rPr>
          <w:b/>
          <w:i/>
          <w:lang w:eastAsia="en-AU"/>
        </w:rPr>
        <w:t xml:space="preserve"> </w:t>
      </w:r>
      <w:r w:rsidRPr="001A2200">
        <w:rPr>
          <w:lang w:eastAsia="en-AU"/>
        </w:rPr>
        <w:t xml:space="preserve">approximately </w:t>
      </w:r>
      <w:r>
        <w:rPr>
          <w:lang w:eastAsia="en-AU"/>
        </w:rPr>
        <w:t xml:space="preserve">1.4%, 1.2%, and 1.1% to their respective </w:t>
      </w:r>
      <w:proofErr w:type="spellStart"/>
      <w:r>
        <w:rPr>
          <w:lang w:eastAsia="en-AU"/>
        </w:rPr>
        <w:t>GSPs</w:t>
      </w:r>
      <w:proofErr w:type="spellEnd"/>
      <w:r>
        <w:rPr>
          <w:lang w:eastAsia="en-AU"/>
        </w:rPr>
        <w:t xml:space="preserve">. </w:t>
      </w:r>
      <w:r>
        <w:rPr>
          <w:lang w:eastAsia="en-AU"/>
        </w:rPr>
        <w:fldChar w:fldCharType="begin"/>
      </w:r>
      <w:r>
        <w:rPr>
          <w:lang w:eastAsia="en-AU"/>
        </w:rPr>
        <w:instrText xml:space="preserve"> REF _Ref438646817 \r \h </w:instrText>
      </w:r>
      <w:r>
        <w:rPr>
          <w:lang w:eastAsia="en-AU"/>
        </w:rPr>
      </w:r>
      <w:r>
        <w:rPr>
          <w:lang w:eastAsia="en-AU"/>
        </w:rPr>
        <w:fldChar w:fldCharType="separate"/>
      </w:r>
      <w:r w:rsidR="00F03FA0">
        <w:rPr>
          <w:lang w:eastAsia="en-AU"/>
        </w:rPr>
        <w:t>Chart 4.1</w:t>
      </w:r>
      <w:r>
        <w:rPr>
          <w:lang w:eastAsia="en-AU"/>
        </w:rPr>
        <w:fldChar w:fldCharType="end"/>
      </w:r>
      <w:r>
        <w:rPr>
          <w:lang w:eastAsia="en-AU"/>
        </w:rPr>
        <w:t xml:space="preserve"> shows the total contribution of onshore international education as a proportion of the total </w:t>
      </w:r>
      <w:proofErr w:type="spellStart"/>
      <w:r>
        <w:rPr>
          <w:lang w:eastAsia="en-AU"/>
        </w:rPr>
        <w:t>GSP</w:t>
      </w:r>
      <w:proofErr w:type="spellEnd"/>
      <w:r>
        <w:rPr>
          <w:lang w:eastAsia="en-AU"/>
        </w:rPr>
        <w:t xml:space="preserve"> and workforce in financial year 2014-15.</w:t>
      </w:r>
    </w:p>
    <w:p w14:paraId="599EEF87" w14:textId="77777777" w:rsidR="006F21EE" w:rsidRDefault="006F21EE" w:rsidP="006F21EE">
      <w:pPr>
        <w:pStyle w:val="CaptionChart"/>
        <w:numPr>
          <w:ilvl w:val="7"/>
          <w:numId w:val="9"/>
        </w:numPr>
        <w:rPr>
          <w:lang w:eastAsia="en-AU"/>
        </w:rPr>
      </w:pPr>
      <w:bookmarkStart w:id="167" w:name="_Ref438646817"/>
      <w:bookmarkStart w:id="168" w:name="_Toc450809275"/>
      <w:r>
        <w:rPr>
          <w:lang w:eastAsia="en-AU"/>
        </w:rPr>
        <w:t>: Relative total international education contribution to states, 2014-15</w:t>
      </w:r>
      <w:bookmarkEnd w:id="167"/>
      <w:bookmarkEnd w:id="168"/>
    </w:p>
    <w:p w14:paraId="4157EA34" w14:textId="77777777" w:rsidR="006F21EE" w:rsidRDefault="006F21EE" w:rsidP="006F21EE">
      <w:pPr>
        <w:pStyle w:val="BodyText"/>
        <w:rPr>
          <w:lang w:eastAsia="en-AU"/>
        </w:rPr>
      </w:pPr>
      <w:r w:rsidRPr="003D56CD">
        <w:rPr>
          <w:lang w:eastAsia="en-AU"/>
        </w:rPr>
        <w:t xml:space="preserve"> </w:t>
      </w:r>
      <w:r w:rsidR="004B3352" w:rsidRPr="004B3352">
        <w:rPr>
          <w:noProof/>
          <w:lang w:eastAsia="en-AU"/>
        </w:rPr>
        <w:drawing>
          <wp:inline distT="0" distB="0" distL="0" distR="0" wp14:anchorId="233B2760" wp14:editId="3104C0BA">
            <wp:extent cx="4162375" cy="2556000"/>
            <wp:effectExtent l="0" t="0" r="3810" b="9525"/>
            <wp:docPr id="8" name="Picture 8" descr="The chart shows the relative total international education contribution to states in financial year 2014–15.&#10;" title="Chart 4.1: Relative total international education contribution to states, 2014–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162375" cy="2556000"/>
                    </a:xfrm>
                    <a:prstGeom prst="rect">
                      <a:avLst/>
                    </a:prstGeom>
                    <a:noFill/>
                    <a:ln>
                      <a:noFill/>
                    </a:ln>
                  </pic:spPr>
                </pic:pic>
              </a:graphicData>
            </a:graphic>
          </wp:inline>
        </w:drawing>
      </w:r>
    </w:p>
    <w:p w14:paraId="64C0B6C3" w14:textId="77777777" w:rsidR="006F21EE" w:rsidRPr="000B42EB" w:rsidRDefault="006F21EE" w:rsidP="006F21EE">
      <w:pPr>
        <w:pStyle w:val="Source"/>
        <w:keepNext/>
        <w:keepLines/>
        <w:contextualSpacing/>
      </w:pPr>
      <w:r>
        <w:t>Source: Deloitte Access Economics</w:t>
      </w:r>
      <w:r w:rsidR="00285257">
        <w:t>.</w:t>
      </w:r>
    </w:p>
    <w:p w14:paraId="503049EE" w14:textId="77777777" w:rsidR="006F21EE" w:rsidRDefault="006F21EE" w:rsidP="006F21EE">
      <w:pPr>
        <w:pStyle w:val="BodyText"/>
        <w:rPr>
          <w:lang w:eastAsia="en-AU"/>
        </w:rPr>
      </w:pPr>
      <w:r>
        <w:rPr>
          <w:lang w:eastAsia="en-AU"/>
        </w:rPr>
        <w:t xml:space="preserve">Small regions are likely to retain less of the indirect contribution from international students studying there. For instance, take an international student studying in the </w:t>
      </w:r>
      <w:r>
        <w:rPr>
          <w:lang w:eastAsia="en-AU"/>
        </w:rPr>
        <w:lastRenderedPageBreak/>
        <w:t xml:space="preserve">Australian Capital Territory buying groceries from the local supermarket. Given that the Territory does not have a strong agricultural </w:t>
      </w:r>
      <w:proofErr w:type="gramStart"/>
      <w:r>
        <w:rPr>
          <w:lang w:eastAsia="en-AU"/>
        </w:rPr>
        <w:t>sector,</w:t>
      </w:r>
      <w:proofErr w:type="gramEnd"/>
      <w:r>
        <w:rPr>
          <w:lang w:eastAsia="en-AU"/>
        </w:rPr>
        <w:t xml:space="preserve"> it is likely that a high proportion of those products will be sourced from other states. Consequently, some of the value added associated with producing the groceries will leak out from the state.</w:t>
      </w:r>
    </w:p>
    <w:p w14:paraId="6791094C" w14:textId="77777777" w:rsidR="006F21EE" w:rsidRDefault="006F21EE" w:rsidP="006F21EE">
      <w:pPr>
        <w:pStyle w:val="BodyText"/>
        <w:rPr>
          <w:lang w:eastAsia="en-AU"/>
        </w:rPr>
      </w:pPr>
      <w:r>
        <w:rPr>
          <w:lang w:eastAsia="en-AU"/>
        </w:rPr>
        <w:t xml:space="preserve">The model </w:t>
      </w:r>
      <w:r w:rsidR="00873BE1">
        <w:rPr>
          <w:lang w:eastAsia="en-AU"/>
        </w:rPr>
        <w:t xml:space="preserve">quantifies </w:t>
      </w:r>
      <w:r>
        <w:rPr>
          <w:lang w:eastAsia="en-AU"/>
        </w:rPr>
        <w:t xml:space="preserve">the second round contribution to the state from international students </w:t>
      </w:r>
      <w:r>
        <w:rPr>
          <w:i/>
          <w:lang w:eastAsia="en-AU"/>
        </w:rPr>
        <w:t>studying</w:t>
      </w:r>
      <w:r w:rsidRPr="00E937D5">
        <w:rPr>
          <w:i/>
          <w:lang w:eastAsia="en-AU"/>
        </w:rPr>
        <w:t xml:space="preserve"> in other states</w:t>
      </w:r>
      <w:r>
        <w:rPr>
          <w:i/>
          <w:lang w:eastAsia="en-AU"/>
        </w:rPr>
        <w:t xml:space="preserve"> </w:t>
      </w:r>
      <w:r w:rsidRPr="006D2625">
        <w:rPr>
          <w:lang w:eastAsia="en-AU"/>
        </w:rPr>
        <w:t>t</w:t>
      </w:r>
      <w:r>
        <w:rPr>
          <w:lang w:eastAsia="en-AU"/>
        </w:rPr>
        <w:t xml:space="preserve">hrough attributing the ‘leakages’ to the other states and territories based on the size of their respective industries. Therefore, if Queensland has the biggest agricultural sector in Australia in the above example, it will receive the most additional benefits from the student’s spending on groceries in the Australian Capital Territory. There is no distance or preference measure used, and the model does not capture </w:t>
      </w:r>
      <w:r w:rsidR="00873BE1">
        <w:rPr>
          <w:lang w:eastAsia="en-AU"/>
        </w:rPr>
        <w:t xml:space="preserve">that </w:t>
      </w:r>
      <w:r>
        <w:rPr>
          <w:lang w:eastAsia="en-AU"/>
        </w:rPr>
        <w:t xml:space="preserve">groceries suppliers in the ACT may source their produce primarily from New South Wales. </w:t>
      </w:r>
    </w:p>
    <w:p w14:paraId="421EA0A5" w14:textId="77777777" w:rsidR="006F21EE" w:rsidRDefault="006569D3" w:rsidP="006F21EE">
      <w:pPr>
        <w:pStyle w:val="BodyText"/>
        <w:rPr>
          <w:lang w:eastAsia="en-AU"/>
        </w:rPr>
      </w:pPr>
      <w:r>
        <w:rPr>
          <w:lang w:eastAsia="en-AU"/>
        </w:rPr>
        <w:fldChar w:fldCharType="begin"/>
      </w:r>
      <w:r>
        <w:rPr>
          <w:lang w:eastAsia="en-AU"/>
        </w:rPr>
        <w:instrText xml:space="preserve"> REF _Ref438646788 \r \h </w:instrText>
      </w:r>
      <w:r>
        <w:rPr>
          <w:lang w:eastAsia="en-AU"/>
        </w:rPr>
      </w:r>
      <w:r>
        <w:rPr>
          <w:lang w:eastAsia="en-AU"/>
        </w:rPr>
        <w:fldChar w:fldCharType="separate"/>
      </w:r>
      <w:r w:rsidR="00F03FA0">
        <w:rPr>
          <w:lang w:eastAsia="en-AU"/>
        </w:rPr>
        <w:t>Table 4.2</w:t>
      </w:r>
      <w:r>
        <w:rPr>
          <w:lang w:eastAsia="en-AU"/>
        </w:rPr>
        <w:fldChar w:fldCharType="end"/>
      </w:r>
      <w:r w:rsidR="006F21EE">
        <w:rPr>
          <w:lang w:eastAsia="en-AU"/>
        </w:rPr>
        <w:t xml:space="preserve"> show</w:t>
      </w:r>
      <w:r>
        <w:rPr>
          <w:lang w:eastAsia="en-AU"/>
        </w:rPr>
        <w:t>s</w:t>
      </w:r>
      <w:r w:rsidR="006F21EE">
        <w:rPr>
          <w:lang w:eastAsia="en-AU"/>
        </w:rPr>
        <w:t xml:space="preserve"> the total contribution from international students to Australia, including spending by students in their state of study, and from other students studying in other states.</w:t>
      </w:r>
    </w:p>
    <w:p w14:paraId="2C05B355" w14:textId="77777777" w:rsidR="006F21EE" w:rsidRDefault="006F21EE" w:rsidP="006F21EE">
      <w:pPr>
        <w:pStyle w:val="CaptionTable"/>
        <w:numPr>
          <w:ilvl w:val="6"/>
          <w:numId w:val="9"/>
        </w:numPr>
        <w:rPr>
          <w:lang w:eastAsia="en-AU"/>
        </w:rPr>
      </w:pPr>
      <w:bookmarkStart w:id="169" w:name="_Ref438646788"/>
      <w:bookmarkStart w:id="170" w:name="_Toc450809286"/>
      <w:r>
        <w:rPr>
          <w:lang w:eastAsia="en-AU"/>
        </w:rPr>
        <w:t xml:space="preserve">: Contribution of </w:t>
      </w:r>
      <w:r w:rsidR="007D64C8">
        <w:rPr>
          <w:lang w:eastAsia="en-AU"/>
        </w:rPr>
        <w:t xml:space="preserve">international education </w:t>
      </w:r>
      <w:r>
        <w:rPr>
          <w:lang w:eastAsia="en-AU"/>
        </w:rPr>
        <w:t>by state, 2014-15</w:t>
      </w:r>
      <w:bookmarkEnd w:id="169"/>
      <w:bookmarkEnd w:id="170"/>
    </w:p>
    <w:tbl>
      <w:tblPr>
        <w:tblW w:w="5000" w:type="pct"/>
        <w:tblBorders>
          <w:top w:val="single" w:sz="18" w:space="0" w:color="002776" w:themeColor="text2"/>
          <w:bottom w:val="single" w:sz="18" w:space="0" w:color="002776" w:themeColor="text2"/>
        </w:tblBorders>
        <w:tblLayout w:type="fixed"/>
        <w:tblLook w:val="04A0" w:firstRow="1" w:lastRow="0" w:firstColumn="1" w:lastColumn="0" w:noHBand="0" w:noVBand="1"/>
        <w:tblCaption w:val="Table 4.2: Contribution of international education by state, 2014–15"/>
        <w:tblDescription w:val="The table shows the contribution of international education by state in financial year 2014–15."/>
      </w:tblPr>
      <w:tblGrid>
        <w:gridCol w:w="2663"/>
        <w:gridCol w:w="1923"/>
        <w:gridCol w:w="1925"/>
        <w:gridCol w:w="1925"/>
      </w:tblGrid>
      <w:tr w:rsidR="006F21EE" w:rsidRPr="00071581" w14:paraId="047B1D9E" w14:textId="77777777" w:rsidTr="0084040B">
        <w:trPr>
          <w:trHeight w:val="255"/>
        </w:trPr>
        <w:tc>
          <w:tcPr>
            <w:tcW w:w="1578" w:type="pct"/>
            <w:tcBorders>
              <w:top w:val="single" w:sz="18" w:space="0" w:color="002776" w:themeColor="text2"/>
              <w:bottom w:val="single" w:sz="8" w:space="0" w:color="002776" w:themeColor="text2"/>
            </w:tcBorders>
            <w:shd w:val="clear" w:color="auto" w:fill="auto"/>
            <w:noWrap/>
            <w:vAlign w:val="bottom"/>
            <w:hideMark/>
          </w:tcPr>
          <w:p w14:paraId="71BD921A" w14:textId="77777777" w:rsidR="006F21EE" w:rsidRPr="000349C1" w:rsidRDefault="006F21EE" w:rsidP="006569D3">
            <w:pPr>
              <w:rPr>
                <w:rFonts w:cs="Arial"/>
                <w:b/>
                <w:bCs/>
                <w:color w:val="002776"/>
                <w:szCs w:val="22"/>
                <w:lang w:eastAsia="en-AU"/>
              </w:rPr>
            </w:pPr>
            <w:r w:rsidRPr="000349C1">
              <w:rPr>
                <w:rFonts w:cs="Arial"/>
                <w:b/>
                <w:bCs/>
                <w:color w:val="002776"/>
                <w:szCs w:val="22"/>
                <w:lang w:eastAsia="en-AU"/>
              </w:rPr>
              <w:t>State or Territory</w:t>
            </w:r>
          </w:p>
        </w:tc>
        <w:tc>
          <w:tcPr>
            <w:tcW w:w="1140" w:type="pct"/>
            <w:tcBorders>
              <w:top w:val="single" w:sz="18" w:space="0" w:color="002776" w:themeColor="text2"/>
              <w:bottom w:val="single" w:sz="8" w:space="0" w:color="002776" w:themeColor="text2"/>
            </w:tcBorders>
            <w:shd w:val="clear" w:color="auto" w:fill="auto"/>
            <w:noWrap/>
            <w:hideMark/>
          </w:tcPr>
          <w:p w14:paraId="109AE190" w14:textId="77777777" w:rsidR="006F21EE" w:rsidRPr="000349C1" w:rsidRDefault="006F21EE" w:rsidP="006569D3">
            <w:pPr>
              <w:jc w:val="center"/>
              <w:rPr>
                <w:rFonts w:cs="Arial"/>
                <w:b/>
                <w:bCs/>
                <w:color w:val="002776"/>
                <w:szCs w:val="22"/>
                <w:lang w:eastAsia="en-AU"/>
              </w:rPr>
            </w:pPr>
            <w:r w:rsidRPr="000349C1">
              <w:rPr>
                <w:rFonts w:cs="Arial"/>
                <w:b/>
                <w:bCs/>
                <w:color w:val="002776"/>
                <w:szCs w:val="22"/>
                <w:lang w:eastAsia="en-AU"/>
              </w:rPr>
              <w:t>Direct</w:t>
            </w:r>
          </w:p>
        </w:tc>
        <w:tc>
          <w:tcPr>
            <w:tcW w:w="1141" w:type="pct"/>
            <w:tcBorders>
              <w:top w:val="single" w:sz="18" w:space="0" w:color="002776" w:themeColor="text2"/>
              <w:bottom w:val="single" w:sz="8" w:space="0" w:color="002776" w:themeColor="text2"/>
            </w:tcBorders>
            <w:shd w:val="clear" w:color="auto" w:fill="auto"/>
            <w:noWrap/>
            <w:hideMark/>
          </w:tcPr>
          <w:p w14:paraId="20CC1D5E" w14:textId="77777777" w:rsidR="006F21EE" w:rsidRPr="000349C1" w:rsidRDefault="006F21EE" w:rsidP="006569D3">
            <w:pPr>
              <w:jc w:val="center"/>
              <w:rPr>
                <w:rFonts w:cs="Arial"/>
                <w:b/>
                <w:bCs/>
                <w:color w:val="002776"/>
                <w:szCs w:val="22"/>
                <w:lang w:eastAsia="en-AU"/>
              </w:rPr>
            </w:pPr>
            <w:r w:rsidRPr="000349C1">
              <w:rPr>
                <w:rFonts w:cs="Arial"/>
                <w:b/>
                <w:bCs/>
                <w:color w:val="002776"/>
                <w:szCs w:val="22"/>
                <w:lang w:eastAsia="en-AU"/>
              </w:rPr>
              <w:t>Indirect</w:t>
            </w:r>
          </w:p>
        </w:tc>
        <w:tc>
          <w:tcPr>
            <w:tcW w:w="1141" w:type="pct"/>
            <w:tcBorders>
              <w:top w:val="single" w:sz="18" w:space="0" w:color="002776" w:themeColor="text2"/>
              <w:bottom w:val="single" w:sz="8" w:space="0" w:color="002776" w:themeColor="text2"/>
            </w:tcBorders>
            <w:shd w:val="clear" w:color="auto" w:fill="auto"/>
            <w:noWrap/>
            <w:hideMark/>
          </w:tcPr>
          <w:p w14:paraId="518F60A3" w14:textId="77777777" w:rsidR="006F21EE" w:rsidRPr="000349C1" w:rsidRDefault="006F21EE" w:rsidP="006569D3">
            <w:pPr>
              <w:jc w:val="center"/>
              <w:rPr>
                <w:rFonts w:cs="Arial"/>
                <w:b/>
                <w:bCs/>
                <w:color w:val="002776"/>
                <w:szCs w:val="22"/>
                <w:lang w:eastAsia="en-AU"/>
              </w:rPr>
            </w:pPr>
            <w:r w:rsidRPr="000349C1">
              <w:rPr>
                <w:rFonts w:cs="Arial"/>
                <w:b/>
                <w:bCs/>
                <w:color w:val="002776"/>
                <w:szCs w:val="22"/>
                <w:lang w:eastAsia="en-AU"/>
              </w:rPr>
              <w:t>Total</w:t>
            </w:r>
          </w:p>
        </w:tc>
      </w:tr>
      <w:tr w:rsidR="006F21EE" w:rsidRPr="00071581" w14:paraId="6EAEEF0C" w14:textId="77777777" w:rsidTr="0084040B">
        <w:trPr>
          <w:trHeight w:val="255"/>
        </w:trPr>
        <w:tc>
          <w:tcPr>
            <w:tcW w:w="1578" w:type="pct"/>
            <w:tcBorders>
              <w:top w:val="single" w:sz="8" w:space="0" w:color="002776" w:themeColor="text2"/>
            </w:tcBorders>
            <w:shd w:val="clear" w:color="auto" w:fill="B0CAFF" w:themeFill="text2" w:themeFillTint="33"/>
            <w:noWrap/>
            <w:vAlign w:val="bottom"/>
            <w:hideMark/>
          </w:tcPr>
          <w:p w14:paraId="022BE60F" w14:textId="77777777" w:rsidR="006F21EE" w:rsidRPr="007568A7" w:rsidRDefault="006F21EE" w:rsidP="006569D3">
            <w:pPr>
              <w:rPr>
                <w:rFonts w:cs="Arial"/>
                <w:i/>
                <w:sz w:val="20"/>
                <w:lang w:eastAsia="en-AU"/>
              </w:rPr>
            </w:pPr>
            <w:r w:rsidRPr="007568A7">
              <w:rPr>
                <w:rFonts w:cs="Arial"/>
                <w:i/>
                <w:sz w:val="20"/>
                <w:lang w:eastAsia="en-AU"/>
              </w:rPr>
              <w:t>Value Added ($m)</w:t>
            </w:r>
          </w:p>
        </w:tc>
        <w:tc>
          <w:tcPr>
            <w:tcW w:w="1140" w:type="pct"/>
            <w:tcBorders>
              <w:top w:val="single" w:sz="8" w:space="0" w:color="002776" w:themeColor="text2"/>
            </w:tcBorders>
            <w:shd w:val="clear" w:color="auto" w:fill="B0CAFF" w:themeFill="text2" w:themeFillTint="33"/>
            <w:noWrap/>
            <w:hideMark/>
          </w:tcPr>
          <w:p w14:paraId="69256EA4" w14:textId="77777777" w:rsidR="006F21EE" w:rsidRPr="00071581" w:rsidRDefault="006F21EE" w:rsidP="006569D3">
            <w:pPr>
              <w:jc w:val="center"/>
              <w:rPr>
                <w:rFonts w:cs="Arial"/>
                <w:sz w:val="20"/>
                <w:lang w:eastAsia="en-AU"/>
              </w:rPr>
            </w:pPr>
          </w:p>
        </w:tc>
        <w:tc>
          <w:tcPr>
            <w:tcW w:w="1141" w:type="pct"/>
            <w:tcBorders>
              <w:top w:val="single" w:sz="8" w:space="0" w:color="002776" w:themeColor="text2"/>
            </w:tcBorders>
            <w:shd w:val="clear" w:color="auto" w:fill="B0CAFF" w:themeFill="text2" w:themeFillTint="33"/>
            <w:noWrap/>
            <w:hideMark/>
          </w:tcPr>
          <w:p w14:paraId="5C127553" w14:textId="77777777" w:rsidR="006F21EE" w:rsidRPr="00071581" w:rsidRDefault="006F21EE" w:rsidP="006569D3">
            <w:pPr>
              <w:jc w:val="center"/>
              <w:rPr>
                <w:rFonts w:cs="Arial"/>
                <w:sz w:val="20"/>
                <w:lang w:eastAsia="en-AU"/>
              </w:rPr>
            </w:pPr>
          </w:p>
        </w:tc>
        <w:tc>
          <w:tcPr>
            <w:tcW w:w="1141" w:type="pct"/>
            <w:tcBorders>
              <w:top w:val="single" w:sz="8" w:space="0" w:color="002776" w:themeColor="text2"/>
            </w:tcBorders>
            <w:shd w:val="clear" w:color="auto" w:fill="B0CAFF" w:themeFill="text2" w:themeFillTint="33"/>
            <w:noWrap/>
            <w:hideMark/>
          </w:tcPr>
          <w:p w14:paraId="4B2BE9A3" w14:textId="77777777" w:rsidR="006F21EE" w:rsidRPr="00071581" w:rsidRDefault="006F21EE" w:rsidP="006569D3">
            <w:pPr>
              <w:jc w:val="center"/>
              <w:rPr>
                <w:rFonts w:cs="Arial"/>
                <w:sz w:val="20"/>
                <w:lang w:eastAsia="en-AU"/>
              </w:rPr>
            </w:pPr>
          </w:p>
        </w:tc>
      </w:tr>
      <w:tr w:rsidR="004B3352" w:rsidRPr="00071581" w14:paraId="1A2545B1" w14:textId="77777777" w:rsidTr="0084040B">
        <w:trPr>
          <w:trHeight w:val="255"/>
        </w:trPr>
        <w:tc>
          <w:tcPr>
            <w:tcW w:w="1578" w:type="pct"/>
            <w:shd w:val="clear" w:color="auto" w:fill="auto"/>
            <w:noWrap/>
            <w:vAlign w:val="bottom"/>
            <w:hideMark/>
          </w:tcPr>
          <w:p w14:paraId="4815A196" w14:textId="77777777" w:rsidR="004B3352" w:rsidRPr="00071581" w:rsidRDefault="004B3352" w:rsidP="006569D3">
            <w:pPr>
              <w:rPr>
                <w:rFonts w:cs="Arial"/>
                <w:sz w:val="20"/>
                <w:lang w:eastAsia="en-AU"/>
              </w:rPr>
            </w:pPr>
            <w:r w:rsidRPr="00071581">
              <w:rPr>
                <w:rFonts w:cs="Arial"/>
                <w:sz w:val="20"/>
                <w:lang w:eastAsia="en-AU"/>
              </w:rPr>
              <w:t>New South Wales</w:t>
            </w:r>
          </w:p>
        </w:tc>
        <w:tc>
          <w:tcPr>
            <w:tcW w:w="1140" w:type="pct"/>
            <w:shd w:val="clear" w:color="auto" w:fill="auto"/>
            <w:noWrap/>
            <w:vAlign w:val="bottom"/>
            <w:hideMark/>
          </w:tcPr>
          <w:p w14:paraId="00E4C57F" w14:textId="5DA4F320" w:rsidR="004B3352" w:rsidRPr="005678FF" w:rsidRDefault="004B3352" w:rsidP="00A86CA1">
            <w:pPr>
              <w:jc w:val="right"/>
              <w:rPr>
                <w:rFonts w:asciiTheme="minorHAnsi" w:hAnsiTheme="minorHAnsi" w:cs="Arial"/>
                <w:sz w:val="20"/>
                <w:lang w:eastAsia="en-AU"/>
              </w:rPr>
            </w:pPr>
            <w:r>
              <w:rPr>
                <w:rFonts w:cs="Arial"/>
                <w:sz w:val="20"/>
              </w:rPr>
              <w:t xml:space="preserve">4,406 </w:t>
            </w:r>
          </w:p>
        </w:tc>
        <w:tc>
          <w:tcPr>
            <w:tcW w:w="1141" w:type="pct"/>
            <w:shd w:val="clear" w:color="auto" w:fill="auto"/>
            <w:noWrap/>
            <w:vAlign w:val="bottom"/>
            <w:hideMark/>
          </w:tcPr>
          <w:p w14:paraId="63794FFB" w14:textId="2E0E5371" w:rsidR="004B3352" w:rsidRPr="005678FF" w:rsidRDefault="004B3352" w:rsidP="00A86CA1">
            <w:pPr>
              <w:jc w:val="right"/>
              <w:rPr>
                <w:rFonts w:asciiTheme="minorHAnsi" w:hAnsiTheme="minorHAnsi" w:cs="Arial"/>
                <w:sz w:val="20"/>
                <w:lang w:eastAsia="en-AU"/>
              </w:rPr>
            </w:pPr>
            <w:r>
              <w:rPr>
                <w:rFonts w:cs="Arial"/>
                <w:sz w:val="20"/>
              </w:rPr>
              <w:t xml:space="preserve">1,704 </w:t>
            </w:r>
          </w:p>
        </w:tc>
        <w:tc>
          <w:tcPr>
            <w:tcW w:w="1141" w:type="pct"/>
            <w:shd w:val="clear" w:color="auto" w:fill="auto"/>
            <w:noWrap/>
            <w:vAlign w:val="bottom"/>
            <w:hideMark/>
          </w:tcPr>
          <w:p w14:paraId="3FFE4EE4" w14:textId="1C1007F7" w:rsidR="004B3352" w:rsidRPr="005678FF" w:rsidRDefault="004B3352" w:rsidP="00A86CA1">
            <w:pPr>
              <w:jc w:val="right"/>
              <w:rPr>
                <w:rFonts w:asciiTheme="minorHAnsi" w:hAnsiTheme="minorHAnsi" w:cs="Arial"/>
                <w:sz w:val="20"/>
                <w:lang w:eastAsia="en-AU"/>
              </w:rPr>
            </w:pPr>
            <w:r>
              <w:rPr>
                <w:rFonts w:cs="Arial"/>
                <w:sz w:val="20"/>
              </w:rPr>
              <w:t xml:space="preserve">6,111 </w:t>
            </w:r>
          </w:p>
        </w:tc>
      </w:tr>
      <w:tr w:rsidR="004B3352" w:rsidRPr="00071581" w14:paraId="5BE74B82" w14:textId="77777777" w:rsidTr="0084040B">
        <w:trPr>
          <w:trHeight w:val="255"/>
        </w:trPr>
        <w:tc>
          <w:tcPr>
            <w:tcW w:w="1578" w:type="pct"/>
            <w:shd w:val="clear" w:color="auto" w:fill="auto"/>
            <w:noWrap/>
            <w:vAlign w:val="bottom"/>
            <w:hideMark/>
          </w:tcPr>
          <w:p w14:paraId="22EF4802" w14:textId="77777777" w:rsidR="004B3352" w:rsidRPr="00071581" w:rsidRDefault="004B3352" w:rsidP="006569D3">
            <w:pPr>
              <w:rPr>
                <w:rFonts w:cs="Arial"/>
                <w:sz w:val="20"/>
                <w:lang w:eastAsia="en-AU"/>
              </w:rPr>
            </w:pPr>
            <w:r w:rsidRPr="00071581">
              <w:rPr>
                <w:rFonts w:cs="Arial"/>
                <w:sz w:val="20"/>
                <w:lang w:eastAsia="en-AU"/>
              </w:rPr>
              <w:t>Victoria</w:t>
            </w:r>
          </w:p>
        </w:tc>
        <w:tc>
          <w:tcPr>
            <w:tcW w:w="1140" w:type="pct"/>
            <w:shd w:val="clear" w:color="auto" w:fill="auto"/>
            <w:noWrap/>
            <w:vAlign w:val="bottom"/>
            <w:hideMark/>
          </w:tcPr>
          <w:p w14:paraId="50AA2AC0" w14:textId="76A3DF2E" w:rsidR="004B3352" w:rsidRPr="005678FF" w:rsidRDefault="004B3352" w:rsidP="00A86CA1">
            <w:pPr>
              <w:jc w:val="right"/>
              <w:rPr>
                <w:rFonts w:asciiTheme="minorHAnsi" w:hAnsiTheme="minorHAnsi" w:cs="Arial"/>
                <w:sz w:val="20"/>
                <w:lang w:eastAsia="en-AU"/>
              </w:rPr>
            </w:pPr>
            <w:r>
              <w:rPr>
                <w:rFonts w:cs="Arial"/>
                <w:sz w:val="20"/>
              </w:rPr>
              <w:t xml:space="preserve">3,657 </w:t>
            </w:r>
          </w:p>
        </w:tc>
        <w:tc>
          <w:tcPr>
            <w:tcW w:w="1141" w:type="pct"/>
            <w:shd w:val="clear" w:color="auto" w:fill="auto"/>
            <w:noWrap/>
            <w:vAlign w:val="bottom"/>
            <w:hideMark/>
          </w:tcPr>
          <w:p w14:paraId="2B36E02B" w14:textId="07B5CC58" w:rsidR="004B3352" w:rsidRPr="005678FF" w:rsidRDefault="004B3352" w:rsidP="00A86CA1">
            <w:pPr>
              <w:jc w:val="right"/>
              <w:rPr>
                <w:rFonts w:asciiTheme="minorHAnsi" w:hAnsiTheme="minorHAnsi" w:cs="Arial"/>
                <w:sz w:val="20"/>
                <w:lang w:eastAsia="en-AU"/>
              </w:rPr>
            </w:pPr>
            <w:r>
              <w:rPr>
                <w:rFonts w:cs="Arial"/>
                <w:sz w:val="20"/>
              </w:rPr>
              <w:t xml:space="preserve">1,377 </w:t>
            </w:r>
          </w:p>
        </w:tc>
        <w:tc>
          <w:tcPr>
            <w:tcW w:w="1141" w:type="pct"/>
            <w:shd w:val="clear" w:color="auto" w:fill="auto"/>
            <w:noWrap/>
            <w:vAlign w:val="bottom"/>
            <w:hideMark/>
          </w:tcPr>
          <w:p w14:paraId="734291FB" w14:textId="646CFD58" w:rsidR="004B3352" w:rsidRPr="005678FF" w:rsidRDefault="004B3352" w:rsidP="00A86CA1">
            <w:pPr>
              <w:jc w:val="right"/>
              <w:rPr>
                <w:rFonts w:asciiTheme="minorHAnsi" w:hAnsiTheme="minorHAnsi" w:cs="Arial"/>
                <w:sz w:val="20"/>
                <w:lang w:eastAsia="en-AU"/>
              </w:rPr>
            </w:pPr>
            <w:r>
              <w:rPr>
                <w:rFonts w:cs="Arial"/>
                <w:sz w:val="20"/>
              </w:rPr>
              <w:t xml:space="preserve">5,034 </w:t>
            </w:r>
          </w:p>
        </w:tc>
      </w:tr>
      <w:tr w:rsidR="004B3352" w:rsidRPr="00071581" w14:paraId="3D647241" w14:textId="77777777" w:rsidTr="0084040B">
        <w:trPr>
          <w:trHeight w:val="255"/>
        </w:trPr>
        <w:tc>
          <w:tcPr>
            <w:tcW w:w="1578" w:type="pct"/>
            <w:shd w:val="clear" w:color="auto" w:fill="auto"/>
            <w:vAlign w:val="center"/>
            <w:hideMark/>
          </w:tcPr>
          <w:p w14:paraId="5348A7B2" w14:textId="77777777" w:rsidR="004B3352" w:rsidRPr="00071581" w:rsidRDefault="004B3352" w:rsidP="006569D3">
            <w:pPr>
              <w:rPr>
                <w:rFonts w:cs="Arial"/>
                <w:color w:val="000000"/>
                <w:sz w:val="20"/>
                <w:lang w:eastAsia="en-AU"/>
              </w:rPr>
            </w:pPr>
            <w:r w:rsidRPr="00071581">
              <w:rPr>
                <w:rFonts w:cs="Arial"/>
                <w:color w:val="000000"/>
                <w:sz w:val="20"/>
                <w:lang w:eastAsia="en-AU"/>
              </w:rPr>
              <w:t>Queensland</w:t>
            </w:r>
          </w:p>
        </w:tc>
        <w:tc>
          <w:tcPr>
            <w:tcW w:w="1140" w:type="pct"/>
            <w:shd w:val="clear" w:color="auto" w:fill="auto"/>
            <w:noWrap/>
            <w:vAlign w:val="bottom"/>
            <w:hideMark/>
          </w:tcPr>
          <w:p w14:paraId="25563FF7" w14:textId="44400DB5" w:rsidR="004B3352" w:rsidRPr="005678FF" w:rsidRDefault="004B3352" w:rsidP="00A86CA1">
            <w:pPr>
              <w:jc w:val="right"/>
              <w:rPr>
                <w:rFonts w:asciiTheme="minorHAnsi" w:hAnsiTheme="minorHAnsi" w:cs="Arial"/>
                <w:sz w:val="20"/>
                <w:lang w:eastAsia="en-AU"/>
              </w:rPr>
            </w:pPr>
            <w:r>
              <w:rPr>
                <w:rFonts w:cs="Arial"/>
                <w:sz w:val="20"/>
              </w:rPr>
              <w:t xml:space="preserve">1,835 </w:t>
            </w:r>
          </w:p>
        </w:tc>
        <w:tc>
          <w:tcPr>
            <w:tcW w:w="1141" w:type="pct"/>
            <w:shd w:val="clear" w:color="auto" w:fill="auto"/>
            <w:noWrap/>
            <w:vAlign w:val="bottom"/>
            <w:hideMark/>
          </w:tcPr>
          <w:p w14:paraId="78E0BA92" w14:textId="685AB271" w:rsidR="004B3352" w:rsidRPr="005678FF" w:rsidRDefault="004B3352" w:rsidP="00A86CA1">
            <w:pPr>
              <w:jc w:val="right"/>
              <w:rPr>
                <w:rFonts w:asciiTheme="minorHAnsi" w:hAnsiTheme="minorHAnsi" w:cs="Arial"/>
                <w:sz w:val="20"/>
                <w:lang w:eastAsia="en-AU"/>
              </w:rPr>
            </w:pPr>
            <w:r>
              <w:rPr>
                <w:rFonts w:cs="Arial"/>
                <w:sz w:val="20"/>
              </w:rPr>
              <w:t xml:space="preserve">857 </w:t>
            </w:r>
          </w:p>
        </w:tc>
        <w:tc>
          <w:tcPr>
            <w:tcW w:w="1141" w:type="pct"/>
            <w:shd w:val="clear" w:color="auto" w:fill="auto"/>
            <w:noWrap/>
            <w:vAlign w:val="bottom"/>
            <w:hideMark/>
          </w:tcPr>
          <w:p w14:paraId="60627D0E" w14:textId="7A7C8325" w:rsidR="004B3352" w:rsidRPr="005678FF" w:rsidRDefault="004B3352" w:rsidP="00A86CA1">
            <w:pPr>
              <w:jc w:val="right"/>
              <w:rPr>
                <w:rFonts w:asciiTheme="minorHAnsi" w:hAnsiTheme="minorHAnsi" w:cs="Arial"/>
                <w:sz w:val="20"/>
                <w:lang w:eastAsia="en-AU"/>
              </w:rPr>
            </w:pPr>
            <w:r>
              <w:rPr>
                <w:rFonts w:cs="Arial"/>
                <w:sz w:val="20"/>
              </w:rPr>
              <w:t xml:space="preserve">2,692 </w:t>
            </w:r>
          </w:p>
        </w:tc>
      </w:tr>
      <w:tr w:rsidR="004B3352" w:rsidRPr="00071581" w14:paraId="55E6FD88" w14:textId="77777777" w:rsidTr="0084040B">
        <w:trPr>
          <w:trHeight w:val="255"/>
        </w:trPr>
        <w:tc>
          <w:tcPr>
            <w:tcW w:w="1578" w:type="pct"/>
            <w:shd w:val="clear" w:color="auto" w:fill="auto"/>
            <w:vAlign w:val="center"/>
            <w:hideMark/>
          </w:tcPr>
          <w:p w14:paraId="517FFE3B" w14:textId="77777777" w:rsidR="004B3352" w:rsidRPr="00071581" w:rsidRDefault="004B3352" w:rsidP="006569D3">
            <w:pPr>
              <w:rPr>
                <w:rFonts w:cs="Arial"/>
                <w:color w:val="000000"/>
                <w:sz w:val="20"/>
                <w:lang w:eastAsia="en-AU"/>
              </w:rPr>
            </w:pPr>
            <w:r w:rsidRPr="00071581">
              <w:rPr>
                <w:rFonts w:cs="Arial"/>
                <w:color w:val="000000"/>
                <w:sz w:val="20"/>
                <w:lang w:eastAsia="en-AU"/>
              </w:rPr>
              <w:t>South Australia</w:t>
            </w:r>
          </w:p>
        </w:tc>
        <w:tc>
          <w:tcPr>
            <w:tcW w:w="1140" w:type="pct"/>
            <w:shd w:val="clear" w:color="auto" w:fill="auto"/>
            <w:noWrap/>
            <w:vAlign w:val="bottom"/>
            <w:hideMark/>
          </w:tcPr>
          <w:p w14:paraId="3648F660" w14:textId="15C02A70" w:rsidR="004B3352" w:rsidRPr="005678FF" w:rsidRDefault="004B3352" w:rsidP="00A86CA1">
            <w:pPr>
              <w:jc w:val="right"/>
              <w:rPr>
                <w:rFonts w:asciiTheme="minorHAnsi" w:hAnsiTheme="minorHAnsi" w:cs="Arial"/>
                <w:sz w:val="20"/>
                <w:lang w:eastAsia="en-AU"/>
              </w:rPr>
            </w:pPr>
            <w:r>
              <w:rPr>
                <w:rFonts w:cs="Arial"/>
                <w:sz w:val="20"/>
              </w:rPr>
              <w:t xml:space="preserve">742 </w:t>
            </w:r>
          </w:p>
        </w:tc>
        <w:tc>
          <w:tcPr>
            <w:tcW w:w="1141" w:type="pct"/>
            <w:shd w:val="clear" w:color="auto" w:fill="auto"/>
            <w:noWrap/>
            <w:vAlign w:val="bottom"/>
            <w:hideMark/>
          </w:tcPr>
          <w:p w14:paraId="28208BA8" w14:textId="0828D83E" w:rsidR="004B3352" w:rsidRPr="005678FF" w:rsidRDefault="004B3352" w:rsidP="00A86CA1">
            <w:pPr>
              <w:jc w:val="right"/>
              <w:rPr>
                <w:rFonts w:asciiTheme="minorHAnsi" w:hAnsiTheme="minorHAnsi" w:cs="Arial"/>
                <w:sz w:val="20"/>
                <w:lang w:eastAsia="en-AU"/>
              </w:rPr>
            </w:pPr>
            <w:r>
              <w:rPr>
                <w:rFonts w:cs="Arial"/>
                <w:sz w:val="20"/>
              </w:rPr>
              <w:t xml:space="preserve">320 </w:t>
            </w:r>
          </w:p>
        </w:tc>
        <w:tc>
          <w:tcPr>
            <w:tcW w:w="1141" w:type="pct"/>
            <w:shd w:val="clear" w:color="auto" w:fill="auto"/>
            <w:noWrap/>
            <w:vAlign w:val="bottom"/>
            <w:hideMark/>
          </w:tcPr>
          <w:p w14:paraId="039A6A27" w14:textId="21FC75ED" w:rsidR="004B3352" w:rsidRPr="005678FF" w:rsidRDefault="004B3352" w:rsidP="00A86CA1">
            <w:pPr>
              <w:jc w:val="right"/>
              <w:rPr>
                <w:rFonts w:asciiTheme="minorHAnsi" w:hAnsiTheme="minorHAnsi" w:cs="Arial"/>
                <w:sz w:val="20"/>
                <w:lang w:eastAsia="en-AU"/>
              </w:rPr>
            </w:pPr>
            <w:r>
              <w:rPr>
                <w:rFonts w:cs="Arial"/>
                <w:sz w:val="20"/>
              </w:rPr>
              <w:t xml:space="preserve">1,062 </w:t>
            </w:r>
          </w:p>
        </w:tc>
      </w:tr>
      <w:tr w:rsidR="004B3352" w:rsidRPr="00071581" w14:paraId="6F8C91DF" w14:textId="77777777" w:rsidTr="0084040B">
        <w:trPr>
          <w:trHeight w:val="255"/>
        </w:trPr>
        <w:tc>
          <w:tcPr>
            <w:tcW w:w="1578" w:type="pct"/>
            <w:shd w:val="clear" w:color="auto" w:fill="auto"/>
            <w:vAlign w:val="center"/>
            <w:hideMark/>
          </w:tcPr>
          <w:p w14:paraId="1999406C" w14:textId="77777777" w:rsidR="004B3352" w:rsidRPr="00071581" w:rsidRDefault="004B3352" w:rsidP="006569D3">
            <w:pPr>
              <w:rPr>
                <w:rFonts w:cs="Arial"/>
                <w:color w:val="000000"/>
                <w:sz w:val="20"/>
                <w:lang w:eastAsia="en-AU"/>
              </w:rPr>
            </w:pPr>
            <w:r w:rsidRPr="00071581">
              <w:rPr>
                <w:rFonts w:cs="Arial"/>
                <w:color w:val="000000"/>
                <w:sz w:val="20"/>
                <w:lang w:eastAsia="en-AU"/>
              </w:rPr>
              <w:t>Western Australia</w:t>
            </w:r>
          </w:p>
        </w:tc>
        <w:tc>
          <w:tcPr>
            <w:tcW w:w="1140" w:type="pct"/>
            <w:shd w:val="clear" w:color="auto" w:fill="auto"/>
            <w:noWrap/>
            <w:vAlign w:val="bottom"/>
            <w:hideMark/>
          </w:tcPr>
          <w:p w14:paraId="274925EF" w14:textId="6D44CFCC" w:rsidR="004B3352" w:rsidRPr="005678FF" w:rsidRDefault="004B3352" w:rsidP="00A86CA1">
            <w:pPr>
              <w:jc w:val="right"/>
              <w:rPr>
                <w:rFonts w:asciiTheme="minorHAnsi" w:hAnsiTheme="minorHAnsi" w:cs="Arial"/>
                <w:sz w:val="20"/>
                <w:lang w:eastAsia="en-AU"/>
              </w:rPr>
            </w:pPr>
            <w:r>
              <w:rPr>
                <w:rFonts w:cs="Arial"/>
                <w:sz w:val="20"/>
              </w:rPr>
              <w:t xml:space="preserve">891 </w:t>
            </w:r>
          </w:p>
        </w:tc>
        <w:tc>
          <w:tcPr>
            <w:tcW w:w="1141" w:type="pct"/>
            <w:shd w:val="clear" w:color="auto" w:fill="auto"/>
            <w:noWrap/>
            <w:vAlign w:val="bottom"/>
            <w:hideMark/>
          </w:tcPr>
          <w:p w14:paraId="3C410C3B" w14:textId="03E4C8FD" w:rsidR="004B3352" w:rsidRPr="005678FF" w:rsidRDefault="004B3352" w:rsidP="00A86CA1">
            <w:pPr>
              <w:jc w:val="right"/>
              <w:rPr>
                <w:rFonts w:asciiTheme="minorHAnsi" w:hAnsiTheme="minorHAnsi" w:cs="Arial"/>
                <w:sz w:val="20"/>
                <w:lang w:eastAsia="en-AU"/>
              </w:rPr>
            </w:pPr>
            <w:r>
              <w:rPr>
                <w:rFonts w:cs="Arial"/>
                <w:sz w:val="20"/>
              </w:rPr>
              <w:t xml:space="preserve">449 </w:t>
            </w:r>
          </w:p>
        </w:tc>
        <w:tc>
          <w:tcPr>
            <w:tcW w:w="1141" w:type="pct"/>
            <w:shd w:val="clear" w:color="auto" w:fill="auto"/>
            <w:noWrap/>
            <w:vAlign w:val="bottom"/>
            <w:hideMark/>
          </w:tcPr>
          <w:p w14:paraId="267EF513" w14:textId="7AFF3965" w:rsidR="004B3352" w:rsidRPr="005678FF" w:rsidRDefault="004B3352" w:rsidP="00A86CA1">
            <w:pPr>
              <w:jc w:val="right"/>
              <w:rPr>
                <w:rFonts w:asciiTheme="minorHAnsi" w:hAnsiTheme="minorHAnsi" w:cs="Arial"/>
                <w:sz w:val="20"/>
                <w:lang w:eastAsia="en-AU"/>
              </w:rPr>
            </w:pPr>
            <w:r>
              <w:rPr>
                <w:rFonts w:cs="Arial"/>
                <w:sz w:val="20"/>
              </w:rPr>
              <w:t xml:space="preserve">1,340 </w:t>
            </w:r>
          </w:p>
        </w:tc>
      </w:tr>
      <w:tr w:rsidR="004B3352" w:rsidRPr="00071581" w14:paraId="797A2C14" w14:textId="77777777" w:rsidTr="0084040B">
        <w:trPr>
          <w:trHeight w:val="255"/>
        </w:trPr>
        <w:tc>
          <w:tcPr>
            <w:tcW w:w="1578" w:type="pct"/>
            <w:shd w:val="clear" w:color="auto" w:fill="auto"/>
            <w:vAlign w:val="center"/>
            <w:hideMark/>
          </w:tcPr>
          <w:p w14:paraId="7EC50C26" w14:textId="77777777" w:rsidR="004B3352" w:rsidRPr="00071581" w:rsidRDefault="004B3352" w:rsidP="006569D3">
            <w:pPr>
              <w:rPr>
                <w:rFonts w:cs="Arial"/>
                <w:color w:val="000000"/>
                <w:sz w:val="20"/>
                <w:lang w:eastAsia="en-AU"/>
              </w:rPr>
            </w:pPr>
            <w:r w:rsidRPr="00071581">
              <w:rPr>
                <w:rFonts w:cs="Arial"/>
                <w:color w:val="000000"/>
                <w:sz w:val="20"/>
                <w:lang w:eastAsia="en-AU"/>
              </w:rPr>
              <w:t>Tasmania</w:t>
            </w:r>
          </w:p>
        </w:tc>
        <w:tc>
          <w:tcPr>
            <w:tcW w:w="1140" w:type="pct"/>
            <w:shd w:val="clear" w:color="auto" w:fill="auto"/>
            <w:noWrap/>
            <w:vAlign w:val="bottom"/>
            <w:hideMark/>
          </w:tcPr>
          <w:p w14:paraId="686FFC79" w14:textId="2C49CD55" w:rsidR="004B3352" w:rsidRPr="005678FF" w:rsidRDefault="004B3352" w:rsidP="00A86CA1">
            <w:pPr>
              <w:jc w:val="right"/>
              <w:rPr>
                <w:rFonts w:asciiTheme="minorHAnsi" w:hAnsiTheme="minorHAnsi" w:cs="Arial"/>
                <w:sz w:val="20"/>
                <w:lang w:eastAsia="en-AU"/>
              </w:rPr>
            </w:pPr>
            <w:r>
              <w:rPr>
                <w:rFonts w:cs="Arial"/>
                <w:sz w:val="20"/>
              </w:rPr>
              <w:t xml:space="preserve">108 </w:t>
            </w:r>
          </w:p>
        </w:tc>
        <w:tc>
          <w:tcPr>
            <w:tcW w:w="1141" w:type="pct"/>
            <w:shd w:val="clear" w:color="auto" w:fill="auto"/>
            <w:noWrap/>
            <w:vAlign w:val="bottom"/>
            <w:hideMark/>
          </w:tcPr>
          <w:p w14:paraId="2B3592BD" w14:textId="2656F040" w:rsidR="004B3352" w:rsidRPr="005678FF" w:rsidRDefault="004B3352" w:rsidP="00A86CA1">
            <w:pPr>
              <w:jc w:val="right"/>
              <w:rPr>
                <w:rFonts w:asciiTheme="minorHAnsi" w:hAnsiTheme="minorHAnsi" w:cs="Arial"/>
                <w:sz w:val="20"/>
                <w:lang w:eastAsia="en-AU"/>
              </w:rPr>
            </w:pPr>
            <w:r>
              <w:rPr>
                <w:rFonts w:cs="Arial"/>
                <w:sz w:val="20"/>
              </w:rPr>
              <w:t xml:space="preserve">73 </w:t>
            </w:r>
          </w:p>
        </w:tc>
        <w:tc>
          <w:tcPr>
            <w:tcW w:w="1141" w:type="pct"/>
            <w:shd w:val="clear" w:color="auto" w:fill="auto"/>
            <w:noWrap/>
            <w:vAlign w:val="bottom"/>
            <w:hideMark/>
          </w:tcPr>
          <w:p w14:paraId="414B1BE6" w14:textId="704B8DD4" w:rsidR="004B3352" w:rsidRPr="005678FF" w:rsidRDefault="004B3352" w:rsidP="00A86CA1">
            <w:pPr>
              <w:jc w:val="right"/>
              <w:rPr>
                <w:rFonts w:asciiTheme="minorHAnsi" w:hAnsiTheme="minorHAnsi" w:cs="Arial"/>
                <w:sz w:val="20"/>
                <w:lang w:eastAsia="en-AU"/>
              </w:rPr>
            </w:pPr>
            <w:r>
              <w:rPr>
                <w:rFonts w:cs="Arial"/>
                <w:sz w:val="20"/>
              </w:rPr>
              <w:t xml:space="preserve">181 </w:t>
            </w:r>
          </w:p>
        </w:tc>
      </w:tr>
      <w:tr w:rsidR="004B3352" w:rsidRPr="00071581" w14:paraId="4B2CE3EA" w14:textId="77777777" w:rsidTr="0084040B">
        <w:trPr>
          <w:trHeight w:val="255"/>
        </w:trPr>
        <w:tc>
          <w:tcPr>
            <w:tcW w:w="1578" w:type="pct"/>
            <w:shd w:val="clear" w:color="auto" w:fill="auto"/>
            <w:vAlign w:val="center"/>
            <w:hideMark/>
          </w:tcPr>
          <w:p w14:paraId="5EFA0030" w14:textId="77777777" w:rsidR="004B3352" w:rsidRPr="00071581" w:rsidRDefault="004B3352" w:rsidP="006569D3">
            <w:pPr>
              <w:rPr>
                <w:rFonts w:cs="Arial"/>
                <w:color w:val="000000"/>
                <w:sz w:val="20"/>
                <w:lang w:eastAsia="en-AU"/>
              </w:rPr>
            </w:pPr>
            <w:r w:rsidRPr="00071581">
              <w:rPr>
                <w:rFonts w:cs="Arial"/>
                <w:color w:val="000000"/>
                <w:sz w:val="20"/>
                <w:lang w:eastAsia="en-AU"/>
              </w:rPr>
              <w:t>Northern Territory</w:t>
            </w:r>
          </w:p>
        </w:tc>
        <w:tc>
          <w:tcPr>
            <w:tcW w:w="1140" w:type="pct"/>
            <w:shd w:val="clear" w:color="auto" w:fill="auto"/>
            <w:noWrap/>
            <w:vAlign w:val="bottom"/>
            <w:hideMark/>
          </w:tcPr>
          <w:p w14:paraId="37E6141E" w14:textId="1D8D0244" w:rsidR="004B3352" w:rsidRPr="005678FF" w:rsidRDefault="004B3352" w:rsidP="00A86CA1">
            <w:pPr>
              <w:jc w:val="right"/>
              <w:rPr>
                <w:rFonts w:asciiTheme="minorHAnsi" w:hAnsiTheme="minorHAnsi" w:cs="Arial"/>
                <w:sz w:val="20"/>
                <w:lang w:eastAsia="en-AU"/>
              </w:rPr>
            </w:pPr>
            <w:r>
              <w:rPr>
                <w:rFonts w:cs="Arial"/>
                <w:sz w:val="20"/>
              </w:rPr>
              <w:t xml:space="preserve">36 </w:t>
            </w:r>
          </w:p>
        </w:tc>
        <w:tc>
          <w:tcPr>
            <w:tcW w:w="1141" w:type="pct"/>
            <w:shd w:val="clear" w:color="auto" w:fill="auto"/>
            <w:noWrap/>
            <w:vAlign w:val="bottom"/>
            <w:hideMark/>
          </w:tcPr>
          <w:p w14:paraId="109EA535" w14:textId="459CB51B" w:rsidR="004B3352" w:rsidRPr="005678FF" w:rsidRDefault="004B3352" w:rsidP="00A86CA1">
            <w:pPr>
              <w:jc w:val="right"/>
              <w:rPr>
                <w:rFonts w:asciiTheme="minorHAnsi" w:hAnsiTheme="minorHAnsi" w:cs="Arial"/>
                <w:sz w:val="20"/>
                <w:lang w:eastAsia="en-AU"/>
              </w:rPr>
            </w:pPr>
            <w:r>
              <w:rPr>
                <w:rFonts w:cs="Arial"/>
                <w:sz w:val="20"/>
              </w:rPr>
              <w:t xml:space="preserve">28 </w:t>
            </w:r>
          </w:p>
        </w:tc>
        <w:tc>
          <w:tcPr>
            <w:tcW w:w="1141" w:type="pct"/>
            <w:shd w:val="clear" w:color="auto" w:fill="auto"/>
            <w:noWrap/>
            <w:vAlign w:val="bottom"/>
            <w:hideMark/>
          </w:tcPr>
          <w:p w14:paraId="3134A1B8" w14:textId="27DCB4D0" w:rsidR="004B3352" w:rsidRPr="005678FF" w:rsidRDefault="004B3352" w:rsidP="00A86CA1">
            <w:pPr>
              <w:jc w:val="right"/>
              <w:rPr>
                <w:rFonts w:asciiTheme="minorHAnsi" w:hAnsiTheme="minorHAnsi" w:cs="Arial"/>
                <w:sz w:val="20"/>
                <w:lang w:eastAsia="en-AU"/>
              </w:rPr>
            </w:pPr>
            <w:r>
              <w:rPr>
                <w:rFonts w:cs="Arial"/>
                <w:sz w:val="20"/>
              </w:rPr>
              <w:t xml:space="preserve">64 </w:t>
            </w:r>
          </w:p>
        </w:tc>
      </w:tr>
      <w:tr w:rsidR="004B3352" w:rsidRPr="00071581" w14:paraId="6EBCB038" w14:textId="77777777" w:rsidTr="0084040B">
        <w:trPr>
          <w:trHeight w:val="255"/>
        </w:trPr>
        <w:tc>
          <w:tcPr>
            <w:tcW w:w="1578" w:type="pct"/>
            <w:tcBorders>
              <w:bottom w:val="nil"/>
            </w:tcBorders>
            <w:shd w:val="clear" w:color="auto" w:fill="auto"/>
            <w:vAlign w:val="center"/>
            <w:hideMark/>
          </w:tcPr>
          <w:p w14:paraId="14305A35" w14:textId="77777777" w:rsidR="004B3352" w:rsidRPr="00071581" w:rsidRDefault="004B3352" w:rsidP="006569D3">
            <w:pPr>
              <w:rPr>
                <w:rFonts w:cs="Arial"/>
                <w:color w:val="000000"/>
                <w:sz w:val="20"/>
                <w:lang w:eastAsia="en-AU"/>
              </w:rPr>
            </w:pPr>
            <w:r w:rsidRPr="00071581">
              <w:rPr>
                <w:rFonts w:cs="Arial"/>
                <w:color w:val="000000"/>
                <w:sz w:val="20"/>
                <w:lang w:eastAsia="en-AU"/>
              </w:rPr>
              <w:t>Australian Capital Territory</w:t>
            </w:r>
          </w:p>
        </w:tc>
        <w:tc>
          <w:tcPr>
            <w:tcW w:w="1140" w:type="pct"/>
            <w:tcBorders>
              <w:bottom w:val="nil"/>
            </w:tcBorders>
            <w:shd w:val="clear" w:color="auto" w:fill="auto"/>
            <w:noWrap/>
            <w:vAlign w:val="bottom"/>
            <w:hideMark/>
          </w:tcPr>
          <w:p w14:paraId="1E0160B3" w14:textId="59114788" w:rsidR="004B3352" w:rsidRPr="005678FF" w:rsidRDefault="004B3352" w:rsidP="00A86CA1">
            <w:pPr>
              <w:jc w:val="right"/>
              <w:rPr>
                <w:rFonts w:asciiTheme="minorHAnsi" w:hAnsiTheme="minorHAnsi" w:cs="Arial"/>
                <w:sz w:val="20"/>
                <w:lang w:eastAsia="en-AU"/>
              </w:rPr>
            </w:pPr>
            <w:r>
              <w:rPr>
                <w:rFonts w:cs="Arial"/>
                <w:sz w:val="20"/>
              </w:rPr>
              <w:t xml:space="preserve">299 </w:t>
            </w:r>
          </w:p>
        </w:tc>
        <w:tc>
          <w:tcPr>
            <w:tcW w:w="1141" w:type="pct"/>
            <w:tcBorders>
              <w:bottom w:val="nil"/>
            </w:tcBorders>
            <w:shd w:val="clear" w:color="auto" w:fill="auto"/>
            <w:noWrap/>
            <w:vAlign w:val="bottom"/>
            <w:hideMark/>
          </w:tcPr>
          <w:p w14:paraId="35E76468" w14:textId="06F2208D" w:rsidR="004B3352" w:rsidRPr="005678FF" w:rsidRDefault="004B3352" w:rsidP="00A86CA1">
            <w:pPr>
              <w:jc w:val="right"/>
              <w:rPr>
                <w:rFonts w:asciiTheme="minorHAnsi" w:hAnsiTheme="minorHAnsi" w:cs="Arial"/>
                <w:sz w:val="20"/>
                <w:lang w:eastAsia="en-AU"/>
              </w:rPr>
            </w:pPr>
            <w:r>
              <w:rPr>
                <w:rFonts w:cs="Arial"/>
                <w:sz w:val="20"/>
              </w:rPr>
              <w:t xml:space="preserve">100 </w:t>
            </w:r>
          </w:p>
        </w:tc>
        <w:tc>
          <w:tcPr>
            <w:tcW w:w="1141" w:type="pct"/>
            <w:tcBorders>
              <w:bottom w:val="nil"/>
            </w:tcBorders>
            <w:shd w:val="clear" w:color="auto" w:fill="auto"/>
            <w:noWrap/>
            <w:vAlign w:val="bottom"/>
            <w:hideMark/>
          </w:tcPr>
          <w:p w14:paraId="0903B829" w14:textId="11D7632B" w:rsidR="004B3352" w:rsidRPr="005678FF" w:rsidRDefault="004B3352" w:rsidP="00A86CA1">
            <w:pPr>
              <w:jc w:val="right"/>
              <w:rPr>
                <w:rFonts w:asciiTheme="minorHAnsi" w:hAnsiTheme="minorHAnsi" w:cs="Arial"/>
                <w:sz w:val="20"/>
                <w:lang w:eastAsia="en-AU"/>
              </w:rPr>
            </w:pPr>
            <w:r>
              <w:rPr>
                <w:rFonts w:cs="Arial"/>
                <w:sz w:val="20"/>
              </w:rPr>
              <w:t xml:space="preserve">399 </w:t>
            </w:r>
          </w:p>
        </w:tc>
      </w:tr>
      <w:tr w:rsidR="007D64C8" w:rsidRPr="00071581" w14:paraId="62567B24" w14:textId="77777777" w:rsidTr="0084040B">
        <w:trPr>
          <w:trHeight w:val="255"/>
        </w:trPr>
        <w:tc>
          <w:tcPr>
            <w:tcW w:w="1578" w:type="pct"/>
            <w:tcBorders>
              <w:top w:val="nil"/>
              <w:bottom w:val="single" w:sz="8" w:space="0" w:color="002776" w:themeColor="text2"/>
            </w:tcBorders>
            <w:shd w:val="clear" w:color="auto" w:fill="auto"/>
            <w:vAlign w:val="center"/>
            <w:hideMark/>
          </w:tcPr>
          <w:p w14:paraId="57C13E71" w14:textId="77777777" w:rsidR="007D64C8" w:rsidRPr="007568A7" w:rsidRDefault="007D64C8" w:rsidP="006569D3">
            <w:pPr>
              <w:rPr>
                <w:rFonts w:cs="Arial"/>
                <w:b/>
                <w:color w:val="002776" w:themeColor="text2"/>
                <w:sz w:val="20"/>
                <w:lang w:eastAsia="en-AU"/>
              </w:rPr>
            </w:pPr>
            <w:r w:rsidRPr="007568A7">
              <w:rPr>
                <w:rFonts w:cs="Arial"/>
                <w:b/>
                <w:color w:val="002776" w:themeColor="text2"/>
                <w:sz w:val="20"/>
                <w:lang w:eastAsia="en-AU"/>
              </w:rPr>
              <w:t>Australia</w:t>
            </w:r>
          </w:p>
        </w:tc>
        <w:tc>
          <w:tcPr>
            <w:tcW w:w="1140" w:type="pct"/>
            <w:tcBorders>
              <w:top w:val="nil"/>
              <w:bottom w:val="single" w:sz="8" w:space="0" w:color="002776" w:themeColor="text2"/>
            </w:tcBorders>
            <w:shd w:val="clear" w:color="auto" w:fill="auto"/>
            <w:noWrap/>
            <w:hideMark/>
          </w:tcPr>
          <w:p w14:paraId="2B8556AF" w14:textId="0F0426F7" w:rsidR="007D64C8" w:rsidRPr="005678FF" w:rsidRDefault="007D64C8" w:rsidP="00A86CA1">
            <w:pPr>
              <w:jc w:val="right"/>
              <w:rPr>
                <w:rFonts w:asciiTheme="minorHAnsi" w:hAnsiTheme="minorHAnsi" w:cs="Arial"/>
                <w:sz w:val="20"/>
                <w:lang w:eastAsia="en-AU"/>
              </w:rPr>
            </w:pPr>
            <w:r>
              <w:rPr>
                <w:rFonts w:cs="Calibri"/>
                <w:color w:val="000000"/>
                <w:sz w:val="20"/>
                <w:lang w:eastAsia="en-AU"/>
              </w:rPr>
              <w:t xml:space="preserve">11,974 </w:t>
            </w:r>
          </w:p>
        </w:tc>
        <w:tc>
          <w:tcPr>
            <w:tcW w:w="1141" w:type="pct"/>
            <w:tcBorders>
              <w:top w:val="nil"/>
              <w:bottom w:val="single" w:sz="8" w:space="0" w:color="002776" w:themeColor="text2"/>
            </w:tcBorders>
            <w:shd w:val="clear" w:color="auto" w:fill="auto"/>
            <w:noWrap/>
            <w:hideMark/>
          </w:tcPr>
          <w:p w14:paraId="355B450D" w14:textId="2D578A01" w:rsidR="007D64C8" w:rsidRPr="005678FF" w:rsidRDefault="007D64C8" w:rsidP="00A86CA1">
            <w:pPr>
              <w:jc w:val="right"/>
              <w:rPr>
                <w:rFonts w:asciiTheme="minorHAnsi" w:hAnsiTheme="minorHAnsi" w:cs="Arial"/>
                <w:sz w:val="20"/>
                <w:lang w:eastAsia="en-AU"/>
              </w:rPr>
            </w:pPr>
            <w:r>
              <w:rPr>
                <w:rFonts w:cs="Calibri"/>
                <w:color w:val="000000"/>
                <w:sz w:val="20"/>
                <w:lang w:eastAsia="en-AU"/>
              </w:rPr>
              <w:t xml:space="preserve">4,908 </w:t>
            </w:r>
          </w:p>
        </w:tc>
        <w:tc>
          <w:tcPr>
            <w:tcW w:w="1141" w:type="pct"/>
            <w:tcBorders>
              <w:top w:val="nil"/>
              <w:bottom w:val="single" w:sz="8" w:space="0" w:color="002776" w:themeColor="text2"/>
            </w:tcBorders>
            <w:shd w:val="clear" w:color="auto" w:fill="auto"/>
            <w:noWrap/>
            <w:hideMark/>
          </w:tcPr>
          <w:p w14:paraId="0974D686" w14:textId="12560BA7" w:rsidR="007D64C8" w:rsidRPr="005678FF" w:rsidRDefault="007D64C8" w:rsidP="00A86CA1">
            <w:pPr>
              <w:jc w:val="right"/>
              <w:rPr>
                <w:rFonts w:asciiTheme="minorHAnsi" w:hAnsiTheme="minorHAnsi" w:cs="Arial"/>
                <w:sz w:val="20"/>
                <w:lang w:eastAsia="en-AU"/>
              </w:rPr>
            </w:pPr>
            <w:r>
              <w:rPr>
                <w:rFonts w:cs="Calibri"/>
                <w:color w:val="000000"/>
                <w:sz w:val="20"/>
                <w:lang w:eastAsia="en-AU"/>
              </w:rPr>
              <w:t xml:space="preserve">16,882 </w:t>
            </w:r>
          </w:p>
        </w:tc>
      </w:tr>
      <w:tr w:rsidR="006F5CF3" w:rsidRPr="00071581" w14:paraId="3675FCA9" w14:textId="77777777" w:rsidTr="0084040B">
        <w:trPr>
          <w:trHeight w:val="255"/>
        </w:trPr>
        <w:tc>
          <w:tcPr>
            <w:tcW w:w="1578" w:type="pct"/>
            <w:tcBorders>
              <w:top w:val="single" w:sz="8" w:space="0" w:color="002776" w:themeColor="text2"/>
              <w:bottom w:val="nil"/>
            </w:tcBorders>
            <w:shd w:val="clear" w:color="auto" w:fill="B0CAFF" w:themeFill="text2" w:themeFillTint="33"/>
            <w:noWrap/>
            <w:vAlign w:val="bottom"/>
            <w:hideMark/>
          </w:tcPr>
          <w:p w14:paraId="2ABEF137" w14:textId="77777777" w:rsidR="006F5CF3" w:rsidRPr="007568A7" w:rsidRDefault="006F5CF3" w:rsidP="006569D3">
            <w:pPr>
              <w:rPr>
                <w:rFonts w:cs="Arial"/>
                <w:i/>
                <w:sz w:val="20"/>
                <w:lang w:eastAsia="en-AU"/>
              </w:rPr>
            </w:pPr>
            <w:r w:rsidRPr="007568A7">
              <w:rPr>
                <w:rFonts w:cs="Arial"/>
                <w:i/>
                <w:sz w:val="20"/>
                <w:lang w:eastAsia="en-AU"/>
              </w:rPr>
              <w:t>Employment (FTE)</w:t>
            </w:r>
          </w:p>
        </w:tc>
        <w:tc>
          <w:tcPr>
            <w:tcW w:w="1140" w:type="pct"/>
            <w:tcBorders>
              <w:top w:val="single" w:sz="8" w:space="0" w:color="002776" w:themeColor="text2"/>
              <w:bottom w:val="nil"/>
            </w:tcBorders>
            <w:shd w:val="clear" w:color="auto" w:fill="B0CAFF" w:themeFill="text2" w:themeFillTint="33"/>
            <w:noWrap/>
            <w:hideMark/>
          </w:tcPr>
          <w:p w14:paraId="7A389C59" w14:textId="77777777" w:rsidR="006F5CF3" w:rsidRPr="005678FF" w:rsidRDefault="006F5CF3" w:rsidP="00A86CA1">
            <w:pPr>
              <w:jc w:val="right"/>
              <w:rPr>
                <w:rFonts w:asciiTheme="minorHAnsi" w:hAnsiTheme="minorHAnsi" w:cs="Arial"/>
                <w:i/>
                <w:sz w:val="20"/>
                <w:lang w:eastAsia="en-AU"/>
              </w:rPr>
            </w:pPr>
          </w:p>
        </w:tc>
        <w:tc>
          <w:tcPr>
            <w:tcW w:w="1141" w:type="pct"/>
            <w:tcBorders>
              <w:top w:val="single" w:sz="8" w:space="0" w:color="002776" w:themeColor="text2"/>
              <w:bottom w:val="nil"/>
            </w:tcBorders>
            <w:shd w:val="clear" w:color="auto" w:fill="B0CAFF" w:themeFill="text2" w:themeFillTint="33"/>
            <w:noWrap/>
            <w:hideMark/>
          </w:tcPr>
          <w:p w14:paraId="68D30C93" w14:textId="77777777" w:rsidR="006F5CF3" w:rsidRPr="005678FF" w:rsidRDefault="006F5CF3" w:rsidP="00A86CA1">
            <w:pPr>
              <w:jc w:val="right"/>
              <w:rPr>
                <w:rFonts w:asciiTheme="minorHAnsi" w:hAnsiTheme="minorHAnsi" w:cs="Arial"/>
                <w:i/>
                <w:sz w:val="20"/>
                <w:lang w:eastAsia="en-AU"/>
              </w:rPr>
            </w:pPr>
          </w:p>
        </w:tc>
        <w:tc>
          <w:tcPr>
            <w:tcW w:w="1141" w:type="pct"/>
            <w:tcBorders>
              <w:top w:val="single" w:sz="8" w:space="0" w:color="002776" w:themeColor="text2"/>
              <w:bottom w:val="nil"/>
            </w:tcBorders>
            <w:shd w:val="clear" w:color="auto" w:fill="B0CAFF" w:themeFill="text2" w:themeFillTint="33"/>
            <w:noWrap/>
            <w:hideMark/>
          </w:tcPr>
          <w:p w14:paraId="03964231" w14:textId="77777777" w:rsidR="006F5CF3" w:rsidRPr="005678FF" w:rsidRDefault="006F5CF3" w:rsidP="00A86CA1">
            <w:pPr>
              <w:jc w:val="right"/>
              <w:rPr>
                <w:rFonts w:asciiTheme="minorHAnsi" w:hAnsiTheme="minorHAnsi" w:cs="Arial"/>
                <w:i/>
                <w:sz w:val="20"/>
                <w:lang w:eastAsia="en-AU"/>
              </w:rPr>
            </w:pPr>
          </w:p>
        </w:tc>
      </w:tr>
      <w:tr w:rsidR="004B3352" w:rsidRPr="00071581" w14:paraId="0BD0ED7F" w14:textId="77777777" w:rsidTr="0084040B">
        <w:trPr>
          <w:trHeight w:val="255"/>
        </w:trPr>
        <w:tc>
          <w:tcPr>
            <w:tcW w:w="1578" w:type="pct"/>
            <w:tcBorders>
              <w:top w:val="nil"/>
            </w:tcBorders>
            <w:shd w:val="clear" w:color="auto" w:fill="auto"/>
            <w:noWrap/>
            <w:vAlign w:val="bottom"/>
            <w:hideMark/>
          </w:tcPr>
          <w:p w14:paraId="676AB556" w14:textId="77777777" w:rsidR="004B3352" w:rsidRPr="00071581" w:rsidRDefault="004B3352" w:rsidP="006569D3">
            <w:pPr>
              <w:rPr>
                <w:rFonts w:cs="Arial"/>
                <w:sz w:val="20"/>
                <w:lang w:eastAsia="en-AU"/>
              </w:rPr>
            </w:pPr>
            <w:r w:rsidRPr="00071581">
              <w:rPr>
                <w:rFonts w:cs="Arial"/>
                <w:sz w:val="20"/>
                <w:lang w:eastAsia="en-AU"/>
              </w:rPr>
              <w:t>New South Wales</w:t>
            </w:r>
          </w:p>
        </w:tc>
        <w:tc>
          <w:tcPr>
            <w:tcW w:w="1140" w:type="pct"/>
            <w:tcBorders>
              <w:top w:val="nil"/>
            </w:tcBorders>
            <w:shd w:val="clear" w:color="auto" w:fill="auto"/>
            <w:noWrap/>
            <w:vAlign w:val="bottom"/>
            <w:hideMark/>
          </w:tcPr>
          <w:p w14:paraId="03BB8B33" w14:textId="0A09BD7E" w:rsidR="004B3352" w:rsidRPr="005678FF" w:rsidRDefault="004B3352" w:rsidP="00A86CA1">
            <w:pPr>
              <w:jc w:val="right"/>
              <w:rPr>
                <w:rFonts w:asciiTheme="minorHAnsi" w:hAnsiTheme="minorHAnsi" w:cs="Arial"/>
                <w:sz w:val="20"/>
                <w:lang w:eastAsia="en-AU"/>
              </w:rPr>
            </w:pPr>
            <w:r>
              <w:rPr>
                <w:rFonts w:cs="Arial"/>
                <w:sz w:val="20"/>
              </w:rPr>
              <w:t xml:space="preserve">34,180 </w:t>
            </w:r>
          </w:p>
        </w:tc>
        <w:tc>
          <w:tcPr>
            <w:tcW w:w="1141" w:type="pct"/>
            <w:tcBorders>
              <w:top w:val="nil"/>
            </w:tcBorders>
            <w:shd w:val="clear" w:color="auto" w:fill="auto"/>
            <w:noWrap/>
            <w:vAlign w:val="bottom"/>
            <w:hideMark/>
          </w:tcPr>
          <w:p w14:paraId="4CD7C6AB" w14:textId="32B74A9D" w:rsidR="004B3352" w:rsidRPr="005678FF" w:rsidRDefault="004B3352" w:rsidP="00A86CA1">
            <w:pPr>
              <w:jc w:val="right"/>
              <w:rPr>
                <w:rFonts w:asciiTheme="minorHAnsi" w:hAnsiTheme="minorHAnsi" w:cs="Arial"/>
                <w:sz w:val="20"/>
                <w:lang w:eastAsia="en-AU"/>
              </w:rPr>
            </w:pPr>
            <w:r>
              <w:rPr>
                <w:rFonts w:cs="Arial"/>
                <w:sz w:val="20"/>
              </w:rPr>
              <w:t xml:space="preserve">11,968 </w:t>
            </w:r>
          </w:p>
        </w:tc>
        <w:tc>
          <w:tcPr>
            <w:tcW w:w="1141" w:type="pct"/>
            <w:tcBorders>
              <w:top w:val="nil"/>
            </w:tcBorders>
            <w:shd w:val="clear" w:color="auto" w:fill="auto"/>
            <w:noWrap/>
            <w:vAlign w:val="bottom"/>
            <w:hideMark/>
          </w:tcPr>
          <w:p w14:paraId="0CED6F3B" w14:textId="3CB63995" w:rsidR="004B3352" w:rsidRPr="005678FF" w:rsidRDefault="004B3352" w:rsidP="00A86CA1">
            <w:pPr>
              <w:jc w:val="right"/>
              <w:rPr>
                <w:rFonts w:asciiTheme="minorHAnsi" w:hAnsiTheme="minorHAnsi" w:cs="Arial"/>
                <w:sz w:val="20"/>
                <w:lang w:eastAsia="en-AU"/>
              </w:rPr>
            </w:pPr>
            <w:r>
              <w:rPr>
                <w:rFonts w:cs="Arial"/>
                <w:sz w:val="20"/>
              </w:rPr>
              <w:t xml:space="preserve">46,148 </w:t>
            </w:r>
          </w:p>
        </w:tc>
      </w:tr>
      <w:tr w:rsidR="004B3352" w:rsidRPr="00071581" w14:paraId="0124DE41" w14:textId="77777777" w:rsidTr="0084040B">
        <w:trPr>
          <w:trHeight w:val="255"/>
        </w:trPr>
        <w:tc>
          <w:tcPr>
            <w:tcW w:w="1578" w:type="pct"/>
            <w:shd w:val="clear" w:color="auto" w:fill="auto"/>
            <w:noWrap/>
            <w:vAlign w:val="bottom"/>
            <w:hideMark/>
          </w:tcPr>
          <w:p w14:paraId="6933EA6A" w14:textId="77777777" w:rsidR="004B3352" w:rsidRPr="00071581" w:rsidRDefault="004B3352" w:rsidP="006569D3">
            <w:pPr>
              <w:rPr>
                <w:rFonts w:cs="Arial"/>
                <w:sz w:val="20"/>
                <w:lang w:eastAsia="en-AU"/>
              </w:rPr>
            </w:pPr>
            <w:r w:rsidRPr="00071581">
              <w:rPr>
                <w:rFonts w:cs="Arial"/>
                <w:sz w:val="20"/>
                <w:lang w:eastAsia="en-AU"/>
              </w:rPr>
              <w:t>Victoria</w:t>
            </w:r>
          </w:p>
        </w:tc>
        <w:tc>
          <w:tcPr>
            <w:tcW w:w="1140" w:type="pct"/>
            <w:shd w:val="clear" w:color="auto" w:fill="auto"/>
            <w:noWrap/>
            <w:vAlign w:val="bottom"/>
            <w:hideMark/>
          </w:tcPr>
          <w:p w14:paraId="07B4D714" w14:textId="35CBED16" w:rsidR="004B3352" w:rsidRPr="005678FF" w:rsidRDefault="004B3352" w:rsidP="00A86CA1">
            <w:pPr>
              <w:jc w:val="right"/>
              <w:rPr>
                <w:rFonts w:asciiTheme="minorHAnsi" w:hAnsiTheme="minorHAnsi" w:cs="Arial"/>
                <w:sz w:val="20"/>
                <w:lang w:eastAsia="en-AU"/>
              </w:rPr>
            </w:pPr>
            <w:r>
              <w:rPr>
                <w:rFonts w:cs="Arial"/>
                <w:sz w:val="20"/>
              </w:rPr>
              <w:t xml:space="preserve">27,539 </w:t>
            </w:r>
          </w:p>
        </w:tc>
        <w:tc>
          <w:tcPr>
            <w:tcW w:w="1141" w:type="pct"/>
            <w:shd w:val="clear" w:color="auto" w:fill="auto"/>
            <w:noWrap/>
            <w:vAlign w:val="bottom"/>
            <w:hideMark/>
          </w:tcPr>
          <w:p w14:paraId="3FABC354" w14:textId="6B53244E" w:rsidR="004B3352" w:rsidRPr="005678FF" w:rsidRDefault="004B3352" w:rsidP="00A86CA1">
            <w:pPr>
              <w:jc w:val="right"/>
              <w:rPr>
                <w:rFonts w:asciiTheme="minorHAnsi" w:hAnsiTheme="minorHAnsi" w:cs="Arial"/>
                <w:sz w:val="20"/>
                <w:lang w:eastAsia="en-AU"/>
              </w:rPr>
            </w:pPr>
            <w:r>
              <w:rPr>
                <w:rFonts w:cs="Arial"/>
                <w:sz w:val="20"/>
              </w:rPr>
              <w:t xml:space="preserve">10,533 </w:t>
            </w:r>
          </w:p>
        </w:tc>
        <w:tc>
          <w:tcPr>
            <w:tcW w:w="1141" w:type="pct"/>
            <w:shd w:val="clear" w:color="auto" w:fill="auto"/>
            <w:noWrap/>
            <w:vAlign w:val="bottom"/>
            <w:hideMark/>
          </w:tcPr>
          <w:p w14:paraId="3B7135AC" w14:textId="6FA4B0D4" w:rsidR="004B3352" w:rsidRPr="005678FF" w:rsidRDefault="004B3352" w:rsidP="00A86CA1">
            <w:pPr>
              <w:jc w:val="right"/>
              <w:rPr>
                <w:rFonts w:asciiTheme="minorHAnsi" w:hAnsiTheme="minorHAnsi" w:cs="Arial"/>
                <w:sz w:val="20"/>
                <w:lang w:eastAsia="en-AU"/>
              </w:rPr>
            </w:pPr>
            <w:r>
              <w:rPr>
                <w:rFonts w:cs="Arial"/>
                <w:sz w:val="20"/>
              </w:rPr>
              <w:t xml:space="preserve">38,073 </w:t>
            </w:r>
          </w:p>
        </w:tc>
      </w:tr>
      <w:tr w:rsidR="004B3352" w:rsidRPr="00071581" w14:paraId="795E7ED7" w14:textId="77777777" w:rsidTr="0084040B">
        <w:trPr>
          <w:trHeight w:val="255"/>
        </w:trPr>
        <w:tc>
          <w:tcPr>
            <w:tcW w:w="1578" w:type="pct"/>
            <w:shd w:val="clear" w:color="auto" w:fill="auto"/>
            <w:noWrap/>
            <w:vAlign w:val="bottom"/>
            <w:hideMark/>
          </w:tcPr>
          <w:p w14:paraId="7E6F2420" w14:textId="77777777" w:rsidR="004B3352" w:rsidRPr="00071581" w:rsidRDefault="004B3352" w:rsidP="006569D3">
            <w:pPr>
              <w:rPr>
                <w:rFonts w:cs="Arial"/>
                <w:sz w:val="20"/>
                <w:lang w:eastAsia="en-AU"/>
              </w:rPr>
            </w:pPr>
            <w:r w:rsidRPr="00071581">
              <w:rPr>
                <w:rFonts w:cs="Arial"/>
                <w:sz w:val="20"/>
                <w:lang w:eastAsia="en-AU"/>
              </w:rPr>
              <w:t>Queensland</w:t>
            </w:r>
          </w:p>
        </w:tc>
        <w:tc>
          <w:tcPr>
            <w:tcW w:w="1140" w:type="pct"/>
            <w:shd w:val="clear" w:color="auto" w:fill="auto"/>
            <w:noWrap/>
            <w:vAlign w:val="bottom"/>
            <w:hideMark/>
          </w:tcPr>
          <w:p w14:paraId="08C9C888" w14:textId="1C20B5D2" w:rsidR="004B3352" w:rsidRPr="005678FF" w:rsidRDefault="004B3352" w:rsidP="00A86CA1">
            <w:pPr>
              <w:jc w:val="right"/>
              <w:rPr>
                <w:rFonts w:asciiTheme="minorHAnsi" w:hAnsiTheme="minorHAnsi" w:cs="Arial"/>
                <w:sz w:val="20"/>
                <w:lang w:eastAsia="en-AU"/>
              </w:rPr>
            </w:pPr>
            <w:r>
              <w:rPr>
                <w:rFonts w:cs="Arial"/>
                <w:sz w:val="20"/>
              </w:rPr>
              <w:t xml:space="preserve">14,952 </w:t>
            </w:r>
          </w:p>
        </w:tc>
        <w:tc>
          <w:tcPr>
            <w:tcW w:w="1141" w:type="pct"/>
            <w:shd w:val="clear" w:color="auto" w:fill="auto"/>
            <w:noWrap/>
            <w:vAlign w:val="bottom"/>
            <w:hideMark/>
          </w:tcPr>
          <w:p w14:paraId="401EAD72" w14:textId="2DEBF60F" w:rsidR="004B3352" w:rsidRPr="005678FF" w:rsidRDefault="004B3352" w:rsidP="00A86CA1">
            <w:pPr>
              <w:jc w:val="right"/>
              <w:rPr>
                <w:rFonts w:asciiTheme="minorHAnsi" w:hAnsiTheme="minorHAnsi" w:cs="Arial"/>
                <w:sz w:val="20"/>
                <w:lang w:eastAsia="en-AU"/>
              </w:rPr>
            </w:pPr>
            <w:r>
              <w:rPr>
                <w:rFonts w:cs="Arial"/>
                <w:sz w:val="20"/>
              </w:rPr>
              <w:t xml:space="preserve">6,306 </w:t>
            </w:r>
          </w:p>
        </w:tc>
        <w:tc>
          <w:tcPr>
            <w:tcW w:w="1141" w:type="pct"/>
            <w:shd w:val="clear" w:color="auto" w:fill="auto"/>
            <w:noWrap/>
            <w:vAlign w:val="bottom"/>
            <w:hideMark/>
          </w:tcPr>
          <w:p w14:paraId="73F0D669" w14:textId="504B5CD6" w:rsidR="004B3352" w:rsidRPr="005678FF" w:rsidRDefault="004B3352" w:rsidP="00A86CA1">
            <w:pPr>
              <w:jc w:val="right"/>
              <w:rPr>
                <w:rFonts w:asciiTheme="minorHAnsi" w:hAnsiTheme="minorHAnsi" w:cs="Arial"/>
                <w:sz w:val="20"/>
                <w:lang w:eastAsia="en-AU"/>
              </w:rPr>
            </w:pPr>
            <w:r>
              <w:rPr>
                <w:rFonts w:cs="Arial"/>
                <w:sz w:val="20"/>
              </w:rPr>
              <w:t xml:space="preserve">21,259 </w:t>
            </w:r>
          </w:p>
        </w:tc>
      </w:tr>
      <w:tr w:rsidR="004B3352" w:rsidRPr="00071581" w14:paraId="5F0F6B5B" w14:textId="77777777" w:rsidTr="0084040B">
        <w:trPr>
          <w:trHeight w:val="255"/>
        </w:trPr>
        <w:tc>
          <w:tcPr>
            <w:tcW w:w="1578" w:type="pct"/>
            <w:shd w:val="clear" w:color="auto" w:fill="auto"/>
            <w:noWrap/>
            <w:vAlign w:val="bottom"/>
            <w:hideMark/>
          </w:tcPr>
          <w:p w14:paraId="3934F252" w14:textId="77777777" w:rsidR="004B3352" w:rsidRPr="00071581" w:rsidRDefault="004B3352" w:rsidP="006569D3">
            <w:pPr>
              <w:rPr>
                <w:rFonts w:cs="Arial"/>
                <w:sz w:val="20"/>
                <w:lang w:eastAsia="en-AU"/>
              </w:rPr>
            </w:pPr>
            <w:r w:rsidRPr="00071581">
              <w:rPr>
                <w:rFonts w:cs="Arial"/>
                <w:sz w:val="20"/>
                <w:lang w:eastAsia="en-AU"/>
              </w:rPr>
              <w:t>South Australia</w:t>
            </w:r>
          </w:p>
        </w:tc>
        <w:tc>
          <w:tcPr>
            <w:tcW w:w="1140" w:type="pct"/>
            <w:shd w:val="clear" w:color="auto" w:fill="auto"/>
            <w:noWrap/>
            <w:vAlign w:val="bottom"/>
            <w:hideMark/>
          </w:tcPr>
          <w:p w14:paraId="3F410323" w14:textId="76357134" w:rsidR="004B3352" w:rsidRPr="005678FF" w:rsidRDefault="004B3352" w:rsidP="00A86CA1">
            <w:pPr>
              <w:jc w:val="right"/>
              <w:rPr>
                <w:rFonts w:asciiTheme="minorHAnsi" w:hAnsiTheme="minorHAnsi" w:cs="Arial"/>
                <w:sz w:val="20"/>
                <w:lang w:eastAsia="en-AU"/>
              </w:rPr>
            </w:pPr>
            <w:r>
              <w:rPr>
                <w:rFonts w:cs="Arial"/>
                <w:sz w:val="20"/>
              </w:rPr>
              <w:t xml:space="preserve">5,837 </w:t>
            </w:r>
          </w:p>
        </w:tc>
        <w:tc>
          <w:tcPr>
            <w:tcW w:w="1141" w:type="pct"/>
            <w:shd w:val="clear" w:color="auto" w:fill="auto"/>
            <w:noWrap/>
            <w:vAlign w:val="bottom"/>
            <w:hideMark/>
          </w:tcPr>
          <w:p w14:paraId="3C223D44" w14:textId="7B44D491" w:rsidR="004B3352" w:rsidRPr="005678FF" w:rsidRDefault="004B3352" w:rsidP="00A86CA1">
            <w:pPr>
              <w:jc w:val="right"/>
              <w:rPr>
                <w:rFonts w:asciiTheme="minorHAnsi" w:hAnsiTheme="minorHAnsi" w:cs="Arial"/>
                <w:sz w:val="20"/>
                <w:lang w:eastAsia="en-AU"/>
              </w:rPr>
            </w:pPr>
            <w:r>
              <w:rPr>
                <w:rFonts w:cs="Arial"/>
                <w:sz w:val="20"/>
              </w:rPr>
              <w:t xml:space="preserve">2,532 </w:t>
            </w:r>
          </w:p>
        </w:tc>
        <w:tc>
          <w:tcPr>
            <w:tcW w:w="1141" w:type="pct"/>
            <w:shd w:val="clear" w:color="auto" w:fill="auto"/>
            <w:noWrap/>
            <w:vAlign w:val="bottom"/>
            <w:hideMark/>
          </w:tcPr>
          <w:p w14:paraId="08953498" w14:textId="1A9BC879" w:rsidR="004B3352" w:rsidRPr="005678FF" w:rsidRDefault="004B3352" w:rsidP="00A86CA1">
            <w:pPr>
              <w:jc w:val="right"/>
              <w:rPr>
                <w:rFonts w:asciiTheme="minorHAnsi" w:hAnsiTheme="minorHAnsi" w:cs="Arial"/>
                <w:sz w:val="20"/>
                <w:lang w:eastAsia="en-AU"/>
              </w:rPr>
            </w:pPr>
            <w:r>
              <w:rPr>
                <w:rFonts w:cs="Arial"/>
                <w:sz w:val="20"/>
              </w:rPr>
              <w:t xml:space="preserve">8,369 </w:t>
            </w:r>
          </w:p>
        </w:tc>
      </w:tr>
      <w:tr w:rsidR="004B3352" w:rsidRPr="00071581" w14:paraId="029F82FC" w14:textId="77777777" w:rsidTr="0084040B">
        <w:trPr>
          <w:trHeight w:val="255"/>
        </w:trPr>
        <w:tc>
          <w:tcPr>
            <w:tcW w:w="1578" w:type="pct"/>
            <w:shd w:val="clear" w:color="auto" w:fill="auto"/>
            <w:noWrap/>
            <w:vAlign w:val="bottom"/>
            <w:hideMark/>
          </w:tcPr>
          <w:p w14:paraId="6D966E7A" w14:textId="77777777" w:rsidR="004B3352" w:rsidRPr="00071581" w:rsidRDefault="004B3352" w:rsidP="006569D3">
            <w:pPr>
              <w:rPr>
                <w:rFonts w:cs="Arial"/>
                <w:sz w:val="20"/>
                <w:lang w:eastAsia="en-AU"/>
              </w:rPr>
            </w:pPr>
            <w:r w:rsidRPr="00071581">
              <w:rPr>
                <w:rFonts w:cs="Arial"/>
                <w:sz w:val="20"/>
                <w:lang w:eastAsia="en-AU"/>
              </w:rPr>
              <w:t>Western Australia</w:t>
            </w:r>
          </w:p>
        </w:tc>
        <w:tc>
          <w:tcPr>
            <w:tcW w:w="1140" w:type="pct"/>
            <w:shd w:val="clear" w:color="auto" w:fill="auto"/>
            <w:noWrap/>
            <w:vAlign w:val="bottom"/>
            <w:hideMark/>
          </w:tcPr>
          <w:p w14:paraId="3F193827" w14:textId="65667EEE" w:rsidR="004B3352" w:rsidRPr="005678FF" w:rsidRDefault="004B3352" w:rsidP="00A86CA1">
            <w:pPr>
              <w:jc w:val="right"/>
              <w:rPr>
                <w:rFonts w:asciiTheme="minorHAnsi" w:hAnsiTheme="minorHAnsi" w:cs="Arial"/>
                <w:sz w:val="20"/>
                <w:lang w:eastAsia="en-AU"/>
              </w:rPr>
            </w:pPr>
            <w:r>
              <w:rPr>
                <w:rFonts w:cs="Arial"/>
                <w:sz w:val="20"/>
              </w:rPr>
              <w:t xml:space="preserve">6,981 </w:t>
            </w:r>
          </w:p>
        </w:tc>
        <w:tc>
          <w:tcPr>
            <w:tcW w:w="1141" w:type="pct"/>
            <w:shd w:val="clear" w:color="auto" w:fill="auto"/>
            <w:noWrap/>
            <w:vAlign w:val="bottom"/>
            <w:hideMark/>
          </w:tcPr>
          <w:p w14:paraId="458C1758" w14:textId="28205A69" w:rsidR="004B3352" w:rsidRPr="005678FF" w:rsidRDefault="004B3352" w:rsidP="00A86CA1">
            <w:pPr>
              <w:jc w:val="right"/>
              <w:rPr>
                <w:rFonts w:asciiTheme="minorHAnsi" w:hAnsiTheme="minorHAnsi" w:cs="Arial"/>
                <w:sz w:val="20"/>
                <w:lang w:eastAsia="en-AU"/>
              </w:rPr>
            </w:pPr>
            <w:r>
              <w:rPr>
                <w:rFonts w:cs="Arial"/>
                <w:sz w:val="20"/>
              </w:rPr>
              <w:t xml:space="preserve">2,873 </w:t>
            </w:r>
          </w:p>
        </w:tc>
        <w:tc>
          <w:tcPr>
            <w:tcW w:w="1141" w:type="pct"/>
            <w:shd w:val="clear" w:color="auto" w:fill="auto"/>
            <w:noWrap/>
            <w:vAlign w:val="bottom"/>
            <w:hideMark/>
          </w:tcPr>
          <w:p w14:paraId="2A686961" w14:textId="7C3941D6" w:rsidR="004B3352" w:rsidRPr="005678FF" w:rsidRDefault="004B3352" w:rsidP="00A86CA1">
            <w:pPr>
              <w:jc w:val="right"/>
              <w:rPr>
                <w:rFonts w:asciiTheme="minorHAnsi" w:hAnsiTheme="minorHAnsi" w:cs="Arial"/>
                <w:sz w:val="20"/>
                <w:lang w:eastAsia="en-AU"/>
              </w:rPr>
            </w:pPr>
            <w:r>
              <w:rPr>
                <w:rFonts w:cs="Arial"/>
                <w:sz w:val="20"/>
              </w:rPr>
              <w:t xml:space="preserve">9,854 </w:t>
            </w:r>
          </w:p>
        </w:tc>
      </w:tr>
      <w:tr w:rsidR="004B3352" w:rsidRPr="00071581" w14:paraId="07DAD652" w14:textId="77777777" w:rsidTr="0084040B">
        <w:trPr>
          <w:trHeight w:val="255"/>
        </w:trPr>
        <w:tc>
          <w:tcPr>
            <w:tcW w:w="1578" w:type="pct"/>
            <w:shd w:val="clear" w:color="auto" w:fill="auto"/>
            <w:noWrap/>
            <w:vAlign w:val="bottom"/>
            <w:hideMark/>
          </w:tcPr>
          <w:p w14:paraId="3C70C1BB" w14:textId="77777777" w:rsidR="004B3352" w:rsidRPr="00071581" w:rsidRDefault="004B3352" w:rsidP="006569D3">
            <w:pPr>
              <w:rPr>
                <w:rFonts w:cs="Arial"/>
                <w:sz w:val="20"/>
                <w:lang w:eastAsia="en-AU"/>
              </w:rPr>
            </w:pPr>
            <w:r w:rsidRPr="00071581">
              <w:rPr>
                <w:rFonts w:cs="Arial"/>
                <w:sz w:val="20"/>
                <w:lang w:eastAsia="en-AU"/>
              </w:rPr>
              <w:t>Tasmania</w:t>
            </w:r>
          </w:p>
        </w:tc>
        <w:tc>
          <w:tcPr>
            <w:tcW w:w="1140" w:type="pct"/>
            <w:shd w:val="clear" w:color="auto" w:fill="auto"/>
            <w:noWrap/>
            <w:vAlign w:val="bottom"/>
            <w:hideMark/>
          </w:tcPr>
          <w:p w14:paraId="4CC50804" w14:textId="3B9FAAD3" w:rsidR="004B3352" w:rsidRPr="005678FF" w:rsidRDefault="004B3352" w:rsidP="00A86CA1">
            <w:pPr>
              <w:jc w:val="right"/>
              <w:rPr>
                <w:rFonts w:asciiTheme="minorHAnsi" w:hAnsiTheme="minorHAnsi" w:cs="Arial"/>
                <w:sz w:val="20"/>
                <w:lang w:eastAsia="en-AU"/>
              </w:rPr>
            </w:pPr>
            <w:r>
              <w:rPr>
                <w:rFonts w:cs="Arial"/>
                <w:sz w:val="20"/>
              </w:rPr>
              <w:t xml:space="preserve">879 </w:t>
            </w:r>
          </w:p>
        </w:tc>
        <w:tc>
          <w:tcPr>
            <w:tcW w:w="1141" w:type="pct"/>
            <w:shd w:val="clear" w:color="auto" w:fill="auto"/>
            <w:noWrap/>
            <w:vAlign w:val="bottom"/>
            <w:hideMark/>
          </w:tcPr>
          <w:p w14:paraId="3DD14D35" w14:textId="776932B2" w:rsidR="004B3352" w:rsidRPr="005678FF" w:rsidRDefault="004B3352" w:rsidP="00A86CA1">
            <w:pPr>
              <w:jc w:val="right"/>
              <w:rPr>
                <w:rFonts w:asciiTheme="minorHAnsi" w:hAnsiTheme="minorHAnsi" w:cs="Arial"/>
                <w:sz w:val="20"/>
                <w:lang w:eastAsia="en-AU"/>
              </w:rPr>
            </w:pPr>
            <w:r>
              <w:rPr>
                <w:rFonts w:cs="Arial"/>
                <w:sz w:val="20"/>
              </w:rPr>
              <w:t xml:space="preserve">561 </w:t>
            </w:r>
          </w:p>
        </w:tc>
        <w:tc>
          <w:tcPr>
            <w:tcW w:w="1141" w:type="pct"/>
            <w:shd w:val="clear" w:color="auto" w:fill="auto"/>
            <w:noWrap/>
            <w:vAlign w:val="bottom"/>
            <w:hideMark/>
          </w:tcPr>
          <w:p w14:paraId="218BB63C" w14:textId="19CAD2E6" w:rsidR="004B3352" w:rsidRPr="005678FF" w:rsidRDefault="004B3352" w:rsidP="00A86CA1">
            <w:pPr>
              <w:jc w:val="right"/>
              <w:rPr>
                <w:rFonts w:asciiTheme="minorHAnsi" w:hAnsiTheme="minorHAnsi" w:cs="Arial"/>
                <w:sz w:val="20"/>
                <w:lang w:eastAsia="en-AU"/>
              </w:rPr>
            </w:pPr>
            <w:r>
              <w:rPr>
                <w:rFonts w:cs="Arial"/>
                <w:sz w:val="20"/>
              </w:rPr>
              <w:t xml:space="preserve">1,440 </w:t>
            </w:r>
          </w:p>
        </w:tc>
      </w:tr>
      <w:tr w:rsidR="004B3352" w:rsidRPr="00071581" w14:paraId="7E8C3BE7" w14:textId="77777777" w:rsidTr="0084040B">
        <w:trPr>
          <w:trHeight w:val="255"/>
        </w:trPr>
        <w:tc>
          <w:tcPr>
            <w:tcW w:w="1578" w:type="pct"/>
            <w:shd w:val="clear" w:color="auto" w:fill="auto"/>
            <w:noWrap/>
            <w:vAlign w:val="bottom"/>
            <w:hideMark/>
          </w:tcPr>
          <w:p w14:paraId="715CB5F1" w14:textId="77777777" w:rsidR="004B3352" w:rsidRPr="00071581" w:rsidRDefault="004B3352" w:rsidP="006569D3">
            <w:pPr>
              <w:rPr>
                <w:rFonts w:cs="Arial"/>
                <w:sz w:val="20"/>
                <w:lang w:eastAsia="en-AU"/>
              </w:rPr>
            </w:pPr>
            <w:r w:rsidRPr="00071581">
              <w:rPr>
                <w:rFonts w:cs="Arial"/>
                <w:sz w:val="20"/>
                <w:lang w:eastAsia="en-AU"/>
              </w:rPr>
              <w:t>Northern Territory</w:t>
            </w:r>
          </w:p>
        </w:tc>
        <w:tc>
          <w:tcPr>
            <w:tcW w:w="1140" w:type="pct"/>
            <w:shd w:val="clear" w:color="auto" w:fill="auto"/>
            <w:noWrap/>
            <w:vAlign w:val="bottom"/>
            <w:hideMark/>
          </w:tcPr>
          <w:p w14:paraId="0CBCDA90" w14:textId="15097B54" w:rsidR="004B3352" w:rsidRPr="005678FF" w:rsidRDefault="004B3352" w:rsidP="00A86CA1">
            <w:pPr>
              <w:jc w:val="right"/>
              <w:rPr>
                <w:rFonts w:asciiTheme="minorHAnsi" w:hAnsiTheme="minorHAnsi" w:cs="Arial"/>
                <w:sz w:val="20"/>
                <w:lang w:eastAsia="en-AU"/>
              </w:rPr>
            </w:pPr>
            <w:r>
              <w:rPr>
                <w:rFonts w:cs="Arial"/>
                <w:sz w:val="20"/>
              </w:rPr>
              <w:t xml:space="preserve">227 </w:t>
            </w:r>
          </w:p>
        </w:tc>
        <w:tc>
          <w:tcPr>
            <w:tcW w:w="1141" w:type="pct"/>
            <w:shd w:val="clear" w:color="auto" w:fill="auto"/>
            <w:noWrap/>
            <w:vAlign w:val="bottom"/>
            <w:hideMark/>
          </w:tcPr>
          <w:p w14:paraId="44196B1A" w14:textId="27CCFAB7" w:rsidR="004B3352" w:rsidRPr="005678FF" w:rsidRDefault="004B3352" w:rsidP="00A86CA1">
            <w:pPr>
              <w:jc w:val="right"/>
              <w:rPr>
                <w:rFonts w:asciiTheme="minorHAnsi" w:hAnsiTheme="minorHAnsi" w:cs="Arial"/>
                <w:sz w:val="20"/>
                <w:lang w:eastAsia="en-AU"/>
              </w:rPr>
            </w:pPr>
            <w:r>
              <w:rPr>
                <w:rFonts w:cs="Arial"/>
                <w:sz w:val="20"/>
              </w:rPr>
              <w:t xml:space="preserve">202 </w:t>
            </w:r>
          </w:p>
        </w:tc>
        <w:tc>
          <w:tcPr>
            <w:tcW w:w="1141" w:type="pct"/>
            <w:shd w:val="clear" w:color="auto" w:fill="auto"/>
            <w:noWrap/>
            <w:vAlign w:val="bottom"/>
            <w:hideMark/>
          </w:tcPr>
          <w:p w14:paraId="1E2EA568" w14:textId="7DBB16F8" w:rsidR="004B3352" w:rsidRPr="005678FF" w:rsidRDefault="004B3352" w:rsidP="00A86CA1">
            <w:pPr>
              <w:jc w:val="right"/>
              <w:rPr>
                <w:rFonts w:asciiTheme="minorHAnsi" w:hAnsiTheme="minorHAnsi" w:cs="Arial"/>
                <w:sz w:val="20"/>
                <w:lang w:eastAsia="en-AU"/>
              </w:rPr>
            </w:pPr>
            <w:r>
              <w:rPr>
                <w:rFonts w:cs="Arial"/>
                <w:sz w:val="20"/>
              </w:rPr>
              <w:t xml:space="preserve">429 </w:t>
            </w:r>
          </w:p>
        </w:tc>
      </w:tr>
      <w:tr w:rsidR="004B3352" w:rsidRPr="00071581" w14:paraId="139C1C0D" w14:textId="77777777" w:rsidTr="0084040B">
        <w:trPr>
          <w:trHeight w:val="255"/>
        </w:trPr>
        <w:tc>
          <w:tcPr>
            <w:tcW w:w="1578" w:type="pct"/>
            <w:tcBorders>
              <w:bottom w:val="nil"/>
            </w:tcBorders>
            <w:shd w:val="clear" w:color="auto" w:fill="auto"/>
            <w:noWrap/>
            <w:vAlign w:val="bottom"/>
            <w:hideMark/>
          </w:tcPr>
          <w:p w14:paraId="64E304CD" w14:textId="77777777" w:rsidR="004B3352" w:rsidRPr="00071581" w:rsidRDefault="004B3352" w:rsidP="006569D3">
            <w:pPr>
              <w:rPr>
                <w:rFonts w:cs="Arial"/>
                <w:sz w:val="20"/>
                <w:lang w:eastAsia="en-AU"/>
              </w:rPr>
            </w:pPr>
            <w:r w:rsidRPr="00071581">
              <w:rPr>
                <w:rFonts w:cs="Arial"/>
                <w:sz w:val="20"/>
                <w:lang w:eastAsia="en-AU"/>
              </w:rPr>
              <w:t>Australian Capital Territory</w:t>
            </w:r>
          </w:p>
        </w:tc>
        <w:tc>
          <w:tcPr>
            <w:tcW w:w="1140" w:type="pct"/>
            <w:tcBorders>
              <w:bottom w:val="nil"/>
            </w:tcBorders>
            <w:shd w:val="clear" w:color="auto" w:fill="auto"/>
            <w:noWrap/>
            <w:vAlign w:val="bottom"/>
            <w:hideMark/>
          </w:tcPr>
          <w:p w14:paraId="743C1E49" w14:textId="0D6D15CB" w:rsidR="004B3352" w:rsidRPr="005678FF" w:rsidRDefault="004B3352" w:rsidP="00A86CA1">
            <w:pPr>
              <w:jc w:val="right"/>
              <w:rPr>
                <w:rFonts w:asciiTheme="minorHAnsi" w:hAnsiTheme="minorHAnsi" w:cs="Arial"/>
                <w:sz w:val="20"/>
                <w:lang w:eastAsia="en-AU"/>
              </w:rPr>
            </w:pPr>
            <w:r>
              <w:rPr>
                <w:rFonts w:cs="Arial"/>
                <w:sz w:val="20"/>
              </w:rPr>
              <w:t xml:space="preserve">2,142 </w:t>
            </w:r>
          </w:p>
        </w:tc>
        <w:tc>
          <w:tcPr>
            <w:tcW w:w="1141" w:type="pct"/>
            <w:tcBorders>
              <w:bottom w:val="nil"/>
            </w:tcBorders>
            <w:shd w:val="clear" w:color="auto" w:fill="auto"/>
            <w:noWrap/>
            <w:vAlign w:val="bottom"/>
            <w:hideMark/>
          </w:tcPr>
          <w:p w14:paraId="4162D35A" w14:textId="2CE9BD3A" w:rsidR="004B3352" w:rsidRPr="005678FF" w:rsidRDefault="004B3352" w:rsidP="00A86CA1">
            <w:pPr>
              <w:jc w:val="right"/>
              <w:rPr>
                <w:rFonts w:asciiTheme="minorHAnsi" w:hAnsiTheme="minorHAnsi" w:cs="Arial"/>
                <w:sz w:val="20"/>
                <w:lang w:eastAsia="en-AU"/>
              </w:rPr>
            </w:pPr>
            <w:r>
              <w:rPr>
                <w:rFonts w:cs="Arial"/>
                <w:sz w:val="20"/>
              </w:rPr>
              <w:t xml:space="preserve">671 </w:t>
            </w:r>
          </w:p>
        </w:tc>
        <w:tc>
          <w:tcPr>
            <w:tcW w:w="1141" w:type="pct"/>
            <w:tcBorders>
              <w:bottom w:val="nil"/>
            </w:tcBorders>
            <w:shd w:val="clear" w:color="auto" w:fill="auto"/>
            <w:noWrap/>
            <w:vAlign w:val="bottom"/>
            <w:hideMark/>
          </w:tcPr>
          <w:p w14:paraId="0752EEB4" w14:textId="1E0D218E" w:rsidR="004B3352" w:rsidRPr="005678FF" w:rsidRDefault="004B3352" w:rsidP="00A86CA1">
            <w:pPr>
              <w:jc w:val="right"/>
              <w:rPr>
                <w:rFonts w:asciiTheme="minorHAnsi" w:hAnsiTheme="minorHAnsi" w:cs="Arial"/>
                <w:sz w:val="20"/>
                <w:lang w:eastAsia="en-AU"/>
              </w:rPr>
            </w:pPr>
            <w:r>
              <w:rPr>
                <w:rFonts w:cs="Arial"/>
                <w:sz w:val="20"/>
              </w:rPr>
              <w:t xml:space="preserve">2,813 </w:t>
            </w:r>
          </w:p>
        </w:tc>
      </w:tr>
      <w:tr w:rsidR="007D64C8" w:rsidRPr="00A94DDC" w14:paraId="030D7C0C" w14:textId="77777777" w:rsidTr="0084040B">
        <w:trPr>
          <w:trHeight w:val="255"/>
        </w:trPr>
        <w:tc>
          <w:tcPr>
            <w:tcW w:w="1578" w:type="pct"/>
            <w:tcBorders>
              <w:top w:val="nil"/>
              <w:bottom w:val="single" w:sz="18" w:space="0" w:color="002776" w:themeColor="text2"/>
            </w:tcBorders>
            <w:shd w:val="clear" w:color="auto" w:fill="auto"/>
            <w:noWrap/>
            <w:vAlign w:val="bottom"/>
            <w:hideMark/>
          </w:tcPr>
          <w:p w14:paraId="66ECDC16" w14:textId="77777777" w:rsidR="007D64C8" w:rsidRPr="007568A7" w:rsidRDefault="007D64C8" w:rsidP="006569D3">
            <w:pPr>
              <w:rPr>
                <w:rFonts w:cs="Arial"/>
                <w:b/>
                <w:color w:val="002776" w:themeColor="text2"/>
                <w:sz w:val="20"/>
                <w:lang w:eastAsia="en-AU"/>
              </w:rPr>
            </w:pPr>
            <w:r w:rsidRPr="007568A7">
              <w:rPr>
                <w:rFonts w:cs="Arial"/>
                <w:b/>
                <w:color w:val="002776" w:themeColor="text2"/>
                <w:sz w:val="20"/>
                <w:lang w:eastAsia="en-AU"/>
              </w:rPr>
              <w:t>Australia</w:t>
            </w:r>
          </w:p>
        </w:tc>
        <w:tc>
          <w:tcPr>
            <w:tcW w:w="1140" w:type="pct"/>
            <w:tcBorders>
              <w:top w:val="nil"/>
              <w:bottom w:val="single" w:sz="18" w:space="0" w:color="002776" w:themeColor="text2"/>
            </w:tcBorders>
            <w:shd w:val="clear" w:color="auto" w:fill="auto"/>
            <w:noWrap/>
            <w:vAlign w:val="bottom"/>
            <w:hideMark/>
          </w:tcPr>
          <w:p w14:paraId="27C42F21" w14:textId="78CD0300" w:rsidR="007D64C8" w:rsidRPr="005678FF" w:rsidRDefault="007D64C8" w:rsidP="00A86CA1">
            <w:pPr>
              <w:jc w:val="right"/>
              <w:rPr>
                <w:rFonts w:asciiTheme="minorHAnsi" w:hAnsiTheme="minorHAnsi" w:cs="Arial"/>
                <w:sz w:val="20"/>
                <w:lang w:eastAsia="en-AU"/>
              </w:rPr>
            </w:pPr>
            <w:r>
              <w:rPr>
                <w:rFonts w:cs="Arial"/>
                <w:sz w:val="20"/>
              </w:rPr>
              <w:t xml:space="preserve">92,739 </w:t>
            </w:r>
          </w:p>
        </w:tc>
        <w:tc>
          <w:tcPr>
            <w:tcW w:w="1141" w:type="pct"/>
            <w:tcBorders>
              <w:top w:val="nil"/>
              <w:bottom w:val="single" w:sz="18" w:space="0" w:color="002776" w:themeColor="text2"/>
            </w:tcBorders>
            <w:shd w:val="clear" w:color="auto" w:fill="auto"/>
            <w:noWrap/>
            <w:vAlign w:val="bottom"/>
            <w:hideMark/>
          </w:tcPr>
          <w:p w14:paraId="2C50D77C" w14:textId="6BF8FC9A" w:rsidR="007D64C8" w:rsidRPr="005678FF" w:rsidRDefault="007D64C8" w:rsidP="00A86CA1">
            <w:pPr>
              <w:jc w:val="right"/>
              <w:rPr>
                <w:rFonts w:asciiTheme="minorHAnsi" w:hAnsiTheme="minorHAnsi" w:cs="Arial"/>
                <w:sz w:val="20"/>
                <w:lang w:eastAsia="en-AU"/>
              </w:rPr>
            </w:pPr>
            <w:r>
              <w:rPr>
                <w:rFonts w:cs="Arial"/>
                <w:sz w:val="20"/>
              </w:rPr>
              <w:t xml:space="preserve">35,646 </w:t>
            </w:r>
          </w:p>
        </w:tc>
        <w:tc>
          <w:tcPr>
            <w:tcW w:w="1141" w:type="pct"/>
            <w:tcBorders>
              <w:top w:val="nil"/>
              <w:bottom w:val="single" w:sz="18" w:space="0" w:color="002776" w:themeColor="text2"/>
            </w:tcBorders>
            <w:shd w:val="clear" w:color="auto" w:fill="auto"/>
            <w:noWrap/>
            <w:vAlign w:val="bottom"/>
            <w:hideMark/>
          </w:tcPr>
          <w:p w14:paraId="3467895D" w14:textId="49FF8579" w:rsidR="007D64C8" w:rsidRPr="005678FF" w:rsidRDefault="007D64C8" w:rsidP="00A86CA1">
            <w:pPr>
              <w:jc w:val="right"/>
              <w:rPr>
                <w:rFonts w:asciiTheme="minorHAnsi" w:hAnsiTheme="minorHAnsi" w:cs="Arial"/>
                <w:sz w:val="20"/>
                <w:lang w:eastAsia="en-AU"/>
              </w:rPr>
            </w:pPr>
            <w:r>
              <w:rPr>
                <w:rFonts w:cs="Arial"/>
                <w:sz w:val="20"/>
              </w:rPr>
              <w:t xml:space="preserve">128,385 </w:t>
            </w:r>
          </w:p>
        </w:tc>
      </w:tr>
    </w:tbl>
    <w:p w14:paraId="375C81DF" w14:textId="77777777" w:rsidR="006F21EE" w:rsidRDefault="006F21EE" w:rsidP="006F21EE">
      <w:pPr>
        <w:pStyle w:val="Source"/>
        <w:keepNext/>
        <w:keepLines/>
        <w:contextualSpacing/>
      </w:pPr>
      <w:r>
        <w:t>Source: Deloitte Access Economics</w:t>
      </w:r>
      <w:r w:rsidR="00285257">
        <w:t>.</w:t>
      </w:r>
    </w:p>
    <w:p w14:paraId="72EF139D" w14:textId="77777777" w:rsidR="006F21EE" w:rsidRDefault="006F21EE" w:rsidP="00E74E03">
      <w:pPr>
        <w:pStyle w:val="Source"/>
        <w:keepNext/>
        <w:keepLines/>
        <w:contextualSpacing/>
        <w:rPr>
          <w:lang w:eastAsia="en-AU"/>
        </w:rPr>
      </w:pPr>
      <w:r>
        <w:t xml:space="preserve">Note: </w:t>
      </w:r>
      <w:r>
        <w:rPr>
          <w:lang w:eastAsia="en-AU"/>
        </w:rPr>
        <w:t xml:space="preserve">For comparison purposes, the Australian results are equivalent to the sum of Mode </w:t>
      </w:r>
      <w:r w:rsidR="007D64C8">
        <w:rPr>
          <w:lang w:eastAsia="en-AU"/>
        </w:rPr>
        <w:t xml:space="preserve">1, </w:t>
      </w:r>
      <w:r>
        <w:rPr>
          <w:lang w:eastAsia="en-AU"/>
        </w:rPr>
        <w:t>2</w:t>
      </w:r>
      <w:r w:rsidR="007D64C8">
        <w:rPr>
          <w:lang w:eastAsia="en-AU"/>
        </w:rPr>
        <w:t>, 4</w:t>
      </w:r>
      <w:r>
        <w:rPr>
          <w:lang w:eastAsia="en-AU"/>
        </w:rPr>
        <w:t xml:space="preserve"> and </w:t>
      </w:r>
      <w:proofErr w:type="spellStart"/>
      <w:r>
        <w:rPr>
          <w:lang w:eastAsia="en-AU"/>
        </w:rPr>
        <w:t>NSV</w:t>
      </w:r>
      <w:proofErr w:type="spellEnd"/>
      <w:r>
        <w:rPr>
          <w:lang w:eastAsia="en-AU"/>
        </w:rPr>
        <w:t xml:space="preserve"> </w:t>
      </w:r>
      <w:proofErr w:type="spellStart"/>
      <w:r>
        <w:rPr>
          <w:lang w:eastAsia="en-AU"/>
        </w:rPr>
        <w:t>ELICOS</w:t>
      </w:r>
      <w:proofErr w:type="spellEnd"/>
      <w:r>
        <w:rPr>
          <w:lang w:eastAsia="en-AU"/>
        </w:rPr>
        <w:t xml:space="preserve"> contributions. </w:t>
      </w:r>
    </w:p>
    <w:p w14:paraId="58D06971" w14:textId="77777777" w:rsidR="00F86B13" w:rsidRDefault="00F86B13" w:rsidP="00163EA3">
      <w:pPr>
        <w:pStyle w:val="Heading2"/>
        <w:rPr>
          <w:lang w:eastAsia="en-AU"/>
        </w:rPr>
      </w:pPr>
      <w:bookmarkStart w:id="171" w:name="_Toc438647257"/>
      <w:bookmarkStart w:id="172" w:name="_Toc438647258"/>
      <w:bookmarkStart w:id="173" w:name="_Toc438647259"/>
      <w:bookmarkStart w:id="174" w:name="_Toc438647260"/>
      <w:bookmarkStart w:id="175" w:name="_Toc438647261"/>
      <w:bookmarkStart w:id="176" w:name="_Toc438647262"/>
      <w:bookmarkStart w:id="177" w:name="_Toc438647263"/>
      <w:bookmarkStart w:id="178" w:name="_Toc438647264"/>
      <w:bookmarkStart w:id="179" w:name="_Toc438647370"/>
      <w:bookmarkStart w:id="180" w:name="_Toc438647371"/>
      <w:bookmarkStart w:id="181" w:name="_Toc436922210"/>
      <w:bookmarkStart w:id="182" w:name="_Toc450809242"/>
      <w:bookmarkEnd w:id="171"/>
      <w:bookmarkEnd w:id="172"/>
      <w:bookmarkEnd w:id="173"/>
      <w:bookmarkEnd w:id="174"/>
      <w:bookmarkEnd w:id="175"/>
      <w:bookmarkEnd w:id="176"/>
      <w:bookmarkEnd w:id="177"/>
      <w:bookmarkEnd w:id="178"/>
      <w:bookmarkEnd w:id="179"/>
      <w:bookmarkEnd w:id="180"/>
      <w:r>
        <w:rPr>
          <w:lang w:eastAsia="en-AU"/>
        </w:rPr>
        <w:t>Regional distribution of international students</w:t>
      </w:r>
      <w:bookmarkEnd w:id="181"/>
      <w:bookmarkEnd w:id="182"/>
    </w:p>
    <w:p w14:paraId="4E69F42F" w14:textId="77777777" w:rsidR="00F86B13" w:rsidRDefault="00F86B13" w:rsidP="00F86B13">
      <w:pPr>
        <w:pStyle w:val="BodyText"/>
      </w:pPr>
      <w:r>
        <w:rPr>
          <w:lang w:eastAsia="en-AU"/>
        </w:rPr>
        <w:t xml:space="preserve">This section outlines the drivers behind students choosing to study in a regional area, and their distribution in Australia. </w:t>
      </w:r>
    </w:p>
    <w:p w14:paraId="51C98AA3" w14:textId="77777777" w:rsidR="00F86B13" w:rsidRPr="006C4CFC" w:rsidRDefault="00F86B13" w:rsidP="00163EA3">
      <w:pPr>
        <w:pStyle w:val="BodyText"/>
        <w:outlineLvl w:val="0"/>
        <w:rPr>
          <w:b/>
          <w:color w:val="002776" w:themeColor="text2"/>
        </w:rPr>
      </w:pPr>
      <w:r>
        <w:rPr>
          <w:b/>
          <w:color w:val="002776" w:themeColor="text2"/>
          <w:lang w:eastAsia="en-AU"/>
        </w:rPr>
        <w:lastRenderedPageBreak/>
        <w:t>Drivers</w:t>
      </w:r>
    </w:p>
    <w:p w14:paraId="3BD867B5" w14:textId="70CEA44C" w:rsidR="00F86B13" w:rsidRDefault="00F86B13" w:rsidP="00F86B13">
      <w:pPr>
        <w:pStyle w:val="BodyText"/>
      </w:pPr>
      <w:r>
        <w:rPr>
          <w:lang w:eastAsia="en-AU"/>
        </w:rPr>
        <w:t>Research has shown that international students decide on their study destinations based on a variety of factors, including lifestyle, course availability, and cost of living and study (</w:t>
      </w:r>
      <w:proofErr w:type="spellStart"/>
      <w:r>
        <w:rPr>
          <w:lang w:eastAsia="en-AU"/>
        </w:rPr>
        <w:t>Hobsons</w:t>
      </w:r>
      <w:proofErr w:type="spellEnd"/>
      <w:r>
        <w:rPr>
          <w:lang w:eastAsia="en-AU"/>
        </w:rPr>
        <w:t>,</w:t>
      </w:r>
      <w:r w:rsidR="007517D0">
        <w:rPr>
          <w:lang w:eastAsia="en-AU"/>
        </w:rPr>
        <w:t xml:space="preserve"> 2014; </w:t>
      </w:r>
      <w:proofErr w:type="spellStart"/>
      <w:r w:rsidR="007517D0">
        <w:rPr>
          <w:lang w:eastAsia="en-AU"/>
        </w:rPr>
        <w:t>Mazzarol</w:t>
      </w:r>
      <w:proofErr w:type="spellEnd"/>
      <w:r w:rsidR="007517D0">
        <w:rPr>
          <w:lang w:eastAsia="en-AU"/>
        </w:rPr>
        <w:t xml:space="preserve"> and </w:t>
      </w:r>
      <w:proofErr w:type="spellStart"/>
      <w:r w:rsidR="007517D0">
        <w:rPr>
          <w:lang w:eastAsia="en-AU"/>
        </w:rPr>
        <w:t>Soutar</w:t>
      </w:r>
      <w:proofErr w:type="spellEnd"/>
      <w:r w:rsidR="007517D0">
        <w:rPr>
          <w:lang w:eastAsia="en-AU"/>
        </w:rPr>
        <w:t>, 2002</w:t>
      </w:r>
      <w:r>
        <w:rPr>
          <w:lang w:eastAsia="en-AU"/>
        </w:rPr>
        <w:t xml:space="preserve">). </w:t>
      </w:r>
    </w:p>
    <w:p w14:paraId="780F5215" w14:textId="77777777" w:rsidR="00F86B13" w:rsidRDefault="00F86B13" w:rsidP="00F86B13">
      <w:pPr>
        <w:pStyle w:val="BodyText"/>
        <w:rPr>
          <w:lang w:eastAsia="en-AU"/>
        </w:rPr>
      </w:pPr>
      <w:r>
        <w:rPr>
          <w:lang w:eastAsia="en-AU"/>
        </w:rPr>
        <w:t xml:space="preserve">The majority of </w:t>
      </w:r>
      <w:r w:rsidRPr="00E4503E">
        <w:rPr>
          <w:lang w:eastAsia="en-AU"/>
        </w:rPr>
        <w:t>international students</w:t>
      </w:r>
      <w:r>
        <w:rPr>
          <w:lang w:eastAsia="en-AU"/>
        </w:rPr>
        <w:t xml:space="preserve"> in Australia</w:t>
      </w:r>
      <w:r w:rsidRPr="00E4503E">
        <w:rPr>
          <w:lang w:eastAsia="en-AU"/>
        </w:rPr>
        <w:t xml:space="preserve"> are based in metropolitan areas. For instance, research by the </w:t>
      </w:r>
      <w:r w:rsidRPr="00EA1B94">
        <w:rPr>
          <w:lang w:eastAsia="en-AU"/>
        </w:rPr>
        <w:t>City of Melbourne (2012</w:t>
      </w:r>
      <w:r w:rsidRPr="00E4503E">
        <w:rPr>
          <w:lang w:eastAsia="en-AU"/>
        </w:rPr>
        <w:t>) found</w:t>
      </w:r>
      <w:r>
        <w:rPr>
          <w:lang w:eastAsia="en-AU"/>
        </w:rPr>
        <w:t xml:space="preserve"> that in 2010</w:t>
      </w:r>
      <w:r w:rsidR="00777AC2">
        <w:rPr>
          <w:lang w:eastAsia="en-AU"/>
        </w:rPr>
        <w:t xml:space="preserve"> international Higher Education students were </w:t>
      </w:r>
      <w:r>
        <w:rPr>
          <w:lang w:eastAsia="en-AU"/>
        </w:rPr>
        <w:t xml:space="preserve">less likely to study in regional Victoria, with only 3% of international students studying at a regional campus, compared to 15% </w:t>
      </w:r>
      <w:r w:rsidR="003B4DD4">
        <w:rPr>
          <w:lang w:eastAsia="en-AU"/>
        </w:rPr>
        <w:t>of</w:t>
      </w:r>
      <w:r>
        <w:rPr>
          <w:lang w:eastAsia="en-AU"/>
        </w:rPr>
        <w:t xml:space="preserve"> domestic student</w:t>
      </w:r>
      <w:r w:rsidR="003B4DD4">
        <w:rPr>
          <w:lang w:eastAsia="en-AU"/>
        </w:rPr>
        <w:t>s</w:t>
      </w:r>
      <w:r>
        <w:rPr>
          <w:lang w:eastAsia="en-AU"/>
        </w:rPr>
        <w:t>.</w:t>
      </w:r>
    </w:p>
    <w:p w14:paraId="7ECCECD5" w14:textId="77777777" w:rsidR="00F86B13" w:rsidRDefault="00F86B13" w:rsidP="00F86B13">
      <w:pPr>
        <w:pStyle w:val="BodyText"/>
        <w:rPr>
          <w:lang w:eastAsia="en-AU"/>
        </w:rPr>
      </w:pPr>
      <w:r>
        <w:rPr>
          <w:lang w:eastAsia="en-AU"/>
        </w:rPr>
        <w:t xml:space="preserve">However, some international students do choose to study in regional </w:t>
      </w:r>
      <w:r w:rsidRPr="004B7E73">
        <w:rPr>
          <w:lang w:eastAsia="en-AU"/>
        </w:rPr>
        <w:t xml:space="preserve">areas. </w:t>
      </w:r>
      <w:r w:rsidRPr="006C4CFC">
        <w:rPr>
          <w:lang w:eastAsia="en-AU"/>
        </w:rPr>
        <w:t>Consultation</w:t>
      </w:r>
      <w:r w:rsidRPr="004B7E73">
        <w:rPr>
          <w:lang w:eastAsia="en-AU"/>
        </w:rPr>
        <w:t xml:space="preserve"> participants highlight</w:t>
      </w:r>
      <w:r w:rsidRPr="006C4CFC">
        <w:rPr>
          <w:lang w:eastAsia="en-AU"/>
        </w:rPr>
        <w:t>ed</w:t>
      </w:r>
      <w:r w:rsidRPr="004B7E73">
        <w:rPr>
          <w:lang w:eastAsia="en-AU"/>
        </w:rPr>
        <w:t xml:space="preserve"> some of the</w:t>
      </w:r>
      <w:r w:rsidRPr="006C4CFC">
        <w:rPr>
          <w:lang w:eastAsia="en-AU"/>
        </w:rPr>
        <w:t xml:space="preserve"> important</w:t>
      </w:r>
      <w:r w:rsidRPr="004B7E73">
        <w:rPr>
          <w:lang w:eastAsia="en-AU"/>
        </w:rPr>
        <w:t xml:space="preserve"> drivers for</w:t>
      </w:r>
      <w:r w:rsidRPr="006C4CFC">
        <w:rPr>
          <w:lang w:eastAsia="en-AU"/>
        </w:rPr>
        <w:t xml:space="preserve"> international students</w:t>
      </w:r>
      <w:r w:rsidRPr="004B7E73">
        <w:rPr>
          <w:lang w:eastAsia="en-AU"/>
        </w:rPr>
        <w:t xml:space="preserve"> choosing regional education provider</w:t>
      </w:r>
      <w:r>
        <w:rPr>
          <w:lang w:eastAsia="en-AU"/>
        </w:rPr>
        <w:t>s</w:t>
      </w:r>
      <w:r w:rsidR="003B4DD4">
        <w:rPr>
          <w:lang w:eastAsia="en-AU"/>
        </w:rPr>
        <w:t xml:space="preserve"> over </w:t>
      </w:r>
      <w:r w:rsidRPr="004B7E73">
        <w:rPr>
          <w:lang w:eastAsia="en-AU"/>
        </w:rPr>
        <w:t xml:space="preserve">metropolitan </w:t>
      </w:r>
      <w:r w:rsidR="003B4DD4">
        <w:rPr>
          <w:lang w:eastAsia="en-AU"/>
        </w:rPr>
        <w:t>providers</w:t>
      </w:r>
      <w:r>
        <w:rPr>
          <w:lang w:eastAsia="en-AU"/>
        </w:rPr>
        <w:t>:</w:t>
      </w:r>
    </w:p>
    <w:p w14:paraId="16A6954D" w14:textId="77777777" w:rsidR="00F86B13" w:rsidRDefault="00F86B13" w:rsidP="00F86B13">
      <w:pPr>
        <w:pStyle w:val="Bullet1"/>
      </w:pPr>
      <w:r w:rsidRPr="000349C1">
        <w:rPr>
          <w:b/>
          <w:color w:val="002776" w:themeColor="text2"/>
        </w:rPr>
        <w:t>quality of research and teaching</w:t>
      </w:r>
      <w:r>
        <w:t xml:space="preserve"> in particular fields, such as agriculture or medicine</w:t>
      </w:r>
      <w:r w:rsidR="003B4DD4">
        <w:t xml:space="preserve">, which is </w:t>
      </w:r>
      <w:r>
        <w:t>particularly relevant for</w:t>
      </w:r>
      <w:r w:rsidR="003B4DD4">
        <w:t xml:space="preserve"> postgraduate research students;</w:t>
      </w:r>
    </w:p>
    <w:p w14:paraId="0FBA706F" w14:textId="77777777" w:rsidR="00F86B13" w:rsidRDefault="00F86B13" w:rsidP="00F86B13">
      <w:pPr>
        <w:pStyle w:val="Bullet1"/>
      </w:pPr>
      <w:r w:rsidRPr="000349C1">
        <w:rPr>
          <w:b/>
          <w:color w:val="002776" w:themeColor="text2"/>
        </w:rPr>
        <w:t>quiet lifestyle</w:t>
      </w:r>
      <w:r w:rsidRPr="006C4CFC">
        <w:rPr>
          <w:color w:val="002776" w:themeColor="text2"/>
        </w:rPr>
        <w:t xml:space="preserve"> </w:t>
      </w:r>
      <w:r>
        <w:t>in regional areas may be preferable for international students with families, or from conservative backgrounds;</w:t>
      </w:r>
      <w:r w:rsidR="003B4DD4">
        <w:t xml:space="preserve"> and</w:t>
      </w:r>
    </w:p>
    <w:p w14:paraId="7E781468" w14:textId="77777777" w:rsidR="00F86B13" w:rsidRDefault="00F86B13" w:rsidP="00F86B13">
      <w:pPr>
        <w:pStyle w:val="Bullet1"/>
      </w:pPr>
      <w:proofErr w:type="gramStart"/>
      <w:r w:rsidRPr="00EA1B94">
        <w:t>r</w:t>
      </w:r>
      <w:r>
        <w:t>egional</w:t>
      </w:r>
      <w:proofErr w:type="gramEnd"/>
      <w:r>
        <w:t xml:space="preserve"> areas tend to be</w:t>
      </w:r>
      <w:r w:rsidR="003B4DD4">
        <w:t xml:space="preserve"> perceived as being</w:t>
      </w:r>
      <w:r>
        <w:t xml:space="preserve"> </w:t>
      </w:r>
      <w:r w:rsidRPr="000349C1">
        <w:rPr>
          <w:b/>
          <w:color w:val="002776" w:themeColor="text2"/>
        </w:rPr>
        <w:t>safer</w:t>
      </w:r>
      <w:r w:rsidR="003B4DD4">
        <w:t xml:space="preserve"> than</w:t>
      </w:r>
      <w:r>
        <w:t xml:space="preserve"> metropolitan areas.</w:t>
      </w:r>
    </w:p>
    <w:p w14:paraId="5FB3E1ED" w14:textId="77777777" w:rsidR="00F86B13" w:rsidRDefault="00F86B13" w:rsidP="00F86B13">
      <w:pPr>
        <w:pStyle w:val="BodyText"/>
      </w:pPr>
      <w:r>
        <w:rPr>
          <w:lang w:eastAsia="en-AU"/>
        </w:rPr>
        <w:t>Industry stakeholders also noted that i</w:t>
      </w:r>
      <w:r w:rsidRPr="006C4CFC">
        <w:rPr>
          <w:lang w:eastAsia="en-AU"/>
        </w:rPr>
        <w:t xml:space="preserve">nternational students in regional </w:t>
      </w:r>
      <w:r>
        <w:rPr>
          <w:lang w:eastAsia="en-AU"/>
        </w:rPr>
        <w:t>areas tend to rate their experiences more positively, in the International Student Barometer, compared to international students in metropolitan areas.</w:t>
      </w:r>
    </w:p>
    <w:p w14:paraId="12EF1C97" w14:textId="77777777" w:rsidR="00F86B13" w:rsidRPr="006C4CFC" w:rsidRDefault="00F86B13" w:rsidP="00F86B13">
      <w:pPr>
        <w:pStyle w:val="BodyText"/>
        <w:rPr>
          <w:b/>
          <w:color w:val="002776" w:themeColor="text2"/>
        </w:rPr>
      </w:pPr>
      <w:r w:rsidRPr="006C4CFC">
        <w:rPr>
          <w:b/>
          <w:color w:val="002776" w:themeColor="text2"/>
          <w:lang w:eastAsia="en-AU"/>
        </w:rPr>
        <w:t>Distribution</w:t>
      </w:r>
    </w:p>
    <w:p w14:paraId="7A287803" w14:textId="77777777" w:rsidR="00F86B13" w:rsidRDefault="003B4DD4" w:rsidP="007730BE">
      <w:pPr>
        <w:pStyle w:val="Default"/>
      </w:pPr>
      <w:r w:rsidRPr="00B63FAB">
        <w:rPr>
          <w:sz w:val="22"/>
          <w:szCs w:val="22"/>
        </w:rPr>
        <w:t xml:space="preserve">Deloitte Access Economics was provided </w:t>
      </w:r>
      <w:r w:rsidR="00F86B13" w:rsidRPr="00B63FAB">
        <w:rPr>
          <w:sz w:val="22"/>
          <w:szCs w:val="22"/>
        </w:rPr>
        <w:t>international student enrolment data by postcode for Australia as a whole</w:t>
      </w:r>
      <w:r w:rsidRPr="00B63FAB">
        <w:rPr>
          <w:sz w:val="22"/>
          <w:szCs w:val="22"/>
        </w:rPr>
        <w:t xml:space="preserve"> from </w:t>
      </w:r>
      <w:proofErr w:type="spellStart"/>
      <w:r w:rsidRPr="00B63FAB">
        <w:rPr>
          <w:sz w:val="22"/>
          <w:szCs w:val="22"/>
        </w:rPr>
        <w:t>DET</w:t>
      </w:r>
      <w:proofErr w:type="spellEnd"/>
      <w:r w:rsidR="00F86B13" w:rsidRPr="00B63FAB">
        <w:rPr>
          <w:sz w:val="22"/>
          <w:szCs w:val="22"/>
        </w:rPr>
        <w:t xml:space="preserve">, taken as a snapshot in October 2015. </w:t>
      </w:r>
      <w:r w:rsidRPr="003B013D">
        <w:rPr>
          <w:b/>
          <w:color w:val="002776" w:themeColor="text2"/>
          <w:sz w:val="22"/>
          <w:szCs w:val="22"/>
        </w:rPr>
        <w:t>In total, a</w:t>
      </w:r>
      <w:r w:rsidR="00F86B13" w:rsidRPr="003B013D">
        <w:rPr>
          <w:b/>
          <w:color w:val="002776" w:themeColor="text2"/>
          <w:sz w:val="22"/>
          <w:szCs w:val="22"/>
        </w:rPr>
        <w:t xml:space="preserve">pproximately </w:t>
      </w:r>
      <w:r w:rsidR="004A1F4D" w:rsidRPr="003B013D">
        <w:rPr>
          <w:b/>
          <w:color w:val="002776" w:themeColor="text2"/>
          <w:sz w:val="22"/>
          <w:szCs w:val="22"/>
        </w:rPr>
        <w:t>5</w:t>
      </w:r>
      <w:r w:rsidR="00F86B13" w:rsidRPr="003B013D">
        <w:rPr>
          <w:b/>
          <w:color w:val="002776" w:themeColor="text2"/>
          <w:sz w:val="22"/>
          <w:szCs w:val="22"/>
        </w:rPr>
        <w:t>% of international student enrolments are based in regional Australia</w:t>
      </w:r>
      <w:r w:rsidR="00F86B13" w:rsidRPr="00B63FAB">
        <w:rPr>
          <w:b/>
          <w:color w:val="auto"/>
          <w:sz w:val="22"/>
          <w:szCs w:val="22"/>
        </w:rPr>
        <w:t>,</w:t>
      </w:r>
      <w:r w:rsidR="00F86B13" w:rsidRPr="00B63FAB">
        <w:rPr>
          <w:b/>
          <w:color w:val="002776" w:themeColor="text2"/>
          <w:sz w:val="22"/>
          <w:szCs w:val="22"/>
        </w:rPr>
        <w:t xml:space="preserve"> </w:t>
      </w:r>
      <w:r w:rsidR="00F86B13" w:rsidRPr="00B63FAB">
        <w:rPr>
          <w:sz w:val="22"/>
          <w:szCs w:val="22"/>
        </w:rPr>
        <w:t xml:space="preserve">under </w:t>
      </w:r>
      <w:r w:rsidR="007730BE" w:rsidRPr="00B63FAB">
        <w:rPr>
          <w:sz w:val="22"/>
          <w:szCs w:val="22"/>
        </w:rPr>
        <w:t xml:space="preserve">the Australian Bureau of Statistics Australian Statistical Geography Standard </w:t>
      </w:r>
      <w:r w:rsidR="00B63FAB" w:rsidRPr="00B63FAB">
        <w:rPr>
          <w:sz w:val="22"/>
          <w:szCs w:val="22"/>
        </w:rPr>
        <w:t xml:space="preserve">- </w:t>
      </w:r>
      <w:r w:rsidR="007730BE" w:rsidRPr="00B63FAB">
        <w:rPr>
          <w:sz w:val="22"/>
          <w:szCs w:val="22"/>
        </w:rPr>
        <w:t>Statistical Areas Level 2 (</w:t>
      </w:r>
      <w:proofErr w:type="spellStart"/>
      <w:r w:rsidR="007730BE" w:rsidRPr="00B63FAB">
        <w:rPr>
          <w:sz w:val="22"/>
          <w:szCs w:val="22"/>
        </w:rPr>
        <w:t>ASGS</w:t>
      </w:r>
      <w:proofErr w:type="spellEnd"/>
      <w:r w:rsidR="007730BE" w:rsidRPr="00B63FAB">
        <w:rPr>
          <w:sz w:val="22"/>
          <w:szCs w:val="22"/>
        </w:rPr>
        <w:t xml:space="preserve"> </w:t>
      </w:r>
      <w:r w:rsidR="00B63FAB" w:rsidRPr="00B63FAB">
        <w:rPr>
          <w:sz w:val="22"/>
          <w:szCs w:val="22"/>
        </w:rPr>
        <w:t xml:space="preserve">- </w:t>
      </w:r>
      <w:proofErr w:type="spellStart"/>
      <w:r w:rsidR="007730BE" w:rsidRPr="00B63FAB">
        <w:rPr>
          <w:sz w:val="22"/>
          <w:szCs w:val="22"/>
        </w:rPr>
        <w:t>SA2</w:t>
      </w:r>
      <w:proofErr w:type="spellEnd"/>
      <w:r w:rsidR="007730BE" w:rsidRPr="00B63FAB">
        <w:rPr>
          <w:sz w:val="22"/>
          <w:szCs w:val="22"/>
        </w:rPr>
        <w:t xml:space="preserve">) definition of </w:t>
      </w:r>
      <w:r w:rsidR="00F86B13" w:rsidRPr="00B63FAB">
        <w:rPr>
          <w:sz w:val="22"/>
          <w:szCs w:val="22"/>
        </w:rPr>
        <w:t xml:space="preserve">regional </w:t>
      </w:r>
      <w:r w:rsidR="007730BE" w:rsidRPr="00B63FAB">
        <w:rPr>
          <w:sz w:val="22"/>
          <w:szCs w:val="22"/>
        </w:rPr>
        <w:t>areas</w:t>
      </w:r>
      <w:r w:rsidR="00F86B13">
        <w:t xml:space="preserve">. </w:t>
      </w:r>
    </w:p>
    <w:p w14:paraId="7D90FCE7" w14:textId="77777777" w:rsidR="003F0E69" w:rsidRDefault="00F86B13" w:rsidP="003F0E69">
      <w:pPr>
        <w:pStyle w:val="BodyText"/>
        <w:rPr>
          <w:lang w:eastAsia="en-AU"/>
        </w:rPr>
      </w:pPr>
      <w:r w:rsidRPr="007730BE">
        <w:rPr>
          <w:lang w:eastAsia="en-AU"/>
        </w:rPr>
        <w:t xml:space="preserve">Queensland has the highest proportion of its total international student enrolments in regional campuses, with </w:t>
      </w:r>
      <w:r w:rsidR="003F0E69" w:rsidRPr="00B334E1">
        <w:rPr>
          <w:lang w:eastAsia="en-AU"/>
        </w:rPr>
        <w:t>10</w:t>
      </w:r>
      <w:r w:rsidRPr="007730BE">
        <w:rPr>
          <w:lang w:eastAsia="en-AU"/>
        </w:rPr>
        <w:t xml:space="preserve">% of students studying outside of the greater Brisbane and Gold Coast regions. </w:t>
      </w:r>
      <w:r>
        <w:rPr>
          <w:lang w:eastAsia="en-AU"/>
        </w:rPr>
        <w:t xml:space="preserve">This is followed by </w:t>
      </w:r>
      <w:r w:rsidR="003F0E69">
        <w:rPr>
          <w:lang w:eastAsia="en-AU"/>
        </w:rPr>
        <w:t>New South Wales</w:t>
      </w:r>
      <w:r>
        <w:rPr>
          <w:lang w:eastAsia="en-AU"/>
        </w:rPr>
        <w:t xml:space="preserve">, with </w:t>
      </w:r>
      <w:r w:rsidR="003F0E69">
        <w:rPr>
          <w:lang w:eastAsia="en-AU"/>
        </w:rPr>
        <w:t>8</w:t>
      </w:r>
      <w:r>
        <w:rPr>
          <w:lang w:eastAsia="en-AU"/>
        </w:rPr>
        <w:t xml:space="preserve">% of the state’s international student enrolments in regional </w:t>
      </w:r>
      <w:r w:rsidR="003F0E69">
        <w:rPr>
          <w:lang w:eastAsia="en-AU"/>
        </w:rPr>
        <w:t xml:space="preserve">areas. </w:t>
      </w:r>
    </w:p>
    <w:p w14:paraId="3E4326D3" w14:textId="2FBCE62C" w:rsidR="00F86B13" w:rsidRDefault="00F86B13" w:rsidP="00F86B13">
      <w:pPr>
        <w:pStyle w:val="BodyText"/>
      </w:pPr>
      <w:r>
        <w:t>The postcode data from the D</w:t>
      </w:r>
      <w:r w:rsidR="003F0E69">
        <w:t xml:space="preserve">epartment of </w:t>
      </w:r>
      <w:r>
        <w:t>E</w:t>
      </w:r>
      <w:r w:rsidR="003F0E69">
        <w:t xml:space="preserve">ducation and </w:t>
      </w:r>
      <w:r>
        <w:t>T</w:t>
      </w:r>
      <w:r w:rsidR="003F0E69">
        <w:t>raining</w:t>
      </w:r>
      <w:r>
        <w:t xml:space="preserve"> </w:t>
      </w:r>
      <w:r w:rsidR="003F0E69">
        <w:t>was also</w:t>
      </w:r>
      <w:r>
        <w:t xml:space="preserve"> matched to ABS </w:t>
      </w:r>
      <w:r w:rsidR="00B334E1">
        <w:t>Statistical Area Level 4 (</w:t>
      </w:r>
      <w:proofErr w:type="spellStart"/>
      <w:r>
        <w:t>SA4</w:t>
      </w:r>
      <w:proofErr w:type="spellEnd"/>
      <w:r w:rsidR="00B334E1">
        <w:t>)</w:t>
      </w:r>
      <w:r>
        <w:t xml:space="preserve"> regions</w:t>
      </w:r>
      <w:r w:rsidR="003F0E69">
        <w:t xml:space="preserve"> and classified based on whether each region was in a capital city or not.</w:t>
      </w:r>
      <w:r>
        <w:t xml:space="preserve"> </w:t>
      </w:r>
      <w:r w:rsidR="003F0E69">
        <w:t>T</w:t>
      </w:r>
      <w:r>
        <w:t xml:space="preserve">he biggest capital and non-capital </w:t>
      </w:r>
      <w:proofErr w:type="spellStart"/>
      <w:r>
        <w:t>SA4s</w:t>
      </w:r>
      <w:proofErr w:type="spellEnd"/>
      <w:r>
        <w:t xml:space="preserve"> by student enrolments as a proportion of each state’s total international enrolments are presented below in</w:t>
      </w:r>
      <w:r w:rsidR="0091099E">
        <w:t xml:space="preserve"> </w:t>
      </w:r>
      <w:r w:rsidR="0091099E">
        <w:fldChar w:fldCharType="begin"/>
      </w:r>
      <w:r w:rsidR="0091099E">
        <w:instrText xml:space="preserve"> REF _Ref437419849 \r \h </w:instrText>
      </w:r>
      <w:r w:rsidR="0091099E">
        <w:fldChar w:fldCharType="separate"/>
      </w:r>
      <w:r w:rsidR="00F03FA0">
        <w:t>Figure 4.1</w:t>
      </w:r>
      <w:r w:rsidR="0091099E">
        <w:fldChar w:fldCharType="end"/>
      </w:r>
      <w:r>
        <w:t xml:space="preserve">. </w:t>
      </w:r>
    </w:p>
    <w:p w14:paraId="31353EB3" w14:textId="77777777" w:rsidR="003B4DD4" w:rsidRDefault="0091099E" w:rsidP="003B4DD4">
      <w:pPr>
        <w:pStyle w:val="CaptionFigure"/>
      </w:pPr>
      <w:bookmarkStart w:id="183" w:name="_Ref437419849"/>
      <w:bookmarkStart w:id="184" w:name="_Toc450809296"/>
      <w:r>
        <w:rPr>
          <w:lang w:eastAsia="en-AU"/>
        </w:rPr>
        <w:lastRenderedPageBreak/>
        <w:t xml:space="preserve">: </w:t>
      </w:r>
      <w:r w:rsidR="003B4DD4">
        <w:rPr>
          <w:lang w:eastAsia="en-AU"/>
        </w:rPr>
        <w:t xml:space="preserve">Biggest campuses by capital and non-capital </w:t>
      </w:r>
      <w:proofErr w:type="spellStart"/>
      <w:r w:rsidR="003B4DD4">
        <w:rPr>
          <w:lang w:eastAsia="en-AU"/>
        </w:rPr>
        <w:t>SA4</w:t>
      </w:r>
      <w:proofErr w:type="spellEnd"/>
      <w:r w:rsidR="003B4DD4">
        <w:rPr>
          <w:lang w:eastAsia="en-AU"/>
        </w:rPr>
        <w:t xml:space="preserve"> regions</w:t>
      </w:r>
      <w:r w:rsidR="003B4DD4">
        <w:t>, 2015</w:t>
      </w:r>
      <w:bookmarkEnd w:id="183"/>
      <w:bookmarkEnd w:id="184"/>
    </w:p>
    <w:p w14:paraId="62B32EE5" w14:textId="77777777" w:rsidR="003B4DD4" w:rsidRDefault="003B4DD4" w:rsidP="00326F8D">
      <w:pPr>
        <w:pStyle w:val="BodyText"/>
      </w:pPr>
      <w:r w:rsidRPr="00ED2E8D">
        <w:rPr>
          <w:noProof/>
          <w:lang w:eastAsia="en-AU"/>
        </w:rPr>
        <w:drawing>
          <wp:inline distT="0" distB="0" distL="0" distR="0" wp14:anchorId="6ABF0558" wp14:editId="11700804">
            <wp:extent cx="5779067" cy="3168000"/>
            <wp:effectExtent l="0" t="0" r="0" b="7620"/>
            <wp:docPr id="57" name="Picture 57" descr="The figure shows the biggest capital and non-capital in Australian Bureau of Statistics Statistical Area Level 4 regions by student enrolments as a proportion of each state’s total international enrolments in year 2015.&#10;" title="Figure 4.1: Biggest campuses by capital and non-capital SA4 regions,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79067" cy="3168000"/>
                    </a:xfrm>
                    <a:prstGeom prst="rect">
                      <a:avLst/>
                    </a:prstGeom>
                    <a:noFill/>
                    <a:ln>
                      <a:noFill/>
                    </a:ln>
                  </pic:spPr>
                </pic:pic>
              </a:graphicData>
            </a:graphic>
          </wp:inline>
        </w:drawing>
      </w:r>
    </w:p>
    <w:p w14:paraId="0F1AE72E" w14:textId="77777777" w:rsidR="003B4DD4" w:rsidRDefault="003B4DD4" w:rsidP="00FC11BB">
      <w:pPr>
        <w:pStyle w:val="Source"/>
        <w:spacing w:after="0"/>
      </w:pPr>
      <w:r>
        <w:t>Source: Deloitte Access Economics</w:t>
      </w:r>
      <w:r w:rsidR="00285257">
        <w:t>.</w:t>
      </w:r>
    </w:p>
    <w:p w14:paraId="162376FA" w14:textId="77777777" w:rsidR="00FC11BB" w:rsidRDefault="00FC11BB" w:rsidP="00FC11BB">
      <w:pPr>
        <w:pStyle w:val="Source"/>
        <w:spacing w:after="0"/>
      </w:pPr>
      <w:r>
        <w:t xml:space="preserve">Note: the total does not necessarily add up to 100% in all states as only </w:t>
      </w:r>
      <w:proofErr w:type="spellStart"/>
      <w:r>
        <w:t>SA4s</w:t>
      </w:r>
      <w:proofErr w:type="spellEnd"/>
      <w:r>
        <w:t xml:space="preserve"> with relatively large international student populations are included.</w:t>
      </w:r>
    </w:p>
    <w:p w14:paraId="69980F30" w14:textId="77777777" w:rsidR="00F86B13" w:rsidRDefault="003F0E69" w:rsidP="003B4DD4">
      <w:pPr>
        <w:pStyle w:val="BodyText"/>
      </w:pPr>
      <w:r>
        <w:t>In South Australia,</w:t>
      </w:r>
      <w:r w:rsidR="00F86B13">
        <w:t xml:space="preserve"> the </w:t>
      </w:r>
      <w:proofErr w:type="spellStart"/>
      <w:r w:rsidR="00F86B13">
        <w:t>SA4</w:t>
      </w:r>
      <w:proofErr w:type="spellEnd"/>
      <w:r w:rsidR="00F86B13">
        <w:t xml:space="preserve"> outside of Adelaide with the largest proportion of the state’s international students, South East, only makes up approximately 0.1% of total international enrolments in the state. This suggests that most of the international students studying in South Australia are based in Adelaide. In comparison, Tasmania has a higher proportion (4%) of the state’s international students enrolled outside of Hobart. Launceston and North East is the most popular non-capital </w:t>
      </w:r>
      <w:proofErr w:type="spellStart"/>
      <w:r w:rsidR="00F86B13">
        <w:t>SA4</w:t>
      </w:r>
      <w:proofErr w:type="spellEnd"/>
      <w:r w:rsidR="00F86B13">
        <w:t>, with 2% of students enrolled there.</w:t>
      </w:r>
    </w:p>
    <w:p w14:paraId="098B9163" w14:textId="77777777" w:rsidR="00F86B13" w:rsidRDefault="00F86B13" w:rsidP="00F86B13">
      <w:pPr>
        <w:pStyle w:val="BodyText"/>
      </w:pPr>
      <w:r>
        <w:t xml:space="preserve">In New South Wales, the three </w:t>
      </w:r>
      <w:proofErr w:type="spellStart"/>
      <w:r>
        <w:t>SA4s</w:t>
      </w:r>
      <w:proofErr w:type="spellEnd"/>
      <w:r>
        <w:t xml:space="preserve"> with the greatest proportion of international enrolments outside of Sydney are: (1) Illawarra, which is home to the University of Wollongong and the Illawarra Institute of TAFE; (2) Newcastle and Lake Macquarie, home to the University of Newcastle and the Hunter Institute of TAFE; and (3) New England and North West, home to the University of New England and the New England Institute of TAFE.</w:t>
      </w:r>
    </w:p>
    <w:p w14:paraId="4A553A7D" w14:textId="77777777" w:rsidR="00F86B13" w:rsidRDefault="00F86B13" w:rsidP="00F86B13">
      <w:pPr>
        <w:pStyle w:val="BodyText"/>
      </w:pPr>
      <w:r>
        <w:t xml:space="preserve">In Victoria, the three non-capital </w:t>
      </w:r>
      <w:proofErr w:type="spellStart"/>
      <w:r>
        <w:t>SA4s</w:t>
      </w:r>
      <w:proofErr w:type="spellEnd"/>
      <w:r>
        <w:t xml:space="preserve"> most popular with international students are: (1) Geelong, which has a Deakin University campus and a number of public and private schools that cater to overseas students; and (2) Warrnambool and South West, which has a Deakin University campus. Other regional </w:t>
      </w:r>
      <w:proofErr w:type="spellStart"/>
      <w:r>
        <w:t>SA4s</w:t>
      </w:r>
      <w:proofErr w:type="spellEnd"/>
      <w:r>
        <w:t xml:space="preserve"> with sizeable international student enrolments include the </w:t>
      </w:r>
      <w:r w:rsidRPr="00812EDA">
        <w:t>Mornington Peninsula</w:t>
      </w:r>
      <w:r>
        <w:t xml:space="preserve"> and Ballarat.  </w:t>
      </w:r>
    </w:p>
    <w:p w14:paraId="42B197BD" w14:textId="77777777" w:rsidR="00F86B13" w:rsidRDefault="00F86B13" w:rsidP="00F86B13">
      <w:pPr>
        <w:pStyle w:val="BodyText"/>
      </w:pPr>
      <w:r>
        <w:t xml:space="preserve">Queensland has the largest proportion of international students in a non-capital </w:t>
      </w:r>
      <w:proofErr w:type="spellStart"/>
      <w:r>
        <w:t>SA4</w:t>
      </w:r>
      <w:proofErr w:type="spellEnd"/>
      <w:r>
        <w:t xml:space="preserve">, with 13% of students based in the Gold Coast. The Sunshine Coast, Toowoomba, and Townsville are also popular destinations for international students. </w:t>
      </w:r>
    </w:p>
    <w:p w14:paraId="32170EB2" w14:textId="77777777" w:rsidR="00F86B13" w:rsidRPr="00F23FEA" w:rsidRDefault="00F86B13" w:rsidP="00D72A59">
      <w:pPr>
        <w:pStyle w:val="Heading2"/>
        <w:rPr>
          <w:lang w:eastAsia="en-AU"/>
        </w:rPr>
      </w:pPr>
      <w:bookmarkStart w:id="185" w:name="_Toc450809243"/>
      <w:r w:rsidRPr="00F23FEA">
        <w:rPr>
          <w:lang w:eastAsia="en-AU"/>
        </w:rPr>
        <w:lastRenderedPageBreak/>
        <w:t>Impact of international education on regional areas</w:t>
      </w:r>
      <w:bookmarkEnd w:id="185"/>
    </w:p>
    <w:p w14:paraId="399B7EC2" w14:textId="77777777" w:rsidR="00F86B13" w:rsidRPr="00F23FEA" w:rsidRDefault="00F86B13" w:rsidP="00F86B13">
      <w:pPr>
        <w:spacing w:before="240"/>
        <w:jc w:val="both"/>
        <w:rPr>
          <w:lang w:eastAsia="en-AU"/>
        </w:rPr>
      </w:pPr>
      <w:r w:rsidRPr="00F23FEA">
        <w:rPr>
          <w:lang w:eastAsia="en-AU"/>
        </w:rPr>
        <w:t>While only a small absolute number of international students choose to study in regional area</w:t>
      </w:r>
      <w:r>
        <w:rPr>
          <w:lang w:eastAsia="en-AU"/>
        </w:rPr>
        <w:t>s</w:t>
      </w:r>
      <w:r w:rsidRPr="00F23FEA">
        <w:rPr>
          <w:lang w:eastAsia="en-AU"/>
        </w:rPr>
        <w:t>, they can still make up a sizeable proportion of the local campus and community population</w:t>
      </w:r>
      <w:r>
        <w:rPr>
          <w:lang w:eastAsia="en-AU"/>
        </w:rPr>
        <w:t>s</w:t>
      </w:r>
      <w:r w:rsidRPr="00F23FEA">
        <w:rPr>
          <w:lang w:eastAsia="en-AU"/>
        </w:rPr>
        <w:t xml:space="preserve">. </w:t>
      </w:r>
      <w:r w:rsidR="00883A70">
        <w:rPr>
          <w:lang w:eastAsia="en-AU"/>
        </w:rPr>
        <w:t xml:space="preserve">To explore this theme further, this section provides a case study of the economic and social importance of international students at the University of New England to the Armidale region in NSW. </w:t>
      </w:r>
      <w:r w:rsidRPr="000349C1">
        <w:rPr>
          <w:b/>
          <w:color w:val="002776"/>
          <w:lang w:eastAsia="en-AU"/>
        </w:rPr>
        <w:t>Deloitte Access Economics estimate that international students studying at the University of New England contribut</w:t>
      </w:r>
      <w:r w:rsidR="00C70711">
        <w:rPr>
          <w:b/>
          <w:color w:val="002776"/>
          <w:lang w:eastAsia="en-AU"/>
        </w:rPr>
        <w:t>ed</w:t>
      </w:r>
      <w:r w:rsidRPr="000349C1">
        <w:rPr>
          <w:b/>
          <w:color w:val="002776"/>
          <w:lang w:eastAsia="en-AU"/>
        </w:rPr>
        <w:t xml:space="preserve"> a total of $33 million to the local economy in 2014-15, equivalent to 2.5% of gross regional product</w:t>
      </w:r>
      <w:r w:rsidRPr="00F23FEA">
        <w:rPr>
          <w:b/>
          <w:i/>
          <w:color w:val="002776"/>
          <w:lang w:eastAsia="en-AU"/>
        </w:rPr>
        <w:t>.</w:t>
      </w:r>
      <w:r w:rsidRPr="00F23FEA">
        <w:rPr>
          <w:lang w:eastAsia="en-AU"/>
        </w:rPr>
        <w:t xml:space="preserve"> In addition to the economic </w:t>
      </w:r>
      <w:r w:rsidR="00CE01E6">
        <w:rPr>
          <w:lang w:eastAsia="en-AU"/>
        </w:rPr>
        <w:t>contribution of international students</w:t>
      </w:r>
      <w:r w:rsidRPr="00F23FEA">
        <w:rPr>
          <w:lang w:eastAsia="en-AU"/>
        </w:rPr>
        <w:t xml:space="preserve">, </w:t>
      </w:r>
      <w:r>
        <w:rPr>
          <w:lang w:eastAsia="en-AU"/>
        </w:rPr>
        <w:t>stakeholders</w:t>
      </w:r>
      <w:r w:rsidRPr="00F23FEA">
        <w:rPr>
          <w:lang w:eastAsia="en-AU"/>
        </w:rPr>
        <w:t xml:space="preserve"> have </w:t>
      </w:r>
      <w:r>
        <w:rPr>
          <w:lang w:eastAsia="en-AU"/>
        </w:rPr>
        <w:t>emphasised</w:t>
      </w:r>
      <w:r w:rsidRPr="00F23FEA">
        <w:rPr>
          <w:lang w:eastAsia="en-AU"/>
        </w:rPr>
        <w:t xml:space="preserve"> </w:t>
      </w:r>
      <w:r>
        <w:rPr>
          <w:lang w:eastAsia="en-AU"/>
        </w:rPr>
        <w:t>the</w:t>
      </w:r>
      <w:r w:rsidRPr="00F23FEA">
        <w:rPr>
          <w:lang w:eastAsia="en-AU"/>
        </w:rPr>
        <w:t xml:space="preserve"> other positive non-economic contributions</w:t>
      </w:r>
      <w:r>
        <w:rPr>
          <w:lang w:eastAsia="en-AU"/>
        </w:rPr>
        <w:t xml:space="preserve"> international students can make</w:t>
      </w:r>
      <w:r w:rsidRPr="00F23FEA">
        <w:rPr>
          <w:lang w:eastAsia="en-AU"/>
        </w:rPr>
        <w:t xml:space="preserve"> to their regional communities. </w:t>
      </w:r>
    </w:p>
    <w:p w14:paraId="1D5AA5E1" w14:textId="77777777" w:rsidR="00F86B13" w:rsidRPr="000349C1" w:rsidRDefault="00F86B13" w:rsidP="00F86B13">
      <w:pPr>
        <w:spacing w:before="240"/>
        <w:jc w:val="both"/>
        <w:rPr>
          <w:b/>
          <w:color w:val="002776"/>
          <w:lang w:eastAsia="en-AU"/>
        </w:rPr>
      </w:pPr>
      <w:r w:rsidRPr="00F23FEA">
        <w:rPr>
          <w:lang w:eastAsia="en-AU"/>
        </w:rPr>
        <w:t xml:space="preserve">Further, international students studying and living in metropolitan areas are able to make a contribution to regional areas through indirect industry linkages. </w:t>
      </w:r>
      <w:r w:rsidR="00883A70">
        <w:rPr>
          <w:lang w:eastAsia="en-AU"/>
        </w:rPr>
        <w:t xml:space="preserve">This section concludes by examining the extent to which expenditure on goods and services in Melbourne flows on to create value added in regional Victoria as a result of industry linkages. </w:t>
      </w:r>
    </w:p>
    <w:p w14:paraId="399A7491" w14:textId="77777777" w:rsidR="00F86B13" w:rsidRPr="00F23FEA" w:rsidRDefault="00F86B13" w:rsidP="00F86B13">
      <w:pPr>
        <w:keepNext/>
        <w:numPr>
          <w:ilvl w:val="2"/>
          <w:numId w:val="9"/>
        </w:numPr>
        <w:spacing w:before="240"/>
        <w:outlineLvl w:val="2"/>
        <w:rPr>
          <w:color w:val="00A1DE"/>
          <w:sz w:val="28"/>
          <w:lang w:eastAsia="en-AU"/>
        </w:rPr>
      </w:pPr>
      <w:r w:rsidRPr="00F23FEA">
        <w:rPr>
          <w:color w:val="00A1DE"/>
          <w:sz w:val="28"/>
          <w:lang w:eastAsia="en-AU"/>
        </w:rPr>
        <w:t xml:space="preserve">Case study – University of New England </w:t>
      </w:r>
    </w:p>
    <w:p w14:paraId="7576B19E" w14:textId="77777777" w:rsidR="00AF555D" w:rsidRDefault="00F86B13" w:rsidP="00E74E03">
      <w:pPr>
        <w:pStyle w:val="BodyText"/>
        <w:rPr>
          <w:lang w:eastAsia="en-AU"/>
        </w:rPr>
      </w:pPr>
      <w:r w:rsidRPr="00F23FEA">
        <w:rPr>
          <w:lang w:eastAsia="en-AU"/>
        </w:rPr>
        <w:t>The case study regional area of focus is the Local Government Area (</w:t>
      </w:r>
      <w:proofErr w:type="spellStart"/>
      <w:r w:rsidRPr="00F23FEA">
        <w:rPr>
          <w:lang w:eastAsia="en-AU"/>
        </w:rPr>
        <w:t>LGA</w:t>
      </w:r>
      <w:proofErr w:type="spellEnd"/>
      <w:r w:rsidRPr="00F23FEA">
        <w:rPr>
          <w:lang w:eastAsia="en-AU"/>
        </w:rPr>
        <w:t xml:space="preserve">) Armidale Dumaresq located in Northern New South Wales. </w:t>
      </w:r>
      <w:r w:rsidR="00AF555D">
        <w:rPr>
          <w:lang w:eastAsia="en-AU"/>
        </w:rPr>
        <w:t xml:space="preserve">Education and Training is the biggest single industry (by employment) in the region, employing 21% of the local work force in 2011. </w:t>
      </w:r>
      <w:r w:rsidR="00AF555D" w:rsidRPr="00F23FEA">
        <w:t>This is due to the presence of the University of New England, which is the single biggest employer in the town of Armidale</w:t>
      </w:r>
      <w:r w:rsidR="00AF555D">
        <w:t>.</w:t>
      </w:r>
    </w:p>
    <w:p w14:paraId="6588FD85" w14:textId="77777777" w:rsidR="00AF555D" w:rsidRDefault="001261E8" w:rsidP="00E74E03">
      <w:pPr>
        <w:pStyle w:val="BodyText"/>
        <w:rPr>
          <w:lang w:eastAsia="en-AU"/>
        </w:rPr>
      </w:pPr>
      <w:r>
        <w:rPr>
          <w:lang w:eastAsia="en-AU"/>
        </w:rPr>
        <w:t xml:space="preserve">In 2014, </w:t>
      </w:r>
      <w:r w:rsidR="00F86B13" w:rsidRPr="00F23FEA">
        <w:rPr>
          <w:lang w:eastAsia="en-AU"/>
        </w:rPr>
        <w:t>979 international students were enrolled</w:t>
      </w:r>
      <w:r w:rsidR="00AF555D">
        <w:rPr>
          <w:lang w:eastAsia="en-AU"/>
        </w:rPr>
        <w:t xml:space="preserve"> at the University</w:t>
      </w:r>
      <w:r w:rsidR="00F86B13" w:rsidRPr="00F23FEA">
        <w:rPr>
          <w:lang w:eastAsia="en-AU"/>
        </w:rPr>
        <w:t xml:space="preserve"> </w:t>
      </w:r>
      <w:r>
        <w:rPr>
          <w:lang w:eastAsia="en-AU"/>
        </w:rPr>
        <w:t>of New England</w:t>
      </w:r>
      <w:r w:rsidR="00F86B13" w:rsidRPr="00F23FEA">
        <w:rPr>
          <w:lang w:eastAsia="en-AU"/>
        </w:rPr>
        <w:t>,</w:t>
      </w:r>
      <w:r>
        <w:rPr>
          <w:lang w:eastAsia="en-AU"/>
        </w:rPr>
        <w:t xml:space="preserve"> constituting </w:t>
      </w:r>
      <w:r w:rsidR="00F86B13" w:rsidRPr="00F23FEA">
        <w:rPr>
          <w:lang w:eastAsia="en-AU"/>
        </w:rPr>
        <w:t>23% of</w:t>
      </w:r>
      <w:r w:rsidR="00AF555D">
        <w:rPr>
          <w:lang w:eastAsia="en-AU"/>
        </w:rPr>
        <w:t xml:space="preserve"> </w:t>
      </w:r>
      <w:r>
        <w:rPr>
          <w:lang w:eastAsia="en-AU"/>
        </w:rPr>
        <w:t>t</w:t>
      </w:r>
      <w:r w:rsidR="00AF555D">
        <w:rPr>
          <w:lang w:eastAsia="en-AU"/>
        </w:rPr>
        <w:t xml:space="preserve">otal </w:t>
      </w:r>
      <w:r>
        <w:rPr>
          <w:lang w:eastAsia="en-AU"/>
        </w:rPr>
        <w:t xml:space="preserve">on campus students </w:t>
      </w:r>
      <w:r w:rsidR="00AF555D">
        <w:rPr>
          <w:lang w:eastAsia="en-AU"/>
        </w:rPr>
        <w:t>(</w:t>
      </w:r>
      <w:proofErr w:type="spellStart"/>
      <w:r w:rsidR="00AF555D">
        <w:rPr>
          <w:lang w:eastAsia="en-AU"/>
        </w:rPr>
        <w:t>DET</w:t>
      </w:r>
      <w:proofErr w:type="spellEnd"/>
      <w:r w:rsidR="00AF555D">
        <w:rPr>
          <w:lang w:eastAsia="en-AU"/>
        </w:rPr>
        <w:t xml:space="preserve">, </w:t>
      </w:r>
      <w:proofErr w:type="spellStart"/>
      <w:r w:rsidR="00AF555D">
        <w:rPr>
          <w:lang w:eastAsia="en-AU"/>
        </w:rPr>
        <w:t>2015d</w:t>
      </w:r>
      <w:proofErr w:type="spellEnd"/>
      <w:r w:rsidR="00AF555D">
        <w:rPr>
          <w:lang w:eastAsia="en-AU"/>
        </w:rPr>
        <w:t>)</w:t>
      </w:r>
      <w:r w:rsidR="00F86B13" w:rsidRPr="00F23FEA">
        <w:rPr>
          <w:lang w:eastAsia="en-AU"/>
        </w:rPr>
        <w:t xml:space="preserve">. Further, international students also represent a significant portion of the total local population, making up approximately 4% of the </w:t>
      </w:r>
      <w:proofErr w:type="spellStart"/>
      <w:r w:rsidR="00F86B13" w:rsidRPr="00F23FEA">
        <w:rPr>
          <w:lang w:eastAsia="en-AU"/>
        </w:rPr>
        <w:t>LGA</w:t>
      </w:r>
      <w:proofErr w:type="spellEnd"/>
      <w:r w:rsidR="00F86B13" w:rsidRPr="00F23FEA">
        <w:rPr>
          <w:lang w:eastAsia="en-AU"/>
        </w:rPr>
        <w:t xml:space="preserve"> population. This is higher than the State average, where international student enrolments make up 3% of the total New South Wales population.</w:t>
      </w:r>
    </w:p>
    <w:p w14:paraId="5372D293" w14:textId="77777777" w:rsidR="00AF555D" w:rsidRDefault="00AF555D" w:rsidP="00E74E03">
      <w:pPr>
        <w:pStyle w:val="BodyText"/>
        <w:rPr>
          <w:lang w:eastAsia="en-AU"/>
        </w:rPr>
      </w:pPr>
      <w:r>
        <w:rPr>
          <w:lang w:eastAsia="en-AU"/>
        </w:rPr>
        <w:t xml:space="preserve">Stakeholders have highlighted that </w:t>
      </w:r>
      <w:r w:rsidRPr="00F23FEA">
        <w:rPr>
          <w:lang w:eastAsia="en-AU"/>
        </w:rPr>
        <w:t xml:space="preserve">regional universities are </w:t>
      </w:r>
      <w:r>
        <w:rPr>
          <w:lang w:eastAsia="en-AU"/>
        </w:rPr>
        <w:t xml:space="preserve">also </w:t>
      </w:r>
      <w:r w:rsidRPr="00F23FEA">
        <w:rPr>
          <w:lang w:eastAsia="en-AU"/>
        </w:rPr>
        <w:t>more likely to attract research students to their fields of expertise</w:t>
      </w:r>
      <w:r w:rsidR="00251F8B">
        <w:rPr>
          <w:lang w:eastAsia="en-AU"/>
        </w:rPr>
        <w:t xml:space="preserve">, with </w:t>
      </w:r>
      <w:r w:rsidR="00251F8B" w:rsidRPr="00F23FEA">
        <w:rPr>
          <w:lang w:eastAsia="en-AU"/>
        </w:rPr>
        <w:t xml:space="preserve">22% of international students in </w:t>
      </w:r>
      <w:proofErr w:type="spellStart"/>
      <w:r w:rsidR="00251F8B" w:rsidRPr="00F23FEA">
        <w:rPr>
          <w:lang w:eastAsia="en-AU"/>
        </w:rPr>
        <w:t>UNE</w:t>
      </w:r>
      <w:proofErr w:type="spellEnd"/>
      <w:r w:rsidR="00251F8B" w:rsidRPr="00F23FEA">
        <w:rPr>
          <w:lang w:eastAsia="en-AU"/>
        </w:rPr>
        <w:t xml:space="preserve"> completing a doctorate by research</w:t>
      </w:r>
      <w:r w:rsidR="00251F8B">
        <w:rPr>
          <w:lang w:eastAsia="en-AU"/>
        </w:rPr>
        <w:t xml:space="preserve"> compared to just 6% for the state</w:t>
      </w:r>
      <w:r>
        <w:rPr>
          <w:lang w:eastAsia="en-AU"/>
        </w:rPr>
        <w:t xml:space="preserve">. A detailed </w:t>
      </w:r>
      <w:r w:rsidR="00251F8B">
        <w:rPr>
          <w:lang w:eastAsia="en-AU"/>
        </w:rPr>
        <w:t>Armidale case study</w:t>
      </w:r>
      <w:r>
        <w:rPr>
          <w:lang w:eastAsia="en-AU"/>
        </w:rPr>
        <w:t xml:space="preserve"> can be found in </w:t>
      </w:r>
      <w:r w:rsidR="00251F8B">
        <w:rPr>
          <w:lang w:eastAsia="en-AU"/>
        </w:rPr>
        <w:fldChar w:fldCharType="begin"/>
      </w:r>
      <w:r w:rsidR="00251F8B">
        <w:rPr>
          <w:lang w:eastAsia="en-AU"/>
        </w:rPr>
        <w:instrText xml:space="preserve"> REF _Ref442337741 \r \h </w:instrText>
      </w:r>
      <w:r w:rsidR="00251F8B">
        <w:rPr>
          <w:lang w:eastAsia="en-AU"/>
        </w:rPr>
      </w:r>
      <w:r w:rsidR="00251F8B">
        <w:rPr>
          <w:lang w:eastAsia="en-AU"/>
        </w:rPr>
        <w:fldChar w:fldCharType="separate"/>
      </w:r>
      <w:r w:rsidR="00F03FA0">
        <w:rPr>
          <w:lang w:eastAsia="en-AU"/>
        </w:rPr>
        <w:t>Appendix E</w:t>
      </w:r>
      <w:r w:rsidR="00251F8B">
        <w:rPr>
          <w:lang w:eastAsia="en-AU"/>
        </w:rPr>
        <w:fldChar w:fldCharType="end"/>
      </w:r>
      <w:r>
        <w:rPr>
          <w:lang w:eastAsia="en-AU"/>
        </w:rPr>
        <w:t>.</w:t>
      </w:r>
    </w:p>
    <w:p w14:paraId="77052385" w14:textId="77777777" w:rsidR="00F86B13" w:rsidRPr="00F23FEA" w:rsidRDefault="00F86B13" w:rsidP="00163EA3">
      <w:pPr>
        <w:pStyle w:val="HeadingC"/>
        <w:outlineLvl w:val="0"/>
        <w:rPr>
          <w:lang w:eastAsia="en-AU"/>
        </w:rPr>
      </w:pPr>
      <w:r w:rsidRPr="00F23FEA">
        <w:rPr>
          <w:lang w:eastAsia="en-AU"/>
        </w:rPr>
        <w:t>Economic contribution</w:t>
      </w:r>
    </w:p>
    <w:p w14:paraId="1B30A885" w14:textId="77777777" w:rsidR="00F86B13" w:rsidRPr="00F23FEA" w:rsidRDefault="00F86B13" w:rsidP="00F86B13">
      <w:pPr>
        <w:spacing w:before="240"/>
        <w:jc w:val="both"/>
        <w:rPr>
          <w:lang w:eastAsia="en-AU"/>
        </w:rPr>
      </w:pPr>
      <w:r w:rsidRPr="00F23FEA">
        <w:rPr>
          <w:lang w:eastAsia="en-AU"/>
        </w:rPr>
        <w:t>This section estimate</w:t>
      </w:r>
      <w:r w:rsidR="00CE01E6">
        <w:rPr>
          <w:lang w:eastAsia="en-AU"/>
        </w:rPr>
        <w:t>s</w:t>
      </w:r>
      <w:r w:rsidRPr="00F23FEA">
        <w:rPr>
          <w:lang w:eastAsia="en-AU"/>
        </w:rPr>
        <w:t xml:space="preserve"> the direct and indirect economic contribution of international students at the </w:t>
      </w:r>
      <w:proofErr w:type="spellStart"/>
      <w:r>
        <w:rPr>
          <w:lang w:eastAsia="en-AU"/>
        </w:rPr>
        <w:t>UNE</w:t>
      </w:r>
      <w:proofErr w:type="spellEnd"/>
      <w:r w:rsidRPr="00F23FEA">
        <w:rPr>
          <w:lang w:eastAsia="en-AU"/>
        </w:rPr>
        <w:t xml:space="preserve"> to the Armidale Dumaresq </w:t>
      </w:r>
      <w:proofErr w:type="spellStart"/>
      <w:r w:rsidRPr="00F23FEA">
        <w:rPr>
          <w:lang w:eastAsia="en-AU"/>
        </w:rPr>
        <w:t>LGA</w:t>
      </w:r>
      <w:proofErr w:type="spellEnd"/>
      <w:r w:rsidRPr="00F23FEA">
        <w:rPr>
          <w:lang w:eastAsia="en-AU"/>
        </w:rPr>
        <w:t xml:space="preserve"> using the assumptions and methodology outlined in</w:t>
      </w:r>
      <w:r w:rsidR="00EA4CC2">
        <w:rPr>
          <w:lang w:eastAsia="en-AU"/>
        </w:rPr>
        <w:t xml:space="preserve"> </w:t>
      </w:r>
      <w:r w:rsidR="00251F8B">
        <w:rPr>
          <w:lang w:eastAsia="en-AU"/>
        </w:rPr>
        <w:fldChar w:fldCharType="begin"/>
      </w:r>
      <w:r w:rsidR="00251F8B">
        <w:rPr>
          <w:lang w:eastAsia="en-AU"/>
        </w:rPr>
        <w:instrText xml:space="preserve"> REF _Ref442337741 \r \h </w:instrText>
      </w:r>
      <w:r w:rsidR="00251F8B">
        <w:rPr>
          <w:lang w:eastAsia="en-AU"/>
        </w:rPr>
      </w:r>
      <w:r w:rsidR="00251F8B">
        <w:rPr>
          <w:lang w:eastAsia="en-AU"/>
        </w:rPr>
        <w:fldChar w:fldCharType="separate"/>
      </w:r>
      <w:r w:rsidR="00F03FA0">
        <w:rPr>
          <w:lang w:eastAsia="en-AU"/>
        </w:rPr>
        <w:t>Appendix E</w:t>
      </w:r>
      <w:r w:rsidR="00251F8B">
        <w:rPr>
          <w:lang w:eastAsia="en-AU"/>
        </w:rPr>
        <w:fldChar w:fldCharType="end"/>
      </w:r>
      <w:r>
        <w:rPr>
          <w:lang w:eastAsia="en-AU"/>
        </w:rPr>
        <w:t>.</w:t>
      </w:r>
      <w:r w:rsidRPr="00F23FEA">
        <w:rPr>
          <w:lang w:eastAsia="en-AU"/>
        </w:rPr>
        <w:t xml:space="preserve"> Although consultation participants have noted that international students at the University often have children and will indirectly contribute to the local schools sector, this analysis does not include the expenditure associated with those additional international students.</w:t>
      </w:r>
    </w:p>
    <w:p w14:paraId="34BDABE4" w14:textId="77777777" w:rsidR="00F86B13" w:rsidRPr="00F23FEA" w:rsidRDefault="00F86B13" w:rsidP="00F86B13">
      <w:pPr>
        <w:spacing w:before="240"/>
        <w:jc w:val="both"/>
        <w:rPr>
          <w:lang w:eastAsia="en-AU"/>
        </w:rPr>
      </w:pPr>
      <w:r>
        <w:rPr>
          <w:lang w:eastAsia="en-AU"/>
        </w:rPr>
        <w:lastRenderedPageBreak/>
        <w:t>Deloitte Access Economics</w:t>
      </w:r>
      <w:r w:rsidRPr="00F23FEA">
        <w:rPr>
          <w:lang w:eastAsia="en-AU"/>
        </w:rPr>
        <w:t xml:space="preserve"> estimates that </w:t>
      </w:r>
      <w:r w:rsidRPr="000349C1">
        <w:rPr>
          <w:b/>
          <w:color w:val="002776"/>
          <w:lang w:eastAsia="en-AU"/>
        </w:rPr>
        <w:t xml:space="preserve">international students studying at the University and living in Armidale contributed a total of $33 million in value added to the Armidale Dumaresq </w:t>
      </w:r>
      <w:proofErr w:type="spellStart"/>
      <w:r w:rsidRPr="000349C1">
        <w:rPr>
          <w:b/>
          <w:color w:val="002776"/>
          <w:lang w:eastAsia="en-AU"/>
        </w:rPr>
        <w:t>LGA</w:t>
      </w:r>
      <w:proofErr w:type="spellEnd"/>
      <w:r w:rsidRPr="000349C1">
        <w:rPr>
          <w:b/>
          <w:color w:val="002776"/>
          <w:lang w:eastAsia="en-AU"/>
        </w:rPr>
        <w:t xml:space="preserve"> in financial year 2014-15, equivalent to approximately 2.5% of GRP</w:t>
      </w:r>
      <w:r w:rsidRPr="00F23FEA">
        <w:rPr>
          <w:b/>
          <w:i/>
          <w:color w:val="002776"/>
          <w:lang w:eastAsia="en-AU"/>
        </w:rPr>
        <w:t xml:space="preserve"> </w:t>
      </w:r>
      <w:r w:rsidRPr="00F23FEA">
        <w:rPr>
          <w:lang w:eastAsia="en-AU"/>
        </w:rPr>
        <w:t>(</w:t>
      </w:r>
      <w:r w:rsidR="00883A70">
        <w:rPr>
          <w:lang w:eastAsia="en-AU"/>
        </w:rPr>
        <w:t xml:space="preserve">see </w:t>
      </w:r>
      <w:r w:rsidR="00883A70">
        <w:rPr>
          <w:lang w:eastAsia="en-AU"/>
        </w:rPr>
        <w:fldChar w:fldCharType="begin"/>
      </w:r>
      <w:r w:rsidR="00883A70">
        <w:rPr>
          <w:lang w:eastAsia="en-AU"/>
        </w:rPr>
        <w:instrText xml:space="preserve"> REF _Ref437338679 \r \h </w:instrText>
      </w:r>
      <w:r w:rsidR="00883A70">
        <w:rPr>
          <w:lang w:eastAsia="en-AU"/>
        </w:rPr>
      </w:r>
      <w:r w:rsidR="00883A70">
        <w:rPr>
          <w:lang w:eastAsia="en-AU"/>
        </w:rPr>
        <w:fldChar w:fldCharType="separate"/>
      </w:r>
      <w:r w:rsidR="00F03FA0">
        <w:rPr>
          <w:lang w:eastAsia="en-AU"/>
        </w:rPr>
        <w:t>Table 4.3</w:t>
      </w:r>
      <w:r w:rsidR="00883A70">
        <w:rPr>
          <w:lang w:eastAsia="en-AU"/>
        </w:rPr>
        <w:fldChar w:fldCharType="end"/>
      </w:r>
      <w:r w:rsidRPr="00F23FEA">
        <w:rPr>
          <w:lang w:eastAsia="en-AU"/>
        </w:rPr>
        <w:t>)</w:t>
      </w:r>
      <w:r w:rsidRPr="00F23FEA">
        <w:rPr>
          <w:b/>
          <w:i/>
          <w:color w:val="002776"/>
          <w:lang w:eastAsia="en-AU"/>
        </w:rPr>
        <w:t>.</w:t>
      </w:r>
      <w:r w:rsidRPr="00F23FEA">
        <w:rPr>
          <w:color w:val="002776"/>
          <w:lang w:eastAsia="en-AU"/>
        </w:rPr>
        <w:t xml:space="preserve"> </w:t>
      </w:r>
      <w:r w:rsidRPr="00F23FEA">
        <w:rPr>
          <w:lang w:eastAsia="en-AU"/>
        </w:rPr>
        <w:t>This is a higher proportion than the national average of 1.</w:t>
      </w:r>
      <w:r w:rsidR="00906682">
        <w:rPr>
          <w:lang w:eastAsia="en-AU"/>
        </w:rPr>
        <w:t>0</w:t>
      </w:r>
      <w:r w:rsidRPr="00F23FEA">
        <w:rPr>
          <w:lang w:eastAsia="en-AU"/>
        </w:rPr>
        <w:t xml:space="preserve">%. International students also supported </w:t>
      </w:r>
      <w:r w:rsidR="006F5CF3" w:rsidRPr="00F23FEA">
        <w:rPr>
          <w:lang w:eastAsia="en-AU"/>
        </w:rPr>
        <w:t>2</w:t>
      </w:r>
      <w:r w:rsidR="006F5CF3">
        <w:rPr>
          <w:lang w:eastAsia="en-AU"/>
        </w:rPr>
        <w:t>43</w:t>
      </w:r>
      <w:r w:rsidR="006F5CF3" w:rsidRPr="00F23FEA">
        <w:rPr>
          <w:lang w:eastAsia="en-AU"/>
        </w:rPr>
        <w:t xml:space="preserve"> </w:t>
      </w:r>
      <w:r w:rsidRPr="00F23FEA">
        <w:rPr>
          <w:lang w:eastAsia="en-AU"/>
        </w:rPr>
        <w:t xml:space="preserve">FTE jobs in the </w:t>
      </w:r>
      <w:proofErr w:type="spellStart"/>
      <w:r w:rsidRPr="00F23FEA">
        <w:rPr>
          <w:lang w:eastAsia="en-AU"/>
        </w:rPr>
        <w:t>LGA</w:t>
      </w:r>
      <w:proofErr w:type="spellEnd"/>
      <w:r w:rsidRPr="00F23FEA">
        <w:rPr>
          <w:lang w:eastAsia="en-AU"/>
        </w:rPr>
        <w:t xml:space="preserve">. In particular, their expenditure on goods and services make sizeable contributions to the </w:t>
      </w:r>
      <w:r>
        <w:rPr>
          <w:lang w:eastAsia="en-AU"/>
        </w:rPr>
        <w:t>owners of dwellings</w:t>
      </w:r>
      <w:r w:rsidRPr="00F23FEA">
        <w:rPr>
          <w:lang w:eastAsia="en-AU"/>
        </w:rPr>
        <w:t xml:space="preserve"> and </w:t>
      </w:r>
      <w:r>
        <w:rPr>
          <w:lang w:eastAsia="en-AU"/>
        </w:rPr>
        <w:t xml:space="preserve">the </w:t>
      </w:r>
      <w:r w:rsidRPr="00F23FEA">
        <w:rPr>
          <w:lang w:eastAsia="en-AU"/>
        </w:rPr>
        <w:t>retail trade sectors.</w:t>
      </w:r>
    </w:p>
    <w:p w14:paraId="6B781ECB" w14:textId="77777777" w:rsidR="00F86B13" w:rsidRPr="00F23FEA" w:rsidRDefault="00F86B13" w:rsidP="00D72A59">
      <w:pPr>
        <w:pStyle w:val="CaptionTable"/>
      </w:pPr>
      <w:bookmarkStart w:id="186" w:name="_Ref437338679"/>
      <w:bookmarkStart w:id="187" w:name="_Toc450809287"/>
      <w:r w:rsidRPr="00F23FEA">
        <w:t xml:space="preserve">: International Higher Education contribution to </w:t>
      </w:r>
      <w:proofErr w:type="spellStart"/>
      <w:r w:rsidRPr="00F23FEA">
        <w:t>LGA</w:t>
      </w:r>
      <w:proofErr w:type="spellEnd"/>
      <w:r w:rsidRPr="00F23FEA">
        <w:t>, 2014-15</w:t>
      </w:r>
      <w:bookmarkEnd w:id="186"/>
      <w:bookmarkEnd w:id="187"/>
    </w:p>
    <w:tbl>
      <w:tblPr>
        <w:tblW w:w="5000" w:type="pct"/>
        <w:tblBorders>
          <w:top w:val="single" w:sz="18" w:space="0" w:color="002776" w:themeColor="text2"/>
          <w:bottom w:val="single" w:sz="18" w:space="0" w:color="002776" w:themeColor="text2"/>
        </w:tblBorders>
        <w:tblLook w:val="04A0" w:firstRow="1" w:lastRow="0" w:firstColumn="1" w:lastColumn="0" w:noHBand="0" w:noVBand="1"/>
        <w:tblCaption w:val="Table 4.3: International Higher Education contribution to LGA, 2014–15"/>
        <w:tblDescription w:val="The table shows the amount of international higher education contribution to Local Government Area in financial year 2014–15."/>
      </w:tblPr>
      <w:tblGrid>
        <w:gridCol w:w="2925"/>
        <w:gridCol w:w="1799"/>
        <w:gridCol w:w="1940"/>
        <w:gridCol w:w="1772"/>
      </w:tblGrid>
      <w:tr w:rsidR="00F86B13" w:rsidRPr="00F23FEA" w14:paraId="4E9C4B7D" w14:textId="77777777" w:rsidTr="006F5CF3">
        <w:trPr>
          <w:trHeight w:val="255"/>
        </w:trPr>
        <w:tc>
          <w:tcPr>
            <w:tcW w:w="1734" w:type="pct"/>
            <w:tcBorders>
              <w:top w:val="single" w:sz="18" w:space="0" w:color="002776" w:themeColor="text2"/>
              <w:bottom w:val="single" w:sz="8" w:space="0" w:color="002776" w:themeColor="text2"/>
            </w:tcBorders>
            <w:shd w:val="clear" w:color="auto" w:fill="auto"/>
            <w:noWrap/>
            <w:vAlign w:val="bottom"/>
            <w:hideMark/>
          </w:tcPr>
          <w:p w14:paraId="7A425132" w14:textId="77777777" w:rsidR="00F86B13" w:rsidRPr="00F23FEA" w:rsidRDefault="00F86B13" w:rsidP="006772A3">
            <w:pPr>
              <w:rPr>
                <w:rFonts w:cs="Arial"/>
                <w:b/>
                <w:bCs/>
                <w:color w:val="002776"/>
                <w:sz w:val="20"/>
                <w:lang w:eastAsia="en-AU"/>
              </w:rPr>
            </w:pPr>
          </w:p>
        </w:tc>
        <w:tc>
          <w:tcPr>
            <w:tcW w:w="1066" w:type="pct"/>
            <w:tcBorders>
              <w:top w:val="single" w:sz="18" w:space="0" w:color="002776" w:themeColor="text2"/>
              <w:bottom w:val="single" w:sz="8" w:space="0" w:color="002776" w:themeColor="text2"/>
            </w:tcBorders>
            <w:shd w:val="clear" w:color="auto" w:fill="auto"/>
            <w:noWrap/>
            <w:vAlign w:val="bottom"/>
            <w:hideMark/>
          </w:tcPr>
          <w:p w14:paraId="5D31EA51" w14:textId="77777777" w:rsidR="00F86B13" w:rsidRPr="00F23FEA" w:rsidRDefault="00F86B13" w:rsidP="006772A3">
            <w:pPr>
              <w:rPr>
                <w:rFonts w:cs="Arial"/>
                <w:b/>
                <w:bCs/>
                <w:color w:val="002776"/>
                <w:sz w:val="20"/>
                <w:lang w:eastAsia="en-AU"/>
              </w:rPr>
            </w:pPr>
            <w:r w:rsidRPr="00F23FEA">
              <w:rPr>
                <w:rFonts w:cs="Arial"/>
                <w:b/>
                <w:bCs/>
                <w:color w:val="002776"/>
                <w:sz w:val="20"/>
                <w:lang w:eastAsia="en-AU"/>
              </w:rPr>
              <w:t>Direct contribution</w:t>
            </w:r>
          </w:p>
        </w:tc>
        <w:tc>
          <w:tcPr>
            <w:tcW w:w="1150" w:type="pct"/>
            <w:tcBorders>
              <w:top w:val="single" w:sz="18" w:space="0" w:color="002776" w:themeColor="text2"/>
              <w:bottom w:val="single" w:sz="8" w:space="0" w:color="002776" w:themeColor="text2"/>
            </w:tcBorders>
            <w:shd w:val="clear" w:color="auto" w:fill="auto"/>
            <w:noWrap/>
            <w:vAlign w:val="bottom"/>
            <w:hideMark/>
          </w:tcPr>
          <w:p w14:paraId="5EF708B4" w14:textId="77777777" w:rsidR="00F86B13" w:rsidRPr="00F23FEA" w:rsidRDefault="00F86B13" w:rsidP="006772A3">
            <w:pPr>
              <w:rPr>
                <w:rFonts w:cs="Arial"/>
                <w:b/>
                <w:bCs/>
                <w:color w:val="002776"/>
                <w:sz w:val="20"/>
                <w:lang w:eastAsia="en-AU"/>
              </w:rPr>
            </w:pPr>
            <w:r w:rsidRPr="00F23FEA">
              <w:rPr>
                <w:rFonts w:cs="Arial"/>
                <w:b/>
                <w:bCs/>
                <w:color w:val="002776"/>
                <w:sz w:val="20"/>
                <w:lang w:eastAsia="en-AU"/>
              </w:rPr>
              <w:t>Indirect contribution</w:t>
            </w:r>
          </w:p>
        </w:tc>
        <w:tc>
          <w:tcPr>
            <w:tcW w:w="1050" w:type="pct"/>
            <w:tcBorders>
              <w:top w:val="single" w:sz="18" w:space="0" w:color="002776" w:themeColor="text2"/>
              <w:bottom w:val="single" w:sz="8" w:space="0" w:color="002776" w:themeColor="text2"/>
            </w:tcBorders>
            <w:shd w:val="clear" w:color="auto" w:fill="auto"/>
            <w:noWrap/>
            <w:vAlign w:val="bottom"/>
            <w:hideMark/>
          </w:tcPr>
          <w:p w14:paraId="4615D514" w14:textId="77777777" w:rsidR="00F86B13" w:rsidRPr="00F23FEA" w:rsidRDefault="00F86B13" w:rsidP="006772A3">
            <w:pPr>
              <w:rPr>
                <w:rFonts w:cs="Arial"/>
                <w:b/>
                <w:bCs/>
                <w:color w:val="002776"/>
                <w:sz w:val="20"/>
                <w:lang w:eastAsia="en-AU"/>
              </w:rPr>
            </w:pPr>
            <w:r w:rsidRPr="00F23FEA">
              <w:rPr>
                <w:rFonts w:cs="Arial"/>
                <w:b/>
                <w:bCs/>
                <w:color w:val="002776"/>
                <w:sz w:val="20"/>
                <w:lang w:eastAsia="en-AU"/>
              </w:rPr>
              <w:t>Total contribution</w:t>
            </w:r>
          </w:p>
        </w:tc>
      </w:tr>
      <w:tr w:rsidR="006F5CF3" w:rsidRPr="00F23FEA" w14:paraId="54B0364B" w14:textId="77777777" w:rsidTr="006F5CF3">
        <w:trPr>
          <w:trHeight w:val="255"/>
        </w:trPr>
        <w:tc>
          <w:tcPr>
            <w:tcW w:w="1734" w:type="pct"/>
            <w:tcBorders>
              <w:top w:val="single" w:sz="8" w:space="0" w:color="002776" w:themeColor="text2"/>
            </w:tcBorders>
            <w:shd w:val="clear" w:color="auto" w:fill="auto"/>
            <w:noWrap/>
            <w:vAlign w:val="bottom"/>
            <w:hideMark/>
          </w:tcPr>
          <w:p w14:paraId="5D08D17A" w14:textId="77777777" w:rsidR="006F5CF3" w:rsidRPr="00F23FEA" w:rsidRDefault="006F5CF3" w:rsidP="006772A3">
            <w:pPr>
              <w:rPr>
                <w:rFonts w:cs="Arial"/>
                <w:sz w:val="20"/>
                <w:lang w:eastAsia="en-AU"/>
              </w:rPr>
            </w:pPr>
            <w:r w:rsidRPr="00F23FEA">
              <w:rPr>
                <w:rFonts w:cs="Arial"/>
                <w:sz w:val="20"/>
                <w:lang w:eastAsia="en-AU"/>
              </w:rPr>
              <w:t>Value added ($m)</w:t>
            </w:r>
          </w:p>
        </w:tc>
        <w:tc>
          <w:tcPr>
            <w:tcW w:w="1066" w:type="pct"/>
            <w:tcBorders>
              <w:top w:val="single" w:sz="8" w:space="0" w:color="002776" w:themeColor="text2"/>
            </w:tcBorders>
            <w:shd w:val="clear" w:color="auto" w:fill="auto"/>
            <w:noWrap/>
            <w:vAlign w:val="bottom"/>
            <w:hideMark/>
          </w:tcPr>
          <w:p w14:paraId="365911B5" w14:textId="77777777" w:rsidR="006F5CF3" w:rsidRPr="00F23FEA" w:rsidRDefault="006F5CF3" w:rsidP="000349C1">
            <w:pPr>
              <w:jc w:val="center"/>
              <w:rPr>
                <w:rFonts w:cs="Arial"/>
                <w:sz w:val="20"/>
                <w:lang w:eastAsia="en-AU"/>
              </w:rPr>
            </w:pPr>
            <w:r>
              <w:rPr>
                <w:rFonts w:cs="Arial"/>
                <w:sz w:val="20"/>
              </w:rPr>
              <w:t>27</w:t>
            </w:r>
          </w:p>
        </w:tc>
        <w:tc>
          <w:tcPr>
            <w:tcW w:w="1150" w:type="pct"/>
            <w:tcBorders>
              <w:top w:val="single" w:sz="8" w:space="0" w:color="002776" w:themeColor="text2"/>
            </w:tcBorders>
            <w:shd w:val="clear" w:color="auto" w:fill="auto"/>
            <w:noWrap/>
            <w:vAlign w:val="bottom"/>
            <w:hideMark/>
          </w:tcPr>
          <w:p w14:paraId="1209252C" w14:textId="77777777" w:rsidR="006F5CF3" w:rsidRPr="00F23FEA" w:rsidRDefault="006F5CF3" w:rsidP="000349C1">
            <w:pPr>
              <w:jc w:val="center"/>
              <w:rPr>
                <w:rFonts w:cs="Arial"/>
                <w:sz w:val="20"/>
                <w:lang w:eastAsia="en-AU"/>
              </w:rPr>
            </w:pPr>
            <w:r>
              <w:rPr>
                <w:rFonts w:cs="Arial"/>
                <w:sz w:val="20"/>
              </w:rPr>
              <w:t>6</w:t>
            </w:r>
          </w:p>
        </w:tc>
        <w:tc>
          <w:tcPr>
            <w:tcW w:w="1050" w:type="pct"/>
            <w:tcBorders>
              <w:top w:val="single" w:sz="8" w:space="0" w:color="002776" w:themeColor="text2"/>
            </w:tcBorders>
            <w:shd w:val="clear" w:color="auto" w:fill="auto"/>
            <w:noWrap/>
            <w:vAlign w:val="bottom"/>
            <w:hideMark/>
          </w:tcPr>
          <w:p w14:paraId="03E3C95A" w14:textId="77777777" w:rsidR="006F5CF3" w:rsidRPr="00F23FEA" w:rsidRDefault="006F5CF3" w:rsidP="000349C1">
            <w:pPr>
              <w:jc w:val="center"/>
              <w:rPr>
                <w:rFonts w:cs="Arial"/>
                <w:sz w:val="20"/>
                <w:lang w:eastAsia="en-AU"/>
              </w:rPr>
            </w:pPr>
            <w:r>
              <w:rPr>
                <w:rFonts w:cs="Arial"/>
                <w:sz w:val="20"/>
              </w:rPr>
              <w:t>33</w:t>
            </w:r>
          </w:p>
        </w:tc>
      </w:tr>
      <w:tr w:rsidR="006F5CF3" w:rsidRPr="00F23FEA" w14:paraId="396F6A56" w14:textId="77777777" w:rsidTr="006F5CF3">
        <w:trPr>
          <w:trHeight w:val="255"/>
        </w:trPr>
        <w:tc>
          <w:tcPr>
            <w:tcW w:w="1734" w:type="pct"/>
            <w:shd w:val="clear" w:color="auto" w:fill="auto"/>
            <w:noWrap/>
            <w:vAlign w:val="bottom"/>
            <w:hideMark/>
          </w:tcPr>
          <w:p w14:paraId="071FC8B8" w14:textId="77777777" w:rsidR="006F5CF3" w:rsidRPr="00F23FEA" w:rsidRDefault="006F5CF3" w:rsidP="006772A3">
            <w:pPr>
              <w:ind w:left="567"/>
              <w:rPr>
                <w:rFonts w:cs="Arial"/>
                <w:i/>
                <w:sz w:val="20"/>
                <w:lang w:eastAsia="en-AU"/>
              </w:rPr>
            </w:pPr>
            <w:proofErr w:type="spellStart"/>
            <w:r w:rsidRPr="00F23FEA">
              <w:rPr>
                <w:rFonts w:cs="Arial"/>
                <w:i/>
                <w:sz w:val="20"/>
              </w:rPr>
              <w:t>GOS</w:t>
            </w:r>
            <w:proofErr w:type="spellEnd"/>
          </w:p>
        </w:tc>
        <w:tc>
          <w:tcPr>
            <w:tcW w:w="1066" w:type="pct"/>
            <w:shd w:val="clear" w:color="auto" w:fill="auto"/>
            <w:noWrap/>
            <w:vAlign w:val="bottom"/>
            <w:hideMark/>
          </w:tcPr>
          <w:p w14:paraId="6963FCC7" w14:textId="77777777" w:rsidR="006F5CF3" w:rsidRPr="00F23FEA" w:rsidRDefault="006F5CF3" w:rsidP="000349C1">
            <w:pPr>
              <w:jc w:val="center"/>
              <w:rPr>
                <w:rFonts w:cs="Arial"/>
                <w:sz w:val="20"/>
                <w:lang w:eastAsia="en-AU"/>
              </w:rPr>
            </w:pPr>
            <w:r>
              <w:rPr>
                <w:rFonts w:cs="Arial"/>
                <w:sz w:val="20"/>
              </w:rPr>
              <w:t>11</w:t>
            </w:r>
          </w:p>
        </w:tc>
        <w:tc>
          <w:tcPr>
            <w:tcW w:w="1150" w:type="pct"/>
            <w:shd w:val="clear" w:color="auto" w:fill="auto"/>
            <w:noWrap/>
            <w:vAlign w:val="bottom"/>
            <w:hideMark/>
          </w:tcPr>
          <w:p w14:paraId="3BE55880" w14:textId="77777777" w:rsidR="006F5CF3" w:rsidRPr="00F23FEA" w:rsidRDefault="006F5CF3" w:rsidP="000349C1">
            <w:pPr>
              <w:jc w:val="center"/>
              <w:rPr>
                <w:rFonts w:cs="Arial"/>
                <w:sz w:val="20"/>
                <w:lang w:eastAsia="en-AU"/>
              </w:rPr>
            </w:pPr>
            <w:r>
              <w:rPr>
                <w:rFonts w:cs="Arial"/>
                <w:sz w:val="20"/>
              </w:rPr>
              <w:t>3</w:t>
            </w:r>
          </w:p>
        </w:tc>
        <w:tc>
          <w:tcPr>
            <w:tcW w:w="1050" w:type="pct"/>
            <w:shd w:val="clear" w:color="auto" w:fill="auto"/>
            <w:noWrap/>
            <w:vAlign w:val="bottom"/>
            <w:hideMark/>
          </w:tcPr>
          <w:p w14:paraId="68810A27" w14:textId="77777777" w:rsidR="006F5CF3" w:rsidRPr="00F23FEA" w:rsidRDefault="006F5CF3" w:rsidP="000349C1">
            <w:pPr>
              <w:jc w:val="center"/>
              <w:rPr>
                <w:rFonts w:cs="Arial"/>
                <w:sz w:val="20"/>
                <w:lang w:eastAsia="en-AU"/>
              </w:rPr>
            </w:pPr>
            <w:r>
              <w:rPr>
                <w:rFonts w:cs="Arial"/>
                <w:sz w:val="20"/>
              </w:rPr>
              <w:t>13</w:t>
            </w:r>
          </w:p>
        </w:tc>
      </w:tr>
      <w:tr w:rsidR="006F5CF3" w:rsidRPr="00F23FEA" w14:paraId="30F68D46" w14:textId="77777777" w:rsidTr="006F5CF3">
        <w:trPr>
          <w:trHeight w:val="255"/>
        </w:trPr>
        <w:tc>
          <w:tcPr>
            <w:tcW w:w="1734" w:type="pct"/>
            <w:shd w:val="clear" w:color="auto" w:fill="auto"/>
            <w:noWrap/>
            <w:vAlign w:val="bottom"/>
            <w:hideMark/>
          </w:tcPr>
          <w:p w14:paraId="024F3BDD" w14:textId="77777777" w:rsidR="006F5CF3" w:rsidRPr="00F23FEA" w:rsidRDefault="006F5CF3" w:rsidP="006772A3">
            <w:pPr>
              <w:ind w:left="567"/>
              <w:rPr>
                <w:rFonts w:cs="Arial"/>
                <w:i/>
                <w:sz w:val="20"/>
                <w:lang w:eastAsia="en-AU"/>
              </w:rPr>
            </w:pPr>
            <w:r w:rsidRPr="00F23FEA">
              <w:rPr>
                <w:rFonts w:cs="Arial"/>
                <w:i/>
                <w:sz w:val="20"/>
              </w:rPr>
              <w:t>Wages</w:t>
            </w:r>
          </w:p>
        </w:tc>
        <w:tc>
          <w:tcPr>
            <w:tcW w:w="1066" w:type="pct"/>
            <w:shd w:val="clear" w:color="auto" w:fill="auto"/>
            <w:noWrap/>
            <w:vAlign w:val="bottom"/>
            <w:hideMark/>
          </w:tcPr>
          <w:p w14:paraId="34B83FDD" w14:textId="77777777" w:rsidR="006F5CF3" w:rsidRPr="00F23FEA" w:rsidRDefault="006F5CF3" w:rsidP="000349C1">
            <w:pPr>
              <w:jc w:val="center"/>
              <w:rPr>
                <w:rFonts w:cs="Arial"/>
                <w:sz w:val="20"/>
                <w:lang w:eastAsia="en-AU"/>
              </w:rPr>
            </w:pPr>
            <w:r>
              <w:rPr>
                <w:rFonts w:cs="Arial"/>
                <w:sz w:val="20"/>
              </w:rPr>
              <w:t>16</w:t>
            </w:r>
          </w:p>
        </w:tc>
        <w:tc>
          <w:tcPr>
            <w:tcW w:w="1150" w:type="pct"/>
            <w:shd w:val="clear" w:color="auto" w:fill="auto"/>
            <w:noWrap/>
            <w:vAlign w:val="bottom"/>
            <w:hideMark/>
          </w:tcPr>
          <w:p w14:paraId="1B76CC12" w14:textId="77777777" w:rsidR="006F5CF3" w:rsidRPr="00F23FEA" w:rsidRDefault="006F5CF3" w:rsidP="000349C1">
            <w:pPr>
              <w:jc w:val="center"/>
              <w:rPr>
                <w:rFonts w:cs="Arial"/>
                <w:sz w:val="20"/>
                <w:lang w:eastAsia="en-AU"/>
              </w:rPr>
            </w:pPr>
            <w:r>
              <w:rPr>
                <w:rFonts w:cs="Arial"/>
                <w:sz w:val="20"/>
              </w:rPr>
              <w:t>3</w:t>
            </w:r>
          </w:p>
        </w:tc>
        <w:tc>
          <w:tcPr>
            <w:tcW w:w="1050" w:type="pct"/>
            <w:shd w:val="clear" w:color="auto" w:fill="auto"/>
            <w:noWrap/>
            <w:vAlign w:val="bottom"/>
            <w:hideMark/>
          </w:tcPr>
          <w:p w14:paraId="377F7D4C" w14:textId="77777777" w:rsidR="006F5CF3" w:rsidRPr="00F23FEA" w:rsidRDefault="006F5CF3" w:rsidP="000349C1">
            <w:pPr>
              <w:jc w:val="center"/>
              <w:rPr>
                <w:rFonts w:cs="Arial"/>
                <w:sz w:val="20"/>
                <w:lang w:eastAsia="en-AU"/>
              </w:rPr>
            </w:pPr>
            <w:r>
              <w:rPr>
                <w:rFonts w:cs="Arial"/>
                <w:sz w:val="20"/>
              </w:rPr>
              <w:t>20</w:t>
            </w:r>
          </w:p>
        </w:tc>
      </w:tr>
      <w:tr w:rsidR="006F5CF3" w:rsidRPr="00F23FEA" w14:paraId="11291ACD" w14:textId="77777777" w:rsidTr="006F5CF3">
        <w:trPr>
          <w:trHeight w:val="255"/>
        </w:trPr>
        <w:tc>
          <w:tcPr>
            <w:tcW w:w="1734" w:type="pct"/>
            <w:shd w:val="clear" w:color="auto" w:fill="auto"/>
            <w:noWrap/>
            <w:vAlign w:val="bottom"/>
            <w:hideMark/>
          </w:tcPr>
          <w:p w14:paraId="7D9686E6" w14:textId="77777777" w:rsidR="006F5CF3" w:rsidRPr="00F23FEA" w:rsidRDefault="006F5CF3" w:rsidP="006772A3">
            <w:pPr>
              <w:rPr>
                <w:rFonts w:cs="Arial"/>
                <w:sz w:val="20"/>
                <w:lang w:eastAsia="en-AU"/>
              </w:rPr>
            </w:pPr>
            <w:r w:rsidRPr="00F23FEA">
              <w:rPr>
                <w:rFonts w:cs="Arial"/>
                <w:sz w:val="20"/>
                <w:lang w:eastAsia="en-AU"/>
              </w:rPr>
              <w:t>Employment (FTE)</w:t>
            </w:r>
          </w:p>
        </w:tc>
        <w:tc>
          <w:tcPr>
            <w:tcW w:w="1066" w:type="pct"/>
            <w:shd w:val="clear" w:color="auto" w:fill="auto"/>
            <w:noWrap/>
            <w:vAlign w:val="bottom"/>
            <w:hideMark/>
          </w:tcPr>
          <w:p w14:paraId="12C228E8" w14:textId="77777777" w:rsidR="006F5CF3" w:rsidRPr="00F23FEA" w:rsidRDefault="006F5CF3" w:rsidP="000349C1">
            <w:pPr>
              <w:jc w:val="center"/>
              <w:rPr>
                <w:rFonts w:cs="Arial"/>
                <w:sz w:val="20"/>
                <w:lang w:eastAsia="en-AU"/>
              </w:rPr>
            </w:pPr>
            <w:r>
              <w:rPr>
                <w:rFonts w:cs="Arial"/>
                <w:sz w:val="20"/>
              </w:rPr>
              <w:t>199</w:t>
            </w:r>
          </w:p>
        </w:tc>
        <w:tc>
          <w:tcPr>
            <w:tcW w:w="1150" w:type="pct"/>
            <w:shd w:val="clear" w:color="auto" w:fill="auto"/>
            <w:noWrap/>
            <w:vAlign w:val="bottom"/>
            <w:hideMark/>
          </w:tcPr>
          <w:p w14:paraId="3DA80FCB" w14:textId="77777777" w:rsidR="006F5CF3" w:rsidRPr="00F23FEA" w:rsidRDefault="006F5CF3" w:rsidP="000349C1">
            <w:pPr>
              <w:jc w:val="center"/>
              <w:rPr>
                <w:rFonts w:cs="Arial"/>
                <w:sz w:val="20"/>
                <w:lang w:eastAsia="en-AU"/>
              </w:rPr>
            </w:pPr>
            <w:r>
              <w:rPr>
                <w:rFonts w:cs="Arial"/>
                <w:sz w:val="20"/>
              </w:rPr>
              <w:t>44</w:t>
            </w:r>
          </w:p>
        </w:tc>
        <w:tc>
          <w:tcPr>
            <w:tcW w:w="1050" w:type="pct"/>
            <w:shd w:val="clear" w:color="auto" w:fill="auto"/>
            <w:noWrap/>
            <w:vAlign w:val="bottom"/>
            <w:hideMark/>
          </w:tcPr>
          <w:p w14:paraId="7372AB78" w14:textId="77777777" w:rsidR="006F5CF3" w:rsidRPr="00F23FEA" w:rsidRDefault="006F5CF3" w:rsidP="000349C1">
            <w:pPr>
              <w:jc w:val="center"/>
              <w:rPr>
                <w:rFonts w:cs="Arial"/>
                <w:sz w:val="20"/>
                <w:lang w:eastAsia="en-AU"/>
              </w:rPr>
            </w:pPr>
            <w:r>
              <w:rPr>
                <w:rFonts w:cs="Arial"/>
                <w:sz w:val="20"/>
              </w:rPr>
              <w:t>243</w:t>
            </w:r>
          </w:p>
        </w:tc>
      </w:tr>
    </w:tbl>
    <w:p w14:paraId="70F5D5DA" w14:textId="77777777" w:rsidR="00F86B13" w:rsidRPr="00F23FEA" w:rsidRDefault="00F86B13" w:rsidP="00F86B13">
      <w:pPr>
        <w:keepNext/>
        <w:keepLines/>
        <w:spacing w:after="120"/>
        <w:contextualSpacing/>
        <w:rPr>
          <w:rFonts w:cs="Arial"/>
          <w:sz w:val="18"/>
        </w:rPr>
      </w:pPr>
      <w:r w:rsidRPr="00F23FEA">
        <w:rPr>
          <w:rFonts w:cs="Arial"/>
          <w:sz w:val="18"/>
        </w:rPr>
        <w:t>Source: Deloitte Access Economics</w:t>
      </w:r>
      <w:r w:rsidR="00285257">
        <w:rPr>
          <w:rFonts w:cs="Arial"/>
          <w:sz w:val="18"/>
        </w:rPr>
        <w:t>.</w:t>
      </w:r>
    </w:p>
    <w:p w14:paraId="221A12EB" w14:textId="77777777" w:rsidR="00F86B13" w:rsidRPr="00F23FEA" w:rsidRDefault="00F86B13" w:rsidP="00F86B13">
      <w:pPr>
        <w:spacing w:before="240"/>
        <w:jc w:val="both"/>
        <w:rPr>
          <w:lang w:eastAsia="en-AU"/>
        </w:rPr>
      </w:pPr>
      <w:r w:rsidRPr="00F23FEA">
        <w:rPr>
          <w:lang w:eastAsia="en-AU"/>
        </w:rPr>
        <w:t>In addition to the relatively large economic contribution that international students make to local communities, there are also broader social benefits that</w:t>
      </w:r>
      <w:r>
        <w:rPr>
          <w:lang w:eastAsia="en-AU"/>
        </w:rPr>
        <w:t xml:space="preserve"> could</w:t>
      </w:r>
      <w:r w:rsidRPr="00F23FEA">
        <w:rPr>
          <w:lang w:eastAsia="en-AU"/>
        </w:rPr>
        <w:t xml:space="preserve"> potentially last beyond their studies.</w:t>
      </w:r>
    </w:p>
    <w:p w14:paraId="5D548B79" w14:textId="77777777" w:rsidR="00F86B13" w:rsidRPr="00F23FEA" w:rsidRDefault="00F86B13" w:rsidP="00163EA3">
      <w:pPr>
        <w:keepNext/>
        <w:keepLines/>
        <w:pBdr>
          <w:top w:val="single" w:sz="8" w:space="5" w:color="002776"/>
          <w:left w:val="single" w:sz="8" w:space="5" w:color="002776"/>
          <w:bottom w:val="single" w:sz="8" w:space="5" w:color="002776"/>
          <w:right w:val="single" w:sz="8" w:space="5" w:color="002776"/>
        </w:pBdr>
        <w:shd w:val="solid" w:color="E1E1E1" w:fill="C0C0C0"/>
        <w:tabs>
          <w:tab w:val="left" w:pos="1134"/>
        </w:tabs>
        <w:spacing w:before="240" w:after="60"/>
        <w:ind w:left="567" w:right="567" w:hanging="283"/>
        <w:jc w:val="both"/>
        <w:outlineLvl w:val="0"/>
        <w:rPr>
          <w:rFonts w:cs="Arial"/>
          <w:b/>
          <w:color w:val="002776"/>
          <w:lang w:eastAsia="en-AU"/>
        </w:rPr>
      </w:pPr>
      <w:r w:rsidRPr="00F23FEA">
        <w:rPr>
          <w:rFonts w:cs="Arial"/>
          <w:b/>
          <w:color w:val="002776"/>
          <w:lang w:eastAsia="en-AU"/>
        </w:rPr>
        <w:t>Regional benefits of international education: other non-economic benefits</w:t>
      </w:r>
    </w:p>
    <w:p w14:paraId="0F779373" w14:textId="77777777" w:rsidR="00F86B13" w:rsidRPr="00F23FEA" w:rsidRDefault="00F86B13" w:rsidP="00F86B13">
      <w:pPr>
        <w:keepNext/>
        <w:keepLines/>
        <w:pBdr>
          <w:top w:val="single" w:sz="8" w:space="5" w:color="002776"/>
          <w:left w:val="single" w:sz="8" w:space="5" w:color="002776"/>
          <w:bottom w:val="single" w:sz="8" w:space="5" w:color="002776"/>
          <w:right w:val="single" w:sz="8" w:space="5" w:color="002776"/>
        </w:pBdr>
        <w:shd w:val="solid" w:color="E1E1E1" w:fill="C0C0C0"/>
        <w:tabs>
          <w:tab w:val="left" w:pos="1134"/>
        </w:tabs>
        <w:spacing w:before="240" w:after="60"/>
        <w:ind w:left="284" w:right="567"/>
        <w:jc w:val="both"/>
        <w:rPr>
          <w:rFonts w:cs="Arial"/>
          <w:lang w:eastAsia="en-AU"/>
        </w:rPr>
      </w:pPr>
      <w:r w:rsidRPr="00F23FEA">
        <w:rPr>
          <w:rFonts w:cs="Arial"/>
          <w:lang w:eastAsia="en-AU"/>
        </w:rPr>
        <w:t>Consultation participants have emphasised the non-economic benefits that international students have brought to the Armidale regional community, believing them to be just as important as the economic ones. In particular, they have noted the following:</w:t>
      </w:r>
    </w:p>
    <w:p w14:paraId="79606B3B" w14:textId="77777777" w:rsidR="00F86B13" w:rsidRPr="00F23FEA" w:rsidRDefault="00F86B13" w:rsidP="00F86B13">
      <w:pPr>
        <w:keepNext/>
        <w:keepLines/>
        <w:numPr>
          <w:ilvl w:val="0"/>
          <w:numId w:val="10"/>
        </w:numPr>
        <w:pBdr>
          <w:top w:val="single" w:sz="8" w:space="5" w:color="002776"/>
          <w:left w:val="single" w:sz="8" w:space="5" w:color="002776"/>
          <w:bottom w:val="single" w:sz="8" w:space="5" w:color="002776"/>
          <w:right w:val="single" w:sz="8" w:space="5" w:color="002776"/>
        </w:pBdr>
        <w:shd w:val="solid" w:color="E1E1E1" w:fill="C0C0C0"/>
        <w:tabs>
          <w:tab w:val="left" w:pos="1134"/>
        </w:tabs>
        <w:spacing w:before="240" w:after="60"/>
        <w:ind w:right="567"/>
        <w:jc w:val="both"/>
        <w:rPr>
          <w:rFonts w:cs="Arial"/>
          <w:lang w:eastAsia="en-AU"/>
        </w:rPr>
      </w:pPr>
      <w:r>
        <w:rPr>
          <w:rFonts w:cs="Arial"/>
          <w:lang w:eastAsia="en-AU"/>
        </w:rPr>
        <w:t>i</w:t>
      </w:r>
      <w:r w:rsidRPr="00F23FEA">
        <w:rPr>
          <w:rFonts w:cs="Arial"/>
          <w:lang w:eastAsia="en-AU"/>
        </w:rPr>
        <w:t>n addition to contributing to the casual workforce during their studies, a proportion of international students are likely to stay and work within Armidale and the surrounding regions after their studies;</w:t>
      </w:r>
    </w:p>
    <w:p w14:paraId="02FEA914" w14:textId="77777777" w:rsidR="00F86B13" w:rsidRPr="00F23FEA" w:rsidRDefault="00F86B13" w:rsidP="00F86B13">
      <w:pPr>
        <w:keepNext/>
        <w:keepLines/>
        <w:numPr>
          <w:ilvl w:val="0"/>
          <w:numId w:val="10"/>
        </w:numPr>
        <w:pBdr>
          <w:top w:val="single" w:sz="8" w:space="5" w:color="002776"/>
          <w:left w:val="single" w:sz="8" w:space="5" w:color="002776"/>
          <w:bottom w:val="single" w:sz="8" w:space="5" w:color="002776"/>
          <w:right w:val="single" w:sz="8" w:space="5" w:color="002776"/>
        </w:pBdr>
        <w:shd w:val="solid" w:color="E1E1E1" w:fill="C0C0C0"/>
        <w:tabs>
          <w:tab w:val="left" w:pos="1134"/>
        </w:tabs>
        <w:spacing w:before="240" w:after="60"/>
        <w:ind w:right="567"/>
        <w:jc w:val="both"/>
        <w:rPr>
          <w:rFonts w:cs="Arial"/>
          <w:lang w:eastAsia="en-AU"/>
        </w:rPr>
      </w:pPr>
      <w:proofErr w:type="gramStart"/>
      <w:r>
        <w:rPr>
          <w:rFonts w:cs="Arial"/>
          <w:lang w:eastAsia="en-AU"/>
        </w:rPr>
        <w:t>s</w:t>
      </w:r>
      <w:r w:rsidRPr="00F23FEA">
        <w:rPr>
          <w:rFonts w:cs="Arial"/>
          <w:lang w:eastAsia="en-AU"/>
        </w:rPr>
        <w:t>ome</w:t>
      </w:r>
      <w:proofErr w:type="gramEnd"/>
      <w:r w:rsidRPr="00F23FEA">
        <w:rPr>
          <w:rFonts w:cs="Arial"/>
          <w:lang w:eastAsia="en-AU"/>
        </w:rPr>
        <w:t xml:space="preserve"> international students help out with local council events, run food stalls, and volunteer homework help at the local schools. The</w:t>
      </w:r>
      <w:r w:rsidR="00CE01E6">
        <w:rPr>
          <w:rFonts w:cs="Arial"/>
          <w:lang w:eastAsia="en-AU"/>
        </w:rPr>
        <w:t>y also participate actively in the</w:t>
      </w:r>
      <w:r w:rsidRPr="00F23FEA">
        <w:rPr>
          <w:rFonts w:cs="Arial"/>
          <w:lang w:eastAsia="en-AU"/>
        </w:rPr>
        <w:t xml:space="preserve"> annual </w:t>
      </w:r>
      <w:r w:rsidR="00CE01E6">
        <w:rPr>
          <w:rFonts w:cs="Arial"/>
          <w:lang w:eastAsia="en-AU"/>
        </w:rPr>
        <w:t>Autumn</w:t>
      </w:r>
      <w:r w:rsidRPr="00F23FEA">
        <w:rPr>
          <w:rFonts w:cs="Arial"/>
          <w:lang w:eastAsia="en-AU"/>
        </w:rPr>
        <w:t xml:space="preserve"> festival; and  </w:t>
      </w:r>
    </w:p>
    <w:p w14:paraId="7EA9144B" w14:textId="77777777" w:rsidR="00F86B13" w:rsidRPr="00F23FEA" w:rsidRDefault="00F86B13" w:rsidP="00F86B13">
      <w:pPr>
        <w:keepNext/>
        <w:keepLines/>
        <w:numPr>
          <w:ilvl w:val="0"/>
          <w:numId w:val="10"/>
        </w:numPr>
        <w:pBdr>
          <w:top w:val="single" w:sz="8" w:space="5" w:color="002776"/>
          <w:left w:val="single" w:sz="8" w:space="5" w:color="002776"/>
          <w:bottom w:val="single" w:sz="8" w:space="5" w:color="002776"/>
          <w:right w:val="single" w:sz="8" w:space="5" w:color="002776"/>
        </w:pBdr>
        <w:shd w:val="solid" w:color="E1E1E1" w:fill="C0C0C0"/>
        <w:tabs>
          <w:tab w:val="left" w:pos="1134"/>
        </w:tabs>
        <w:spacing w:before="240" w:after="60"/>
        <w:ind w:right="567"/>
        <w:jc w:val="both"/>
        <w:rPr>
          <w:rFonts w:cs="Arial"/>
          <w:color w:val="000000"/>
          <w:lang w:eastAsia="en-AU"/>
        </w:rPr>
      </w:pPr>
      <w:proofErr w:type="gramStart"/>
      <w:r>
        <w:rPr>
          <w:rFonts w:cs="Arial"/>
          <w:lang w:eastAsia="en-AU"/>
        </w:rPr>
        <w:t>university</w:t>
      </w:r>
      <w:proofErr w:type="gramEnd"/>
      <w:r>
        <w:rPr>
          <w:rFonts w:cs="Arial"/>
          <w:lang w:eastAsia="en-AU"/>
        </w:rPr>
        <w:t xml:space="preserve"> a</w:t>
      </w:r>
      <w:r w:rsidRPr="00F23FEA">
        <w:rPr>
          <w:rFonts w:cs="Arial"/>
          <w:lang w:eastAsia="en-AU"/>
        </w:rPr>
        <w:t>lumni can potentially build linkages with the local community and education sector once they return home. They are powerful advocates in attracting</w:t>
      </w:r>
      <w:r>
        <w:rPr>
          <w:rFonts w:cs="Arial"/>
          <w:lang w:eastAsia="en-AU"/>
        </w:rPr>
        <w:t xml:space="preserve"> both</w:t>
      </w:r>
      <w:r w:rsidRPr="00F23FEA">
        <w:rPr>
          <w:rFonts w:cs="Arial"/>
          <w:lang w:eastAsia="en-AU"/>
        </w:rPr>
        <w:t xml:space="preserve"> future visitors and students to the region.</w:t>
      </w:r>
    </w:p>
    <w:p w14:paraId="377C6BA6" w14:textId="77777777" w:rsidR="00F86B13" w:rsidRPr="00F23FEA" w:rsidRDefault="00F86B13" w:rsidP="00F86B13">
      <w:pPr>
        <w:keepNext/>
        <w:numPr>
          <w:ilvl w:val="2"/>
          <w:numId w:val="9"/>
        </w:numPr>
        <w:spacing w:before="240"/>
        <w:outlineLvl w:val="2"/>
        <w:rPr>
          <w:color w:val="00A1DE"/>
          <w:sz w:val="28"/>
          <w:lang w:eastAsia="en-AU"/>
        </w:rPr>
      </w:pPr>
      <w:r w:rsidRPr="00F23FEA">
        <w:rPr>
          <w:color w:val="00A1DE"/>
          <w:sz w:val="28"/>
          <w:lang w:eastAsia="en-AU"/>
        </w:rPr>
        <w:t>Modelling the impact of international student expenditure on economic activity in regional Victoria</w:t>
      </w:r>
    </w:p>
    <w:p w14:paraId="3B3A8703" w14:textId="77777777" w:rsidR="00F86B13" w:rsidRPr="00F23FEA" w:rsidRDefault="00F86B13" w:rsidP="00F86B13">
      <w:pPr>
        <w:spacing w:before="240"/>
        <w:jc w:val="both"/>
      </w:pPr>
      <w:r w:rsidRPr="00F23FEA">
        <w:t>In addition to the economic contribution of international students based in regional Australia, there are also indirect benefits that could flow to regional areas from students</w:t>
      </w:r>
      <w:r>
        <w:t xml:space="preserve"> studying</w:t>
      </w:r>
      <w:r w:rsidRPr="00F23FEA">
        <w:t xml:space="preserve"> in metropolitan areas due to industry links, such as through food products and agriculture. Using Victoria as an example, this section utilises the Deloitte Access Economics Tourism Satellite Accounting (</w:t>
      </w:r>
      <w:proofErr w:type="spellStart"/>
      <w:r w:rsidRPr="00F23FEA">
        <w:t>TSA</w:t>
      </w:r>
      <w:proofErr w:type="spellEnd"/>
      <w:r w:rsidRPr="00F23FEA">
        <w:t xml:space="preserve">) model to show how expenditure from onshore international students on goods and services in Melbourne could potentially lead to </w:t>
      </w:r>
      <w:r w:rsidRPr="00F23FEA">
        <w:lastRenderedPageBreak/>
        <w:t>additional activity in the rest of Victoria.</w:t>
      </w:r>
      <w:r w:rsidR="00EF5885">
        <w:t xml:space="preserve"> A description of the concepts used in the </w:t>
      </w:r>
      <w:proofErr w:type="spellStart"/>
      <w:r w:rsidR="00EF5885">
        <w:t>TSA</w:t>
      </w:r>
      <w:proofErr w:type="spellEnd"/>
      <w:r w:rsidR="00EF5885">
        <w:t xml:space="preserve"> model, and the similarities and differences to the IO model can be found in </w:t>
      </w:r>
      <w:r w:rsidR="00EF5885">
        <w:fldChar w:fldCharType="begin"/>
      </w:r>
      <w:r w:rsidR="00EF5885">
        <w:instrText xml:space="preserve"> REF _Ref442338091 \r \h </w:instrText>
      </w:r>
      <w:r w:rsidR="00EF5885">
        <w:fldChar w:fldCharType="separate"/>
      </w:r>
      <w:r w:rsidR="00F03FA0">
        <w:t>Appendix E</w:t>
      </w:r>
      <w:r w:rsidR="00EF5885">
        <w:fldChar w:fldCharType="end"/>
      </w:r>
      <w:r w:rsidR="00EF5885">
        <w:t>.</w:t>
      </w:r>
    </w:p>
    <w:p w14:paraId="4F5A5169" w14:textId="77777777" w:rsidR="00F86B13" w:rsidRPr="00F23FEA" w:rsidRDefault="00F86B13" w:rsidP="00163EA3">
      <w:pPr>
        <w:pStyle w:val="HeadingC"/>
        <w:outlineLvl w:val="0"/>
        <w:rPr>
          <w:lang w:eastAsia="en-AU"/>
        </w:rPr>
      </w:pPr>
      <w:r w:rsidRPr="00F23FEA">
        <w:rPr>
          <w:lang w:eastAsia="en-AU"/>
        </w:rPr>
        <w:t>Regional contribution</w:t>
      </w:r>
    </w:p>
    <w:p w14:paraId="56F20262" w14:textId="77777777" w:rsidR="00F86B13" w:rsidRPr="00F23FEA" w:rsidRDefault="00CE01E6" w:rsidP="00F86B13">
      <w:pPr>
        <w:spacing w:before="240"/>
        <w:jc w:val="both"/>
        <w:rPr>
          <w:lang w:eastAsia="en-AU"/>
        </w:rPr>
      </w:pPr>
      <w:r>
        <w:rPr>
          <w:lang w:eastAsia="en-AU"/>
        </w:rPr>
        <w:t>Onshore i</w:t>
      </w:r>
      <w:r w:rsidR="00F86B13" w:rsidRPr="00F23FEA">
        <w:rPr>
          <w:lang w:eastAsia="en-AU"/>
        </w:rPr>
        <w:t>nternational students in Victoria spent approximately $3.0 billion on goods and services in the financial year 2014-15.</w:t>
      </w:r>
      <w:r w:rsidR="00F86B13" w:rsidRPr="00F23FEA">
        <w:rPr>
          <w:rFonts w:ascii="Arial" w:hAnsi="Arial"/>
          <w:sz w:val="18"/>
          <w:szCs w:val="24"/>
          <w:vertAlign w:val="superscript"/>
          <w:lang w:eastAsia="en-AU"/>
        </w:rPr>
        <w:footnoteReference w:id="14"/>
      </w:r>
      <w:r w:rsidR="00F86B13" w:rsidRPr="00F23FEA">
        <w:rPr>
          <w:lang w:eastAsia="en-AU"/>
        </w:rPr>
        <w:t xml:space="preserve"> Based on </w:t>
      </w:r>
      <w:r w:rsidR="00F86B13" w:rsidRPr="00EA1B94">
        <w:rPr>
          <w:lang w:eastAsia="en-AU"/>
        </w:rPr>
        <w:t>Tourism Research Australia</w:t>
      </w:r>
      <w:r w:rsidR="00F86B13" w:rsidRPr="00F23FEA">
        <w:rPr>
          <w:lang w:eastAsia="en-AU"/>
        </w:rPr>
        <w:t xml:space="preserve"> (2015) data on the proportion of visitor nights by ‘education’ visitors to the State in Melbourne, 96% or </w:t>
      </w:r>
      <w:r w:rsidR="00F86B13" w:rsidRPr="000349C1">
        <w:rPr>
          <w:b/>
          <w:color w:val="002776"/>
          <w:lang w:eastAsia="en-AU"/>
        </w:rPr>
        <w:t>$2.8 billion of international student expenditure has been attributed to Melbourne</w:t>
      </w:r>
      <w:r w:rsidR="007065D5">
        <w:rPr>
          <w:lang w:eastAsia="en-AU"/>
        </w:rPr>
        <w:t>.</w:t>
      </w:r>
      <w:r w:rsidR="00F86B13" w:rsidRPr="00F23FEA">
        <w:rPr>
          <w:lang w:eastAsia="en-AU"/>
        </w:rPr>
        <w:t xml:space="preserve"> </w:t>
      </w:r>
    </w:p>
    <w:p w14:paraId="1D525041" w14:textId="77777777" w:rsidR="006F5CF3" w:rsidRPr="00F23FEA" w:rsidRDefault="006F5CF3" w:rsidP="006F5CF3">
      <w:pPr>
        <w:spacing w:before="240"/>
        <w:jc w:val="both"/>
        <w:rPr>
          <w:lang w:eastAsia="en-AU"/>
        </w:rPr>
      </w:pPr>
      <w:r w:rsidRPr="00F23FEA">
        <w:rPr>
          <w:lang w:eastAsia="en-AU"/>
        </w:rPr>
        <w:t>From the $2.8 billion expenditure on goods and services</w:t>
      </w:r>
      <w:r>
        <w:rPr>
          <w:lang w:eastAsia="en-AU"/>
        </w:rPr>
        <w:t xml:space="preserve"> in Melbourne</w:t>
      </w:r>
      <w:r w:rsidRPr="00F23FEA">
        <w:rPr>
          <w:lang w:eastAsia="en-AU"/>
        </w:rPr>
        <w:t>, a total output of $5.</w:t>
      </w:r>
      <w:r>
        <w:rPr>
          <w:lang w:eastAsia="en-AU"/>
        </w:rPr>
        <w:t>6</w:t>
      </w:r>
      <w:r w:rsidRPr="00F23FEA">
        <w:rPr>
          <w:lang w:eastAsia="en-AU"/>
        </w:rPr>
        <w:t xml:space="preserve"> billion in direct and indirect output is expected to be generated in the Victoria region (</w:t>
      </w:r>
      <w:r>
        <w:rPr>
          <w:lang w:eastAsia="en-AU"/>
        </w:rPr>
        <w:fldChar w:fldCharType="begin"/>
      </w:r>
      <w:r>
        <w:rPr>
          <w:lang w:eastAsia="en-AU"/>
        </w:rPr>
        <w:instrText xml:space="preserve"> REF _Ref437338963 \r \h </w:instrText>
      </w:r>
      <w:r>
        <w:rPr>
          <w:lang w:eastAsia="en-AU"/>
        </w:rPr>
      </w:r>
      <w:r>
        <w:rPr>
          <w:lang w:eastAsia="en-AU"/>
        </w:rPr>
        <w:fldChar w:fldCharType="separate"/>
      </w:r>
      <w:r w:rsidR="00F03FA0">
        <w:rPr>
          <w:lang w:eastAsia="en-AU"/>
        </w:rPr>
        <w:t>Figure 4.2</w:t>
      </w:r>
      <w:r>
        <w:rPr>
          <w:lang w:eastAsia="en-AU"/>
        </w:rPr>
        <w:fldChar w:fldCharType="end"/>
      </w:r>
      <w:r w:rsidRPr="00F23FEA">
        <w:rPr>
          <w:lang w:eastAsia="en-AU"/>
        </w:rPr>
        <w:t>). Of this, 6</w:t>
      </w:r>
      <w:r>
        <w:rPr>
          <w:lang w:eastAsia="en-AU"/>
        </w:rPr>
        <w:t>5</w:t>
      </w:r>
      <w:r w:rsidRPr="00F23FEA">
        <w:rPr>
          <w:lang w:eastAsia="en-AU"/>
        </w:rPr>
        <w:t>% is expected to occur in Melbourne, and 3</w:t>
      </w:r>
      <w:r>
        <w:rPr>
          <w:lang w:eastAsia="en-AU"/>
        </w:rPr>
        <w:t>5</w:t>
      </w:r>
      <w:r w:rsidRPr="00F23FEA">
        <w:rPr>
          <w:lang w:eastAsia="en-AU"/>
        </w:rPr>
        <w:t>% in the rest of Victoria (</w:t>
      </w:r>
      <w:proofErr w:type="spellStart"/>
      <w:r w:rsidRPr="00F23FEA">
        <w:rPr>
          <w:lang w:eastAsia="en-AU"/>
        </w:rPr>
        <w:t>ROV</w:t>
      </w:r>
      <w:proofErr w:type="spellEnd"/>
      <w:r w:rsidRPr="00F23FEA">
        <w:rPr>
          <w:lang w:eastAsia="en-AU"/>
        </w:rPr>
        <w:t xml:space="preserve">). </w:t>
      </w:r>
      <w:r w:rsidRPr="000349C1">
        <w:rPr>
          <w:b/>
          <w:color w:val="002776"/>
          <w:lang w:eastAsia="en-AU"/>
        </w:rPr>
        <w:t>For every dollar an international student spends on goods and services in Melbourne, $0.6</w:t>
      </w:r>
      <w:r>
        <w:rPr>
          <w:b/>
          <w:color w:val="002776"/>
          <w:lang w:eastAsia="en-AU"/>
        </w:rPr>
        <w:t>7</w:t>
      </w:r>
      <w:r w:rsidRPr="000349C1">
        <w:rPr>
          <w:b/>
          <w:color w:val="002776"/>
          <w:lang w:eastAsia="en-AU"/>
        </w:rPr>
        <w:t xml:space="preserve"> in total output is generated in regional Victoria.</w:t>
      </w:r>
    </w:p>
    <w:p w14:paraId="79DDA19B" w14:textId="77777777" w:rsidR="006F5CF3" w:rsidRPr="00F23FEA" w:rsidRDefault="006F5CF3" w:rsidP="006F5CF3">
      <w:pPr>
        <w:spacing w:before="240"/>
        <w:jc w:val="both"/>
        <w:rPr>
          <w:lang w:eastAsia="en-AU"/>
        </w:rPr>
      </w:pPr>
      <w:r w:rsidRPr="00F23FEA">
        <w:rPr>
          <w:lang w:eastAsia="en-AU"/>
        </w:rPr>
        <w:t xml:space="preserve">However, as output includes the value spent by industries on intermediate inputs, they overestimate the actual amount of economic activity taking place. </w:t>
      </w:r>
      <w:r>
        <w:rPr>
          <w:lang w:eastAsia="en-AU"/>
        </w:rPr>
        <w:t>Consequently, Gross Value Added (</w:t>
      </w:r>
      <w:proofErr w:type="spellStart"/>
      <w:r w:rsidRPr="00F23FEA">
        <w:rPr>
          <w:lang w:eastAsia="en-AU"/>
        </w:rPr>
        <w:t>GVA</w:t>
      </w:r>
      <w:proofErr w:type="spellEnd"/>
      <w:r>
        <w:rPr>
          <w:lang w:eastAsia="en-AU"/>
        </w:rPr>
        <w:t>)</w:t>
      </w:r>
      <w:r w:rsidRPr="00F23FEA">
        <w:rPr>
          <w:lang w:eastAsia="en-AU"/>
        </w:rPr>
        <w:t xml:space="preserve"> is the most accurate measure of contribution. In 2014-15, it is estimated that international student expenditure in Melbourne generated $</w:t>
      </w:r>
      <w:r>
        <w:rPr>
          <w:lang w:eastAsia="en-AU"/>
        </w:rPr>
        <w:t>2.3</w:t>
      </w:r>
      <w:r w:rsidRPr="00F23FEA">
        <w:rPr>
          <w:lang w:eastAsia="en-AU"/>
        </w:rPr>
        <w:t xml:space="preserve"> billion in total </w:t>
      </w:r>
      <w:proofErr w:type="spellStart"/>
      <w:r w:rsidRPr="00F23FEA">
        <w:rPr>
          <w:lang w:eastAsia="en-AU"/>
        </w:rPr>
        <w:t>GVA</w:t>
      </w:r>
      <w:proofErr w:type="spellEnd"/>
      <w:r w:rsidRPr="00F23FEA">
        <w:rPr>
          <w:lang w:eastAsia="en-AU"/>
        </w:rPr>
        <w:t xml:space="preserve"> in Victoria, with $</w:t>
      </w:r>
      <w:r>
        <w:rPr>
          <w:lang w:eastAsia="en-AU"/>
        </w:rPr>
        <w:t>1</w:t>
      </w:r>
      <w:r w:rsidRPr="00F23FEA">
        <w:rPr>
          <w:lang w:eastAsia="en-AU"/>
        </w:rPr>
        <w:t xml:space="preserve">.5 billion attributable to Melbourne, and $0.9 billion to the rest of Victoria. </w:t>
      </w:r>
      <w:r w:rsidRPr="000349C1">
        <w:rPr>
          <w:b/>
          <w:color w:val="002776"/>
          <w:lang w:eastAsia="en-AU"/>
        </w:rPr>
        <w:t xml:space="preserve">This is equivalent to a </w:t>
      </w:r>
      <w:proofErr w:type="spellStart"/>
      <w:r w:rsidRPr="000349C1">
        <w:rPr>
          <w:b/>
          <w:color w:val="002776"/>
          <w:lang w:eastAsia="en-AU"/>
        </w:rPr>
        <w:t>GVA</w:t>
      </w:r>
      <w:proofErr w:type="spellEnd"/>
      <w:r w:rsidRPr="000349C1">
        <w:rPr>
          <w:b/>
          <w:color w:val="002776"/>
          <w:lang w:eastAsia="en-AU"/>
        </w:rPr>
        <w:t xml:space="preserve"> of $0.</w:t>
      </w:r>
      <w:r>
        <w:rPr>
          <w:b/>
          <w:color w:val="002776"/>
          <w:lang w:eastAsia="en-AU"/>
        </w:rPr>
        <w:t>31</w:t>
      </w:r>
      <w:r w:rsidRPr="000349C1">
        <w:rPr>
          <w:b/>
          <w:color w:val="002776"/>
          <w:lang w:eastAsia="en-AU"/>
        </w:rPr>
        <w:t xml:space="preserve"> in regional Victoria for every dollar spent on goods and services by international students in Melbourne.</w:t>
      </w:r>
      <w:r w:rsidRPr="00F23FEA">
        <w:rPr>
          <w:color w:val="002776"/>
          <w:lang w:eastAsia="en-AU"/>
        </w:rPr>
        <w:t xml:space="preserve"> </w:t>
      </w:r>
      <w:r w:rsidRPr="00F23FEA">
        <w:rPr>
          <w:lang w:eastAsia="en-AU"/>
        </w:rPr>
        <w:t xml:space="preserve">The indirect </w:t>
      </w:r>
      <w:proofErr w:type="spellStart"/>
      <w:r w:rsidRPr="00F23FEA">
        <w:rPr>
          <w:lang w:eastAsia="en-AU"/>
        </w:rPr>
        <w:t>GVA</w:t>
      </w:r>
      <w:proofErr w:type="spellEnd"/>
      <w:r w:rsidRPr="00F23FEA">
        <w:rPr>
          <w:lang w:eastAsia="en-AU"/>
        </w:rPr>
        <w:t xml:space="preserve"> outside of Melbourne</w:t>
      </w:r>
      <w:r>
        <w:rPr>
          <w:lang w:eastAsia="en-AU"/>
        </w:rPr>
        <w:t xml:space="preserve"> is</w:t>
      </w:r>
      <w:r w:rsidRPr="00F23FEA">
        <w:rPr>
          <w:lang w:eastAsia="en-AU"/>
        </w:rPr>
        <w:t xml:space="preserve"> spread </w:t>
      </w:r>
      <w:r>
        <w:rPr>
          <w:lang w:eastAsia="en-AU"/>
        </w:rPr>
        <w:t xml:space="preserve">relatively </w:t>
      </w:r>
      <w:r w:rsidRPr="00F23FEA">
        <w:rPr>
          <w:lang w:eastAsia="en-AU"/>
        </w:rPr>
        <w:t>evenly among the remaining regions</w:t>
      </w:r>
      <w:r w:rsidRPr="00F23FEA">
        <w:t xml:space="preserve">. </w:t>
      </w:r>
    </w:p>
    <w:p w14:paraId="468DA8E6" w14:textId="77777777" w:rsidR="006F5CF3" w:rsidRPr="000349C1" w:rsidRDefault="006F5CF3" w:rsidP="006F5CF3">
      <w:pPr>
        <w:spacing w:before="240"/>
        <w:jc w:val="both"/>
        <w:rPr>
          <w:lang w:eastAsia="en-AU"/>
        </w:rPr>
      </w:pPr>
      <w:r w:rsidRPr="00F23FEA">
        <w:rPr>
          <w:lang w:eastAsia="en-AU"/>
        </w:rPr>
        <w:t xml:space="preserve">Lastly, as a consequence of international student consumption of goods and services in Melbourne, a total of </w:t>
      </w:r>
      <w:r>
        <w:rPr>
          <w:lang w:eastAsia="en-AU"/>
        </w:rPr>
        <w:t>12,746</w:t>
      </w:r>
      <w:r w:rsidRPr="00F23FEA">
        <w:rPr>
          <w:lang w:eastAsia="en-AU"/>
        </w:rPr>
        <w:t xml:space="preserve"> jobs are supported in the Victorian economy. Of these, 5,</w:t>
      </w:r>
      <w:r>
        <w:rPr>
          <w:lang w:eastAsia="en-AU"/>
        </w:rPr>
        <w:t>478</w:t>
      </w:r>
      <w:r w:rsidRPr="00F23FEA">
        <w:rPr>
          <w:lang w:eastAsia="en-AU"/>
        </w:rPr>
        <w:t xml:space="preserve"> are based in regional Victoria. </w:t>
      </w:r>
      <w:r w:rsidRPr="000349C1">
        <w:rPr>
          <w:b/>
          <w:color w:val="002776"/>
          <w:lang w:eastAsia="en-AU"/>
        </w:rPr>
        <w:t>This is equivalent to approximately two jobs in regional Victoria for every million dollar</w:t>
      </w:r>
      <w:r>
        <w:rPr>
          <w:b/>
          <w:color w:val="002776"/>
          <w:lang w:eastAsia="en-AU"/>
        </w:rPr>
        <w:t>s</w:t>
      </w:r>
      <w:r w:rsidRPr="000349C1">
        <w:rPr>
          <w:b/>
          <w:color w:val="002776"/>
          <w:lang w:eastAsia="en-AU"/>
        </w:rPr>
        <w:t xml:space="preserve"> of international student expenditure on goods and services in Melbourne.</w:t>
      </w:r>
    </w:p>
    <w:p w14:paraId="4395677B" w14:textId="77777777" w:rsidR="00F86B13" w:rsidRPr="00F23FEA" w:rsidRDefault="00F86B13" w:rsidP="00D72A59">
      <w:pPr>
        <w:pStyle w:val="CaptionFigure"/>
      </w:pPr>
      <w:bookmarkStart w:id="188" w:name="_Ref437338963"/>
      <w:bookmarkStart w:id="189" w:name="_Toc450809297"/>
      <w:r w:rsidRPr="00F23FEA">
        <w:t>: International student contribution by region, 2014-15</w:t>
      </w:r>
      <w:bookmarkEnd w:id="188"/>
      <w:bookmarkEnd w:id="189"/>
      <w:r w:rsidRPr="00F23FEA">
        <w:t xml:space="preserve"> </w:t>
      </w:r>
    </w:p>
    <w:p w14:paraId="55AFB10D" w14:textId="77777777" w:rsidR="00F86B13" w:rsidRPr="00F23FEA" w:rsidRDefault="006F5CF3" w:rsidP="00F86B13">
      <w:pPr>
        <w:spacing w:before="240"/>
        <w:jc w:val="both"/>
        <w:rPr>
          <w:lang w:eastAsia="en-AU"/>
        </w:rPr>
      </w:pPr>
      <w:r w:rsidRPr="003D00D9">
        <w:rPr>
          <w:noProof/>
          <w:lang w:eastAsia="en-AU"/>
        </w:rPr>
        <w:drawing>
          <wp:inline distT="0" distB="0" distL="0" distR="0" wp14:anchorId="64F8EDF8" wp14:editId="634C31BC">
            <wp:extent cx="5219700" cy="2055495"/>
            <wp:effectExtent l="0" t="0" r="0" b="1905"/>
            <wp:docPr id="15" name="Picture 15" descr="The table shows the contribution of international education by state in financial year 2014–15.&#10;" title="Table 4.2: Contribution of international education by state, 2014–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19700" cy="2055495"/>
                    </a:xfrm>
                    <a:prstGeom prst="rect">
                      <a:avLst/>
                    </a:prstGeom>
                    <a:noFill/>
                    <a:ln>
                      <a:noFill/>
                    </a:ln>
                  </pic:spPr>
                </pic:pic>
              </a:graphicData>
            </a:graphic>
          </wp:inline>
        </w:drawing>
      </w:r>
    </w:p>
    <w:p w14:paraId="5028119E" w14:textId="77777777" w:rsidR="00F86B13" w:rsidRPr="00F23FEA" w:rsidRDefault="00F86B13" w:rsidP="00F86B13">
      <w:pPr>
        <w:spacing w:after="120"/>
        <w:rPr>
          <w:rFonts w:cs="Arial"/>
          <w:sz w:val="18"/>
          <w:lang w:eastAsia="en-AU"/>
        </w:rPr>
      </w:pPr>
      <w:r w:rsidRPr="00F23FEA">
        <w:rPr>
          <w:rFonts w:cs="Arial"/>
          <w:sz w:val="18"/>
        </w:rPr>
        <w:t>Source: Deloitte Access Economics</w:t>
      </w:r>
      <w:r w:rsidR="00285257">
        <w:rPr>
          <w:rFonts w:cs="Arial"/>
          <w:sz w:val="18"/>
        </w:rPr>
        <w:t>.</w:t>
      </w:r>
    </w:p>
    <w:p w14:paraId="2C38C8B2" w14:textId="77777777" w:rsidR="00F86B13" w:rsidRPr="00F23FEA" w:rsidRDefault="00C558D5" w:rsidP="00F86B13">
      <w:pPr>
        <w:spacing w:before="240"/>
        <w:jc w:val="both"/>
        <w:rPr>
          <w:lang w:eastAsia="en-AU"/>
        </w:rPr>
      </w:pPr>
      <w:r>
        <w:rPr>
          <w:lang w:eastAsia="en-AU"/>
        </w:rPr>
        <w:lastRenderedPageBreak/>
        <w:fldChar w:fldCharType="begin"/>
      </w:r>
      <w:r>
        <w:rPr>
          <w:lang w:eastAsia="en-AU"/>
        </w:rPr>
        <w:instrText xml:space="preserve"> REF _Ref437338931 \r \h </w:instrText>
      </w:r>
      <w:r>
        <w:rPr>
          <w:lang w:eastAsia="en-AU"/>
        </w:rPr>
      </w:r>
      <w:r>
        <w:rPr>
          <w:lang w:eastAsia="en-AU"/>
        </w:rPr>
        <w:fldChar w:fldCharType="separate"/>
      </w:r>
      <w:r w:rsidR="00F03FA0">
        <w:rPr>
          <w:lang w:eastAsia="en-AU"/>
        </w:rPr>
        <w:t>Table 4.4</w:t>
      </w:r>
      <w:r>
        <w:rPr>
          <w:lang w:eastAsia="en-AU"/>
        </w:rPr>
        <w:fldChar w:fldCharType="end"/>
      </w:r>
      <w:r w:rsidR="00F86B13" w:rsidRPr="00F23FEA">
        <w:rPr>
          <w:lang w:eastAsia="en-AU"/>
        </w:rPr>
        <w:t xml:space="preserve"> below presents the full set of results for the direct and indirect contributions in Melbourne and the rest of Victoria.</w:t>
      </w:r>
      <w:r w:rsidR="00F86B13">
        <w:rPr>
          <w:lang w:eastAsia="en-AU"/>
        </w:rPr>
        <w:t xml:space="preserve"> Other contribution</w:t>
      </w:r>
      <w:r w:rsidR="00E13322">
        <w:rPr>
          <w:lang w:eastAsia="en-AU"/>
        </w:rPr>
        <w:t>s</w:t>
      </w:r>
      <w:r w:rsidR="00F86B13">
        <w:rPr>
          <w:lang w:eastAsia="en-AU"/>
        </w:rPr>
        <w:t xml:space="preserve"> from international students in metropolitan areas, such as weekend visits to regional Victoria, ha</w:t>
      </w:r>
      <w:r w:rsidR="00E13322">
        <w:rPr>
          <w:lang w:eastAsia="en-AU"/>
        </w:rPr>
        <w:t>ve</w:t>
      </w:r>
      <w:r w:rsidR="00F86B13">
        <w:rPr>
          <w:lang w:eastAsia="en-AU"/>
        </w:rPr>
        <w:t xml:space="preserve"> not been captured in the model.</w:t>
      </w:r>
    </w:p>
    <w:p w14:paraId="19781687" w14:textId="77777777" w:rsidR="00F86B13" w:rsidRPr="00F23FEA" w:rsidRDefault="00F86B13" w:rsidP="00D72A59">
      <w:pPr>
        <w:pStyle w:val="CaptionTable"/>
        <w:rPr>
          <w:lang w:eastAsia="en-AU"/>
        </w:rPr>
      </w:pPr>
      <w:bookmarkStart w:id="190" w:name="_Ref437338931"/>
      <w:bookmarkStart w:id="191" w:name="_Toc450809288"/>
      <w:r w:rsidRPr="00F23FEA">
        <w:rPr>
          <w:lang w:eastAsia="en-AU"/>
        </w:rPr>
        <w:t>: Contribution of Melbourne international student spending, 2014-15</w:t>
      </w:r>
      <w:bookmarkEnd w:id="190"/>
      <w:bookmarkEnd w:id="191"/>
    </w:p>
    <w:tbl>
      <w:tblPr>
        <w:tblW w:w="5000" w:type="pct"/>
        <w:tblBorders>
          <w:top w:val="single" w:sz="18" w:space="0" w:color="002776" w:themeColor="text2"/>
          <w:bottom w:val="single" w:sz="18" w:space="0" w:color="002776" w:themeColor="text2"/>
        </w:tblBorders>
        <w:tblLook w:val="04A0" w:firstRow="1" w:lastRow="0" w:firstColumn="1" w:lastColumn="0" w:noHBand="0" w:noVBand="1"/>
        <w:tblCaption w:val="Table 4.4: Contribution of Melbourne international student spending, 2014–15"/>
        <w:tblDescription w:val="The table shows the amount of contribution of Melbourne international student spending in financial year 2014–15."/>
      </w:tblPr>
      <w:tblGrid>
        <w:gridCol w:w="2107"/>
        <w:gridCol w:w="2109"/>
        <w:gridCol w:w="2109"/>
        <w:gridCol w:w="2111"/>
      </w:tblGrid>
      <w:tr w:rsidR="00F86B13" w:rsidRPr="00F23FEA" w14:paraId="10A01C73" w14:textId="77777777" w:rsidTr="000349C1">
        <w:trPr>
          <w:trHeight w:val="255"/>
        </w:trPr>
        <w:tc>
          <w:tcPr>
            <w:tcW w:w="1249" w:type="pct"/>
            <w:tcBorders>
              <w:top w:val="single" w:sz="18" w:space="0" w:color="002776" w:themeColor="text2"/>
              <w:bottom w:val="single" w:sz="8" w:space="0" w:color="002776" w:themeColor="text2"/>
            </w:tcBorders>
            <w:shd w:val="clear" w:color="auto" w:fill="auto"/>
            <w:noWrap/>
            <w:vAlign w:val="bottom"/>
            <w:hideMark/>
          </w:tcPr>
          <w:p w14:paraId="2F0505EC" w14:textId="77777777" w:rsidR="00F86B13" w:rsidRPr="00F23FEA" w:rsidRDefault="00F86B13" w:rsidP="006772A3">
            <w:pPr>
              <w:rPr>
                <w:rFonts w:cs="Arial"/>
                <w:sz w:val="20"/>
                <w:lang w:eastAsia="en-AU"/>
              </w:rPr>
            </w:pPr>
          </w:p>
        </w:tc>
        <w:tc>
          <w:tcPr>
            <w:tcW w:w="1250" w:type="pct"/>
            <w:tcBorders>
              <w:top w:val="single" w:sz="18" w:space="0" w:color="002776" w:themeColor="text2"/>
              <w:bottom w:val="single" w:sz="8" w:space="0" w:color="002776" w:themeColor="text2"/>
            </w:tcBorders>
            <w:shd w:val="clear" w:color="auto" w:fill="auto"/>
            <w:noWrap/>
            <w:vAlign w:val="bottom"/>
            <w:hideMark/>
          </w:tcPr>
          <w:p w14:paraId="6EC0F025" w14:textId="77777777" w:rsidR="00F86B13" w:rsidRPr="000349C1" w:rsidRDefault="00F86B13" w:rsidP="006772A3">
            <w:pPr>
              <w:jc w:val="center"/>
              <w:rPr>
                <w:rFonts w:cs="Arial"/>
                <w:b/>
                <w:bCs/>
                <w:color w:val="002776"/>
                <w:szCs w:val="22"/>
                <w:lang w:eastAsia="en-AU"/>
              </w:rPr>
            </w:pPr>
            <w:r w:rsidRPr="000349C1">
              <w:rPr>
                <w:rFonts w:cs="Arial"/>
                <w:b/>
                <w:bCs/>
                <w:color w:val="002776"/>
                <w:szCs w:val="22"/>
                <w:lang w:eastAsia="en-AU"/>
              </w:rPr>
              <w:t>Direct</w:t>
            </w:r>
          </w:p>
        </w:tc>
        <w:tc>
          <w:tcPr>
            <w:tcW w:w="1250" w:type="pct"/>
            <w:tcBorders>
              <w:top w:val="single" w:sz="18" w:space="0" w:color="002776" w:themeColor="text2"/>
              <w:bottom w:val="single" w:sz="8" w:space="0" w:color="002776" w:themeColor="text2"/>
            </w:tcBorders>
            <w:shd w:val="clear" w:color="auto" w:fill="auto"/>
            <w:noWrap/>
            <w:vAlign w:val="bottom"/>
            <w:hideMark/>
          </w:tcPr>
          <w:p w14:paraId="7AC9AB3B" w14:textId="77777777" w:rsidR="00F86B13" w:rsidRPr="000349C1" w:rsidRDefault="00F86B13" w:rsidP="006772A3">
            <w:pPr>
              <w:jc w:val="center"/>
              <w:rPr>
                <w:rFonts w:cs="Arial"/>
                <w:b/>
                <w:bCs/>
                <w:color w:val="002776"/>
                <w:szCs w:val="22"/>
                <w:lang w:eastAsia="en-AU"/>
              </w:rPr>
            </w:pPr>
            <w:r w:rsidRPr="000349C1">
              <w:rPr>
                <w:rFonts w:cs="Arial"/>
                <w:b/>
                <w:bCs/>
                <w:color w:val="002776"/>
                <w:szCs w:val="22"/>
                <w:lang w:eastAsia="en-AU"/>
              </w:rPr>
              <w:t>Indirect</w:t>
            </w:r>
          </w:p>
        </w:tc>
        <w:tc>
          <w:tcPr>
            <w:tcW w:w="1251" w:type="pct"/>
            <w:tcBorders>
              <w:top w:val="single" w:sz="18" w:space="0" w:color="002776" w:themeColor="text2"/>
              <w:bottom w:val="single" w:sz="8" w:space="0" w:color="002776" w:themeColor="text2"/>
            </w:tcBorders>
            <w:shd w:val="clear" w:color="auto" w:fill="auto"/>
            <w:noWrap/>
            <w:vAlign w:val="bottom"/>
            <w:hideMark/>
          </w:tcPr>
          <w:p w14:paraId="25BAF6F0" w14:textId="77777777" w:rsidR="00F86B13" w:rsidRPr="000349C1" w:rsidRDefault="00F86B13" w:rsidP="006772A3">
            <w:pPr>
              <w:jc w:val="center"/>
              <w:rPr>
                <w:rFonts w:cs="Arial"/>
                <w:b/>
                <w:bCs/>
                <w:color w:val="002776"/>
                <w:szCs w:val="22"/>
                <w:lang w:eastAsia="en-AU"/>
              </w:rPr>
            </w:pPr>
            <w:r w:rsidRPr="000349C1">
              <w:rPr>
                <w:rFonts w:cs="Arial"/>
                <w:b/>
                <w:bCs/>
                <w:color w:val="002776"/>
                <w:szCs w:val="22"/>
                <w:lang w:eastAsia="en-AU"/>
              </w:rPr>
              <w:t>Total</w:t>
            </w:r>
          </w:p>
        </w:tc>
      </w:tr>
      <w:tr w:rsidR="00F86B13" w:rsidRPr="00F23FEA" w14:paraId="7EE1D1AF" w14:textId="77777777" w:rsidTr="000349C1">
        <w:trPr>
          <w:trHeight w:val="255"/>
        </w:trPr>
        <w:tc>
          <w:tcPr>
            <w:tcW w:w="1249" w:type="pct"/>
            <w:tcBorders>
              <w:top w:val="single" w:sz="8" w:space="0" w:color="002776" w:themeColor="text2"/>
            </w:tcBorders>
            <w:shd w:val="clear" w:color="auto" w:fill="B0CAFF" w:themeFill="text2" w:themeFillTint="33"/>
            <w:noWrap/>
            <w:vAlign w:val="bottom"/>
            <w:hideMark/>
          </w:tcPr>
          <w:p w14:paraId="69701149" w14:textId="77777777" w:rsidR="00F86B13" w:rsidRPr="00F23FEA" w:rsidRDefault="00F86B13" w:rsidP="006772A3">
            <w:pPr>
              <w:rPr>
                <w:rFonts w:cs="Arial"/>
                <w:i/>
                <w:sz w:val="20"/>
                <w:lang w:eastAsia="en-AU"/>
              </w:rPr>
            </w:pPr>
            <w:r w:rsidRPr="00F23FEA">
              <w:rPr>
                <w:rFonts w:cs="Arial"/>
                <w:i/>
                <w:sz w:val="20"/>
                <w:lang w:eastAsia="en-AU"/>
              </w:rPr>
              <w:t>Expenditure ($m)</w:t>
            </w:r>
          </w:p>
        </w:tc>
        <w:tc>
          <w:tcPr>
            <w:tcW w:w="1250" w:type="pct"/>
            <w:tcBorders>
              <w:top w:val="single" w:sz="8" w:space="0" w:color="002776" w:themeColor="text2"/>
            </w:tcBorders>
            <w:shd w:val="clear" w:color="auto" w:fill="B0CAFF" w:themeFill="text2" w:themeFillTint="33"/>
            <w:noWrap/>
            <w:vAlign w:val="bottom"/>
            <w:hideMark/>
          </w:tcPr>
          <w:p w14:paraId="0B540F7D" w14:textId="77777777" w:rsidR="00F86B13" w:rsidRPr="00F23FEA" w:rsidRDefault="00F86B13" w:rsidP="006772A3">
            <w:pPr>
              <w:rPr>
                <w:rFonts w:cs="Arial"/>
                <w:i/>
                <w:sz w:val="20"/>
                <w:lang w:eastAsia="en-AU"/>
              </w:rPr>
            </w:pPr>
          </w:p>
        </w:tc>
        <w:tc>
          <w:tcPr>
            <w:tcW w:w="1250" w:type="pct"/>
            <w:tcBorders>
              <w:top w:val="single" w:sz="8" w:space="0" w:color="002776" w:themeColor="text2"/>
            </w:tcBorders>
            <w:shd w:val="clear" w:color="auto" w:fill="B0CAFF" w:themeFill="text2" w:themeFillTint="33"/>
            <w:noWrap/>
            <w:vAlign w:val="bottom"/>
            <w:hideMark/>
          </w:tcPr>
          <w:p w14:paraId="32E2EC74" w14:textId="77777777" w:rsidR="00F86B13" w:rsidRPr="00F23FEA" w:rsidRDefault="00F86B13" w:rsidP="006772A3">
            <w:pPr>
              <w:rPr>
                <w:rFonts w:cs="Arial"/>
                <w:i/>
                <w:sz w:val="20"/>
                <w:lang w:eastAsia="en-AU"/>
              </w:rPr>
            </w:pPr>
          </w:p>
        </w:tc>
        <w:tc>
          <w:tcPr>
            <w:tcW w:w="1251" w:type="pct"/>
            <w:tcBorders>
              <w:top w:val="single" w:sz="8" w:space="0" w:color="002776" w:themeColor="text2"/>
            </w:tcBorders>
            <w:shd w:val="clear" w:color="auto" w:fill="B0CAFF" w:themeFill="text2" w:themeFillTint="33"/>
            <w:noWrap/>
            <w:vAlign w:val="bottom"/>
            <w:hideMark/>
          </w:tcPr>
          <w:p w14:paraId="4695E0E7" w14:textId="77777777" w:rsidR="00F86B13" w:rsidRPr="00F23FEA" w:rsidRDefault="00F86B13" w:rsidP="006772A3">
            <w:pPr>
              <w:rPr>
                <w:rFonts w:cs="Arial"/>
                <w:i/>
                <w:sz w:val="20"/>
                <w:lang w:eastAsia="en-AU"/>
              </w:rPr>
            </w:pPr>
          </w:p>
        </w:tc>
      </w:tr>
      <w:tr w:rsidR="00F86B13" w:rsidRPr="00F23FEA" w14:paraId="31B05063" w14:textId="77777777" w:rsidTr="000349C1">
        <w:trPr>
          <w:trHeight w:val="255"/>
        </w:trPr>
        <w:tc>
          <w:tcPr>
            <w:tcW w:w="1249" w:type="pct"/>
            <w:shd w:val="clear" w:color="auto" w:fill="auto"/>
            <w:noWrap/>
            <w:vAlign w:val="bottom"/>
            <w:hideMark/>
          </w:tcPr>
          <w:p w14:paraId="383629A0" w14:textId="77777777" w:rsidR="00F86B13" w:rsidRPr="00F23FEA" w:rsidRDefault="00F86B13" w:rsidP="006772A3">
            <w:pPr>
              <w:rPr>
                <w:rFonts w:cs="Arial"/>
                <w:sz w:val="20"/>
                <w:lang w:eastAsia="en-AU"/>
              </w:rPr>
            </w:pPr>
            <w:r w:rsidRPr="00F23FEA">
              <w:rPr>
                <w:rFonts w:cs="Arial"/>
                <w:sz w:val="20"/>
                <w:lang w:eastAsia="en-AU"/>
              </w:rPr>
              <w:t>Melbourne</w:t>
            </w:r>
          </w:p>
        </w:tc>
        <w:tc>
          <w:tcPr>
            <w:tcW w:w="1250" w:type="pct"/>
            <w:shd w:val="clear" w:color="auto" w:fill="auto"/>
            <w:noWrap/>
            <w:vAlign w:val="bottom"/>
            <w:hideMark/>
          </w:tcPr>
          <w:p w14:paraId="10E7AD21" w14:textId="77777777" w:rsidR="00F86B13" w:rsidRPr="00F23FEA" w:rsidRDefault="00F86B13" w:rsidP="000349C1">
            <w:pPr>
              <w:jc w:val="center"/>
              <w:rPr>
                <w:rFonts w:cs="Arial"/>
                <w:sz w:val="20"/>
                <w:lang w:eastAsia="en-AU"/>
              </w:rPr>
            </w:pPr>
            <w:r w:rsidRPr="00F23FEA">
              <w:rPr>
                <w:rFonts w:cs="Arial"/>
                <w:sz w:val="20"/>
                <w:lang w:eastAsia="en-AU"/>
              </w:rPr>
              <w:t>2,832</w:t>
            </w:r>
          </w:p>
        </w:tc>
        <w:tc>
          <w:tcPr>
            <w:tcW w:w="1250" w:type="pct"/>
            <w:shd w:val="clear" w:color="auto" w:fill="auto"/>
            <w:noWrap/>
            <w:vAlign w:val="bottom"/>
            <w:hideMark/>
          </w:tcPr>
          <w:p w14:paraId="22E981D7" w14:textId="77777777" w:rsidR="00F86B13" w:rsidRPr="00F23FEA" w:rsidRDefault="00F86B13" w:rsidP="000349C1">
            <w:pPr>
              <w:jc w:val="center"/>
              <w:rPr>
                <w:rFonts w:cs="Arial"/>
                <w:sz w:val="20"/>
                <w:lang w:eastAsia="en-AU"/>
              </w:rPr>
            </w:pPr>
            <w:r w:rsidRPr="00F23FEA">
              <w:rPr>
                <w:rFonts w:cs="Arial"/>
                <w:sz w:val="20"/>
                <w:lang w:eastAsia="en-AU"/>
              </w:rPr>
              <w:t>0</w:t>
            </w:r>
          </w:p>
        </w:tc>
        <w:tc>
          <w:tcPr>
            <w:tcW w:w="1251" w:type="pct"/>
            <w:shd w:val="clear" w:color="auto" w:fill="auto"/>
            <w:noWrap/>
            <w:vAlign w:val="bottom"/>
            <w:hideMark/>
          </w:tcPr>
          <w:p w14:paraId="7326C714" w14:textId="77777777" w:rsidR="00F86B13" w:rsidRPr="00F23FEA" w:rsidRDefault="00F86B13" w:rsidP="000349C1">
            <w:pPr>
              <w:jc w:val="center"/>
              <w:rPr>
                <w:rFonts w:cs="Arial"/>
                <w:sz w:val="20"/>
                <w:lang w:eastAsia="en-AU"/>
              </w:rPr>
            </w:pPr>
            <w:r w:rsidRPr="00F23FEA">
              <w:rPr>
                <w:rFonts w:cs="Arial"/>
                <w:sz w:val="20"/>
                <w:lang w:eastAsia="en-AU"/>
              </w:rPr>
              <w:t>2,832</w:t>
            </w:r>
          </w:p>
        </w:tc>
      </w:tr>
      <w:tr w:rsidR="00F86B13" w:rsidRPr="00F23FEA" w14:paraId="41628B94" w14:textId="77777777" w:rsidTr="000349C1">
        <w:trPr>
          <w:trHeight w:val="255"/>
        </w:trPr>
        <w:tc>
          <w:tcPr>
            <w:tcW w:w="1249" w:type="pct"/>
            <w:shd w:val="clear" w:color="auto" w:fill="auto"/>
            <w:noWrap/>
            <w:vAlign w:val="bottom"/>
            <w:hideMark/>
          </w:tcPr>
          <w:p w14:paraId="5408C50C" w14:textId="77777777" w:rsidR="00F86B13" w:rsidRPr="00F23FEA" w:rsidRDefault="00F86B13" w:rsidP="006772A3">
            <w:pPr>
              <w:rPr>
                <w:rFonts w:cs="Arial"/>
                <w:sz w:val="20"/>
                <w:lang w:eastAsia="en-AU"/>
              </w:rPr>
            </w:pPr>
            <w:r w:rsidRPr="00F23FEA">
              <w:rPr>
                <w:rFonts w:cs="Arial"/>
                <w:sz w:val="20"/>
                <w:lang w:eastAsia="en-AU"/>
              </w:rPr>
              <w:t>Rest of Victoria</w:t>
            </w:r>
          </w:p>
        </w:tc>
        <w:tc>
          <w:tcPr>
            <w:tcW w:w="1250" w:type="pct"/>
            <w:shd w:val="clear" w:color="auto" w:fill="auto"/>
            <w:noWrap/>
            <w:vAlign w:val="bottom"/>
            <w:hideMark/>
          </w:tcPr>
          <w:p w14:paraId="6F7C4A74" w14:textId="77777777" w:rsidR="00F86B13" w:rsidRPr="00F23FEA" w:rsidRDefault="00F86B13" w:rsidP="000349C1">
            <w:pPr>
              <w:jc w:val="center"/>
              <w:rPr>
                <w:rFonts w:cs="Arial"/>
                <w:sz w:val="20"/>
                <w:lang w:eastAsia="en-AU"/>
              </w:rPr>
            </w:pPr>
            <w:r w:rsidRPr="00F23FEA">
              <w:rPr>
                <w:rFonts w:cs="Arial"/>
                <w:sz w:val="20"/>
                <w:lang w:eastAsia="en-AU"/>
              </w:rPr>
              <w:t>0</w:t>
            </w:r>
          </w:p>
        </w:tc>
        <w:tc>
          <w:tcPr>
            <w:tcW w:w="1250" w:type="pct"/>
            <w:shd w:val="clear" w:color="auto" w:fill="auto"/>
            <w:noWrap/>
            <w:vAlign w:val="bottom"/>
            <w:hideMark/>
          </w:tcPr>
          <w:p w14:paraId="0E412FF7" w14:textId="77777777" w:rsidR="00F86B13" w:rsidRPr="00F23FEA" w:rsidRDefault="00F86B13" w:rsidP="000349C1">
            <w:pPr>
              <w:jc w:val="center"/>
              <w:rPr>
                <w:rFonts w:cs="Arial"/>
                <w:sz w:val="20"/>
                <w:lang w:eastAsia="en-AU"/>
              </w:rPr>
            </w:pPr>
            <w:r w:rsidRPr="00F23FEA">
              <w:rPr>
                <w:rFonts w:cs="Arial"/>
                <w:sz w:val="20"/>
                <w:lang w:eastAsia="en-AU"/>
              </w:rPr>
              <w:t>0</w:t>
            </w:r>
          </w:p>
        </w:tc>
        <w:tc>
          <w:tcPr>
            <w:tcW w:w="1251" w:type="pct"/>
            <w:shd w:val="clear" w:color="auto" w:fill="auto"/>
            <w:noWrap/>
            <w:vAlign w:val="bottom"/>
            <w:hideMark/>
          </w:tcPr>
          <w:p w14:paraId="75D9D8E4" w14:textId="77777777" w:rsidR="00F86B13" w:rsidRPr="00F23FEA" w:rsidRDefault="00F86B13" w:rsidP="000349C1">
            <w:pPr>
              <w:jc w:val="center"/>
              <w:rPr>
                <w:rFonts w:cs="Arial"/>
                <w:sz w:val="20"/>
                <w:lang w:eastAsia="en-AU"/>
              </w:rPr>
            </w:pPr>
            <w:r w:rsidRPr="00F23FEA">
              <w:rPr>
                <w:rFonts w:cs="Arial"/>
                <w:sz w:val="20"/>
                <w:lang w:eastAsia="en-AU"/>
              </w:rPr>
              <w:t>0</w:t>
            </w:r>
          </w:p>
        </w:tc>
      </w:tr>
      <w:tr w:rsidR="00F86B13" w:rsidRPr="00F23FEA" w14:paraId="27D1D591" w14:textId="77777777" w:rsidTr="000349C1">
        <w:trPr>
          <w:trHeight w:val="255"/>
        </w:trPr>
        <w:tc>
          <w:tcPr>
            <w:tcW w:w="1249" w:type="pct"/>
            <w:shd w:val="clear" w:color="auto" w:fill="B0CAFF" w:themeFill="text2" w:themeFillTint="33"/>
            <w:noWrap/>
            <w:vAlign w:val="bottom"/>
            <w:hideMark/>
          </w:tcPr>
          <w:p w14:paraId="7C91840E" w14:textId="77777777" w:rsidR="00F86B13" w:rsidRPr="00F23FEA" w:rsidRDefault="00F86B13" w:rsidP="006772A3">
            <w:pPr>
              <w:rPr>
                <w:rFonts w:cs="Arial"/>
                <w:i/>
                <w:sz w:val="20"/>
                <w:lang w:eastAsia="en-AU"/>
              </w:rPr>
            </w:pPr>
            <w:r w:rsidRPr="00F23FEA">
              <w:rPr>
                <w:rFonts w:cs="Arial"/>
                <w:i/>
                <w:sz w:val="20"/>
                <w:lang w:eastAsia="en-AU"/>
              </w:rPr>
              <w:t>Output ($m)</w:t>
            </w:r>
          </w:p>
        </w:tc>
        <w:tc>
          <w:tcPr>
            <w:tcW w:w="1250" w:type="pct"/>
            <w:shd w:val="clear" w:color="auto" w:fill="B0CAFF" w:themeFill="text2" w:themeFillTint="33"/>
            <w:noWrap/>
            <w:vAlign w:val="bottom"/>
            <w:hideMark/>
          </w:tcPr>
          <w:p w14:paraId="7583FE60" w14:textId="77777777" w:rsidR="00F86B13" w:rsidRPr="00F23FEA" w:rsidRDefault="00F86B13" w:rsidP="000349C1">
            <w:pPr>
              <w:jc w:val="center"/>
              <w:rPr>
                <w:rFonts w:cs="Arial"/>
                <w:i/>
                <w:sz w:val="20"/>
                <w:lang w:eastAsia="en-AU"/>
              </w:rPr>
            </w:pPr>
          </w:p>
        </w:tc>
        <w:tc>
          <w:tcPr>
            <w:tcW w:w="1250" w:type="pct"/>
            <w:shd w:val="clear" w:color="auto" w:fill="B0CAFF" w:themeFill="text2" w:themeFillTint="33"/>
            <w:noWrap/>
            <w:vAlign w:val="bottom"/>
            <w:hideMark/>
          </w:tcPr>
          <w:p w14:paraId="63C29B4A" w14:textId="77777777" w:rsidR="00F86B13" w:rsidRPr="00F23FEA" w:rsidRDefault="00F86B13" w:rsidP="000349C1">
            <w:pPr>
              <w:jc w:val="center"/>
              <w:rPr>
                <w:rFonts w:cs="Arial"/>
                <w:i/>
                <w:sz w:val="20"/>
                <w:lang w:eastAsia="en-AU"/>
              </w:rPr>
            </w:pPr>
          </w:p>
        </w:tc>
        <w:tc>
          <w:tcPr>
            <w:tcW w:w="1251" w:type="pct"/>
            <w:shd w:val="clear" w:color="auto" w:fill="B0CAFF" w:themeFill="text2" w:themeFillTint="33"/>
            <w:noWrap/>
            <w:vAlign w:val="bottom"/>
            <w:hideMark/>
          </w:tcPr>
          <w:p w14:paraId="3BCC4DCF" w14:textId="77777777" w:rsidR="00F86B13" w:rsidRPr="00F23FEA" w:rsidRDefault="00F86B13" w:rsidP="000349C1">
            <w:pPr>
              <w:jc w:val="center"/>
              <w:rPr>
                <w:rFonts w:cs="Arial"/>
                <w:i/>
                <w:sz w:val="20"/>
                <w:lang w:eastAsia="en-AU"/>
              </w:rPr>
            </w:pPr>
          </w:p>
        </w:tc>
      </w:tr>
      <w:tr w:rsidR="006F5CF3" w:rsidRPr="00F23FEA" w14:paraId="60E5AE59" w14:textId="77777777" w:rsidTr="000349C1">
        <w:trPr>
          <w:trHeight w:val="255"/>
        </w:trPr>
        <w:tc>
          <w:tcPr>
            <w:tcW w:w="1249" w:type="pct"/>
            <w:shd w:val="clear" w:color="auto" w:fill="auto"/>
            <w:noWrap/>
            <w:vAlign w:val="bottom"/>
            <w:hideMark/>
          </w:tcPr>
          <w:p w14:paraId="37FAED93" w14:textId="77777777" w:rsidR="006F5CF3" w:rsidRPr="00F23FEA" w:rsidRDefault="006F5CF3" w:rsidP="006772A3">
            <w:pPr>
              <w:rPr>
                <w:rFonts w:cs="Arial"/>
                <w:sz w:val="20"/>
                <w:lang w:eastAsia="en-AU"/>
              </w:rPr>
            </w:pPr>
            <w:r w:rsidRPr="00F23FEA">
              <w:rPr>
                <w:rFonts w:cs="Arial"/>
                <w:sz w:val="20"/>
                <w:lang w:eastAsia="en-AU"/>
              </w:rPr>
              <w:t>Melbourne</w:t>
            </w:r>
          </w:p>
        </w:tc>
        <w:tc>
          <w:tcPr>
            <w:tcW w:w="1250" w:type="pct"/>
            <w:shd w:val="clear" w:color="auto" w:fill="auto"/>
            <w:noWrap/>
            <w:vAlign w:val="bottom"/>
            <w:hideMark/>
          </w:tcPr>
          <w:p w14:paraId="3078E856" w14:textId="77777777" w:rsidR="006F5CF3" w:rsidRPr="00F23FEA" w:rsidRDefault="006F5CF3" w:rsidP="000349C1">
            <w:pPr>
              <w:jc w:val="center"/>
              <w:rPr>
                <w:rFonts w:cs="Arial"/>
                <w:sz w:val="20"/>
                <w:lang w:eastAsia="en-AU"/>
              </w:rPr>
            </w:pPr>
            <w:r>
              <w:rPr>
                <w:rFonts w:cs="Arial"/>
                <w:sz w:val="20"/>
              </w:rPr>
              <w:t xml:space="preserve">2,619 </w:t>
            </w:r>
          </w:p>
        </w:tc>
        <w:tc>
          <w:tcPr>
            <w:tcW w:w="1250" w:type="pct"/>
            <w:shd w:val="clear" w:color="auto" w:fill="auto"/>
            <w:noWrap/>
            <w:vAlign w:val="bottom"/>
            <w:hideMark/>
          </w:tcPr>
          <w:p w14:paraId="2975ED1B" w14:textId="77777777" w:rsidR="006F5CF3" w:rsidRPr="00F23FEA" w:rsidRDefault="006F5CF3" w:rsidP="000349C1">
            <w:pPr>
              <w:jc w:val="center"/>
              <w:rPr>
                <w:rFonts w:cs="Arial"/>
                <w:sz w:val="20"/>
                <w:lang w:eastAsia="en-AU"/>
              </w:rPr>
            </w:pPr>
            <w:r>
              <w:rPr>
                <w:rFonts w:cs="Arial"/>
                <w:sz w:val="20"/>
              </w:rPr>
              <w:t xml:space="preserve">1,013 </w:t>
            </w:r>
          </w:p>
        </w:tc>
        <w:tc>
          <w:tcPr>
            <w:tcW w:w="1251" w:type="pct"/>
            <w:shd w:val="clear" w:color="auto" w:fill="auto"/>
            <w:noWrap/>
            <w:vAlign w:val="bottom"/>
            <w:hideMark/>
          </w:tcPr>
          <w:p w14:paraId="2C15F1B0" w14:textId="77777777" w:rsidR="006F5CF3" w:rsidRPr="00F23FEA" w:rsidRDefault="006F5CF3" w:rsidP="000349C1">
            <w:pPr>
              <w:jc w:val="center"/>
              <w:rPr>
                <w:rFonts w:cs="Arial"/>
                <w:sz w:val="20"/>
                <w:lang w:eastAsia="en-AU"/>
              </w:rPr>
            </w:pPr>
            <w:r>
              <w:rPr>
                <w:rFonts w:cs="Arial"/>
                <w:sz w:val="20"/>
              </w:rPr>
              <w:t xml:space="preserve">3,632 </w:t>
            </w:r>
          </w:p>
        </w:tc>
      </w:tr>
      <w:tr w:rsidR="006F5CF3" w:rsidRPr="00F23FEA" w14:paraId="4017EBBC" w14:textId="77777777" w:rsidTr="000349C1">
        <w:trPr>
          <w:trHeight w:val="255"/>
        </w:trPr>
        <w:tc>
          <w:tcPr>
            <w:tcW w:w="1249" w:type="pct"/>
            <w:shd w:val="clear" w:color="auto" w:fill="auto"/>
            <w:noWrap/>
            <w:vAlign w:val="bottom"/>
            <w:hideMark/>
          </w:tcPr>
          <w:p w14:paraId="665E7C1F" w14:textId="77777777" w:rsidR="006F5CF3" w:rsidRPr="00F23FEA" w:rsidRDefault="006F5CF3" w:rsidP="006772A3">
            <w:pPr>
              <w:rPr>
                <w:rFonts w:cs="Arial"/>
                <w:sz w:val="20"/>
                <w:lang w:eastAsia="en-AU"/>
              </w:rPr>
            </w:pPr>
            <w:r w:rsidRPr="00F23FEA">
              <w:rPr>
                <w:rFonts w:cs="Arial"/>
                <w:sz w:val="20"/>
                <w:lang w:eastAsia="en-AU"/>
              </w:rPr>
              <w:t>Rest of Victoria</w:t>
            </w:r>
          </w:p>
        </w:tc>
        <w:tc>
          <w:tcPr>
            <w:tcW w:w="1250" w:type="pct"/>
            <w:shd w:val="clear" w:color="auto" w:fill="auto"/>
            <w:noWrap/>
            <w:vAlign w:val="bottom"/>
            <w:hideMark/>
          </w:tcPr>
          <w:p w14:paraId="51CCB1C3" w14:textId="77777777" w:rsidR="006F5CF3" w:rsidRPr="00F23FEA" w:rsidRDefault="006F5CF3" w:rsidP="000349C1">
            <w:pPr>
              <w:jc w:val="center"/>
              <w:rPr>
                <w:rFonts w:cs="Arial"/>
                <w:sz w:val="20"/>
                <w:lang w:eastAsia="en-AU"/>
              </w:rPr>
            </w:pPr>
            <w:r>
              <w:rPr>
                <w:rFonts w:cs="Arial"/>
                <w:sz w:val="20"/>
              </w:rPr>
              <w:t>0</w:t>
            </w:r>
          </w:p>
        </w:tc>
        <w:tc>
          <w:tcPr>
            <w:tcW w:w="1250" w:type="pct"/>
            <w:shd w:val="clear" w:color="auto" w:fill="auto"/>
            <w:noWrap/>
            <w:vAlign w:val="bottom"/>
            <w:hideMark/>
          </w:tcPr>
          <w:p w14:paraId="34CC7363" w14:textId="77777777" w:rsidR="006F5CF3" w:rsidRPr="00F23FEA" w:rsidRDefault="006F5CF3" w:rsidP="000349C1">
            <w:pPr>
              <w:jc w:val="center"/>
              <w:rPr>
                <w:rFonts w:cs="Arial"/>
                <w:sz w:val="20"/>
                <w:lang w:eastAsia="en-AU"/>
              </w:rPr>
            </w:pPr>
            <w:r>
              <w:rPr>
                <w:rFonts w:cs="Arial"/>
                <w:sz w:val="20"/>
              </w:rPr>
              <w:t xml:space="preserve">1,924 </w:t>
            </w:r>
          </w:p>
        </w:tc>
        <w:tc>
          <w:tcPr>
            <w:tcW w:w="1251" w:type="pct"/>
            <w:shd w:val="clear" w:color="auto" w:fill="auto"/>
            <w:noWrap/>
            <w:vAlign w:val="bottom"/>
            <w:hideMark/>
          </w:tcPr>
          <w:p w14:paraId="227365DF" w14:textId="77777777" w:rsidR="006F5CF3" w:rsidRPr="00F23FEA" w:rsidRDefault="006F5CF3" w:rsidP="000349C1">
            <w:pPr>
              <w:jc w:val="center"/>
              <w:rPr>
                <w:rFonts w:cs="Arial"/>
                <w:sz w:val="20"/>
                <w:lang w:eastAsia="en-AU"/>
              </w:rPr>
            </w:pPr>
            <w:r>
              <w:rPr>
                <w:rFonts w:cs="Arial"/>
                <w:sz w:val="20"/>
              </w:rPr>
              <w:t xml:space="preserve">1,924 </w:t>
            </w:r>
          </w:p>
        </w:tc>
      </w:tr>
      <w:tr w:rsidR="006F5CF3" w:rsidRPr="00F23FEA" w14:paraId="12555F75" w14:textId="77777777" w:rsidTr="000349C1">
        <w:trPr>
          <w:trHeight w:val="255"/>
        </w:trPr>
        <w:tc>
          <w:tcPr>
            <w:tcW w:w="1249" w:type="pct"/>
            <w:shd w:val="clear" w:color="auto" w:fill="B0CAFF" w:themeFill="text2" w:themeFillTint="33"/>
            <w:noWrap/>
            <w:vAlign w:val="bottom"/>
            <w:hideMark/>
          </w:tcPr>
          <w:p w14:paraId="70BB6F53" w14:textId="77777777" w:rsidR="006F5CF3" w:rsidRPr="00F23FEA" w:rsidRDefault="006F5CF3" w:rsidP="006772A3">
            <w:pPr>
              <w:rPr>
                <w:rFonts w:cs="Arial"/>
                <w:i/>
                <w:sz w:val="20"/>
                <w:lang w:eastAsia="en-AU"/>
              </w:rPr>
            </w:pPr>
            <w:proofErr w:type="spellStart"/>
            <w:r w:rsidRPr="00F23FEA">
              <w:rPr>
                <w:rFonts w:cs="Arial"/>
                <w:i/>
                <w:sz w:val="20"/>
                <w:lang w:eastAsia="en-AU"/>
              </w:rPr>
              <w:t>GVA</w:t>
            </w:r>
            <w:proofErr w:type="spellEnd"/>
            <w:r w:rsidRPr="00F23FEA">
              <w:rPr>
                <w:rFonts w:cs="Arial"/>
                <w:i/>
                <w:sz w:val="20"/>
                <w:lang w:eastAsia="en-AU"/>
              </w:rPr>
              <w:t xml:space="preserve"> ($m)</w:t>
            </w:r>
          </w:p>
        </w:tc>
        <w:tc>
          <w:tcPr>
            <w:tcW w:w="1250" w:type="pct"/>
            <w:shd w:val="clear" w:color="auto" w:fill="B0CAFF" w:themeFill="text2" w:themeFillTint="33"/>
            <w:noWrap/>
            <w:vAlign w:val="bottom"/>
            <w:hideMark/>
          </w:tcPr>
          <w:p w14:paraId="61AAAFCC" w14:textId="77777777" w:rsidR="006F5CF3" w:rsidRPr="00F23FEA" w:rsidRDefault="006F5CF3" w:rsidP="000349C1">
            <w:pPr>
              <w:jc w:val="center"/>
              <w:rPr>
                <w:rFonts w:cs="Arial"/>
                <w:i/>
                <w:sz w:val="20"/>
                <w:lang w:eastAsia="en-AU"/>
              </w:rPr>
            </w:pPr>
          </w:p>
        </w:tc>
        <w:tc>
          <w:tcPr>
            <w:tcW w:w="1250" w:type="pct"/>
            <w:shd w:val="clear" w:color="auto" w:fill="B0CAFF" w:themeFill="text2" w:themeFillTint="33"/>
            <w:noWrap/>
            <w:vAlign w:val="bottom"/>
            <w:hideMark/>
          </w:tcPr>
          <w:p w14:paraId="6C270D7B" w14:textId="77777777" w:rsidR="006F5CF3" w:rsidRPr="00F23FEA" w:rsidRDefault="006F5CF3" w:rsidP="000349C1">
            <w:pPr>
              <w:jc w:val="center"/>
              <w:rPr>
                <w:rFonts w:cs="Arial"/>
                <w:i/>
                <w:sz w:val="20"/>
                <w:lang w:eastAsia="en-AU"/>
              </w:rPr>
            </w:pPr>
          </w:p>
        </w:tc>
        <w:tc>
          <w:tcPr>
            <w:tcW w:w="1251" w:type="pct"/>
            <w:shd w:val="clear" w:color="auto" w:fill="B0CAFF" w:themeFill="text2" w:themeFillTint="33"/>
            <w:noWrap/>
            <w:vAlign w:val="bottom"/>
            <w:hideMark/>
          </w:tcPr>
          <w:p w14:paraId="313D28DC" w14:textId="77777777" w:rsidR="006F5CF3" w:rsidRPr="00F23FEA" w:rsidRDefault="006F5CF3" w:rsidP="000349C1">
            <w:pPr>
              <w:jc w:val="center"/>
              <w:rPr>
                <w:rFonts w:cs="Arial"/>
                <w:i/>
                <w:sz w:val="20"/>
                <w:lang w:eastAsia="en-AU"/>
              </w:rPr>
            </w:pPr>
          </w:p>
        </w:tc>
      </w:tr>
      <w:tr w:rsidR="006F5CF3" w:rsidRPr="00F23FEA" w14:paraId="7677894F" w14:textId="77777777" w:rsidTr="000349C1">
        <w:trPr>
          <w:trHeight w:val="255"/>
        </w:trPr>
        <w:tc>
          <w:tcPr>
            <w:tcW w:w="1249" w:type="pct"/>
            <w:shd w:val="clear" w:color="auto" w:fill="auto"/>
            <w:noWrap/>
            <w:vAlign w:val="bottom"/>
            <w:hideMark/>
          </w:tcPr>
          <w:p w14:paraId="703BD5AE" w14:textId="77777777" w:rsidR="006F5CF3" w:rsidRPr="00F23FEA" w:rsidRDefault="006F5CF3" w:rsidP="006772A3">
            <w:pPr>
              <w:rPr>
                <w:rFonts w:cs="Arial"/>
                <w:sz w:val="20"/>
                <w:lang w:eastAsia="en-AU"/>
              </w:rPr>
            </w:pPr>
            <w:r w:rsidRPr="00F23FEA">
              <w:rPr>
                <w:rFonts w:cs="Arial"/>
                <w:sz w:val="20"/>
                <w:lang w:eastAsia="en-AU"/>
              </w:rPr>
              <w:t>Melbourne</w:t>
            </w:r>
          </w:p>
        </w:tc>
        <w:tc>
          <w:tcPr>
            <w:tcW w:w="1250" w:type="pct"/>
            <w:shd w:val="clear" w:color="auto" w:fill="auto"/>
            <w:noWrap/>
            <w:vAlign w:val="bottom"/>
            <w:hideMark/>
          </w:tcPr>
          <w:p w14:paraId="42816DAB" w14:textId="77777777" w:rsidR="006F5CF3" w:rsidRPr="00F23FEA" w:rsidRDefault="006F5CF3" w:rsidP="000349C1">
            <w:pPr>
              <w:jc w:val="center"/>
              <w:rPr>
                <w:rFonts w:cs="Arial"/>
                <w:sz w:val="20"/>
                <w:lang w:eastAsia="en-AU"/>
              </w:rPr>
            </w:pPr>
            <w:r>
              <w:rPr>
                <w:rFonts w:cs="Arial"/>
                <w:sz w:val="20"/>
              </w:rPr>
              <w:t xml:space="preserve">1,023 </w:t>
            </w:r>
          </w:p>
        </w:tc>
        <w:tc>
          <w:tcPr>
            <w:tcW w:w="1250" w:type="pct"/>
            <w:shd w:val="clear" w:color="auto" w:fill="auto"/>
            <w:noWrap/>
            <w:vAlign w:val="bottom"/>
            <w:hideMark/>
          </w:tcPr>
          <w:p w14:paraId="7A5923E4" w14:textId="77777777" w:rsidR="006F5CF3" w:rsidRPr="00F23FEA" w:rsidRDefault="006F5CF3" w:rsidP="000349C1">
            <w:pPr>
              <w:jc w:val="center"/>
              <w:rPr>
                <w:rFonts w:cs="Arial"/>
                <w:sz w:val="20"/>
                <w:lang w:eastAsia="en-AU"/>
              </w:rPr>
            </w:pPr>
            <w:r>
              <w:rPr>
                <w:rFonts w:cs="Arial"/>
                <w:sz w:val="20"/>
              </w:rPr>
              <w:t xml:space="preserve">462 </w:t>
            </w:r>
          </w:p>
        </w:tc>
        <w:tc>
          <w:tcPr>
            <w:tcW w:w="1251" w:type="pct"/>
            <w:shd w:val="clear" w:color="auto" w:fill="auto"/>
            <w:noWrap/>
            <w:vAlign w:val="bottom"/>
            <w:hideMark/>
          </w:tcPr>
          <w:p w14:paraId="48C2DBD0" w14:textId="77777777" w:rsidR="006F5CF3" w:rsidRPr="00F23FEA" w:rsidRDefault="006F5CF3" w:rsidP="000349C1">
            <w:pPr>
              <w:jc w:val="center"/>
              <w:rPr>
                <w:rFonts w:cs="Arial"/>
                <w:sz w:val="20"/>
                <w:lang w:eastAsia="en-AU"/>
              </w:rPr>
            </w:pPr>
            <w:r>
              <w:rPr>
                <w:rFonts w:cs="Arial"/>
                <w:sz w:val="20"/>
              </w:rPr>
              <w:t xml:space="preserve">1,485 </w:t>
            </w:r>
          </w:p>
        </w:tc>
      </w:tr>
      <w:tr w:rsidR="006F5CF3" w:rsidRPr="00F23FEA" w14:paraId="04EF4E36" w14:textId="77777777" w:rsidTr="000349C1">
        <w:trPr>
          <w:trHeight w:val="255"/>
        </w:trPr>
        <w:tc>
          <w:tcPr>
            <w:tcW w:w="1249" w:type="pct"/>
            <w:shd w:val="clear" w:color="auto" w:fill="auto"/>
            <w:noWrap/>
            <w:vAlign w:val="bottom"/>
            <w:hideMark/>
          </w:tcPr>
          <w:p w14:paraId="62DB983A" w14:textId="77777777" w:rsidR="006F5CF3" w:rsidRPr="00F23FEA" w:rsidRDefault="006F5CF3" w:rsidP="006772A3">
            <w:pPr>
              <w:rPr>
                <w:rFonts w:cs="Arial"/>
                <w:sz w:val="20"/>
                <w:lang w:eastAsia="en-AU"/>
              </w:rPr>
            </w:pPr>
            <w:r w:rsidRPr="00F23FEA">
              <w:rPr>
                <w:rFonts w:cs="Arial"/>
                <w:sz w:val="20"/>
                <w:lang w:eastAsia="en-AU"/>
              </w:rPr>
              <w:t>Rest of Victoria</w:t>
            </w:r>
          </w:p>
        </w:tc>
        <w:tc>
          <w:tcPr>
            <w:tcW w:w="1250" w:type="pct"/>
            <w:shd w:val="clear" w:color="auto" w:fill="auto"/>
            <w:noWrap/>
            <w:vAlign w:val="bottom"/>
            <w:hideMark/>
          </w:tcPr>
          <w:p w14:paraId="1D6BE4EE" w14:textId="77777777" w:rsidR="006F5CF3" w:rsidRPr="00F23FEA" w:rsidRDefault="006F5CF3" w:rsidP="000349C1">
            <w:pPr>
              <w:jc w:val="center"/>
              <w:rPr>
                <w:rFonts w:cs="Arial"/>
                <w:sz w:val="20"/>
                <w:lang w:eastAsia="en-AU"/>
              </w:rPr>
            </w:pPr>
            <w:r>
              <w:rPr>
                <w:rFonts w:cs="Arial"/>
                <w:sz w:val="20"/>
              </w:rPr>
              <w:t>0</w:t>
            </w:r>
          </w:p>
        </w:tc>
        <w:tc>
          <w:tcPr>
            <w:tcW w:w="1250" w:type="pct"/>
            <w:shd w:val="clear" w:color="auto" w:fill="auto"/>
            <w:noWrap/>
            <w:vAlign w:val="bottom"/>
            <w:hideMark/>
          </w:tcPr>
          <w:p w14:paraId="4F3A3B9A" w14:textId="77777777" w:rsidR="006F5CF3" w:rsidRPr="00F23FEA" w:rsidRDefault="006F5CF3" w:rsidP="000349C1">
            <w:pPr>
              <w:jc w:val="center"/>
              <w:rPr>
                <w:rFonts w:cs="Arial"/>
                <w:sz w:val="20"/>
                <w:lang w:eastAsia="en-AU"/>
              </w:rPr>
            </w:pPr>
            <w:r>
              <w:rPr>
                <w:rFonts w:cs="Arial"/>
                <w:sz w:val="20"/>
              </w:rPr>
              <w:t xml:space="preserve">888 </w:t>
            </w:r>
          </w:p>
        </w:tc>
        <w:tc>
          <w:tcPr>
            <w:tcW w:w="1251" w:type="pct"/>
            <w:shd w:val="clear" w:color="auto" w:fill="auto"/>
            <w:noWrap/>
            <w:vAlign w:val="bottom"/>
            <w:hideMark/>
          </w:tcPr>
          <w:p w14:paraId="080D652E" w14:textId="77777777" w:rsidR="006F5CF3" w:rsidRPr="00F23FEA" w:rsidRDefault="006F5CF3" w:rsidP="000349C1">
            <w:pPr>
              <w:jc w:val="center"/>
              <w:rPr>
                <w:rFonts w:cs="Arial"/>
                <w:sz w:val="20"/>
                <w:lang w:eastAsia="en-AU"/>
              </w:rPr>
            </w:pPr>
            <w:r>
              <w:rPr>
                <w:rFonts w:cs="Arial"/>
                <w:sz w:val="20"/>
              </w:rPr>
              <w:t xml:space="preserve">888 </w:t>
            </w:r>
          </w:p>
        </w:tc>
      </w:tr>
      <w:tr w:rsidR="006F5CF3" w:rsidRPr="00F23FEA" w14:paraId="0A05792D" w14:textId="77777777" w:rsidTr="000349C1">
        <w:trPr>
          <w:trHeight w:val="255"/>
        </w:trPr>
        <w:tc>
          <w:tcPr>
            <w:tcW w:w="1249" w:type="pct"/>
            <w:shd w:val="clear" w:color="auto" w:fill="B0CAFF" w:themeFill="text2" w:themeFillTint="33"/>
            <w:noWrap/>
            <w:vAlign w:val="bottom"/>
            <w:hideMark/>
          </w:tcPr>
          <w:p w14:paraId="6B981F71" w14:textId="77777777" w:rsidR="006F5CF3" w:rsidRPr="00F23FEA" w:rsidRDefault="006F5CF3" w:rsidP="006772A3">
            <w:pPr>
              <w:rPr>
                <w:rFonts w:cs="Arial"/>
                <w:i/>
                <w:sz w:val="20"/>
                <w:lang w:eastAsia="en-AU"/>
              </w:rPr>
            </w:pPr>
            <w:r w:rsidRPr="00F23FEA">
              <w:rPr>
                <w:rFonts w:cs="Arial"/>
                <w:i/>
                <w:sz w:val="20"/>
                <w:lang w:eastAsia="en-AU"/>
              </w:rPr>
              <w:t>Employment</w:t>
            </w:r>
          </w:p>
        </w:tc>
        <w:tc>
          <w:tcPr>
            <w:tcW w:w="1250" w:type="pct"/>
            <w:shd w:val="clear" w:color="auto" w:fill="B0CAFF" w:themeFill="text2" w:themeFillTint="33"/>
            <w:noWrap/>
            <w:vAlign w:val="bottom"/>
            <w:hideMark/>
          </w:tcPr>
          <w:p w14:paraId="45FB2A3C" w14:textId="77777777" w:rsidR="006F5CF3" w:rsidRPr="00F23FEA" w:rsidRDefault="006F5CF3" w:rsidP="000349C1">
            <w:pPr>
              <w:jc w:val="center"/>
              <w:rPr>
                <w:rFonts w:cs="Arial"/>
                <w:i/>
                <w:sz w:val="20"/>
                <w:lang w:eastAsia="en-AU"/>
              </w:rPr>
            </w:pPr>
          </w:p>
        </w:tc>
        <w:tc>
          <w:tcPr>
            <w:tcW w:w="1250" w:type="pct"/>
            <w:shd w:val="clear" w:color="auto" w:fill="B0CAFF" w:themeFill="text2" w:themeFillTint="33"/>
            <w:noWrap/>
            <w:vAlign w:val="bottom"/>
            <w:hideMark/>
          </w:tcPr>
          <w:p w14:paraId="4F90271F" w14:textId="77777777" w:rsidR="006F5CF3" w:rsidRPr="00F23FEA" w:rsidRDefault="006F5CF3" w:rsidP="000349C1">
            <w:pPr>
              <w:jc w:val="center"/>
              <w:rPr>
                <w:rFonts w:cs="Arial"/>
                <w:i/>
                <w:sz w:val="20"/>
                <w:lang w:eastAsia="en-AU"/>
              </w:rPr>
            </w:pPr>
          </w:p>
        </w:tc>
        <w:tc>
          <w:tcPr>
            <w:tcW w:w="1251" w:type="pct"/>
            <w:shd w:val="clear" w:color="auto" w:fill="B0CAFF" w:themeFill="text2" w:themeFillTint="33"/>
            <w:noWrap/>
            <w:vAlign w:val="bottom"/>
            <w:hideMark/>
          </w:tcPr>
          <w:p w14:paraId="6839BC9B" w14:textId="77777777" w:rsidR="006F5CF3" w:rsidRPr="00F23FEA" w:rsidRDefault="006F5CF3" w:rsidP="000349C1">
            <w:pPr>
              <w:jc w:val="center"/>
              <w:rPr>
                <w:rFonts w:cs="Arial"/>
                <w:i/>
                <w:sz w:val="20"/>
                <w:lang w:eastAsia="en-AU"/>
              </w:rPr>
            </w:pPr>
          </w:p>
        </w:tc>
      </w:tr>
      <w:tr w:rsidR="006F5CF3" w:rsidRPr="00F23FEA" w14:paraId="0C312AF0" w14:textId="77777777" w:rsidTr="000349C1">
        <w:trPr>
          <w:trHeight w:val="255"/>
        </w:trPr>
        <w:tc>
          <w:tcPr>
            <w:tcW w:w="1249" w:type="pct"/>
            <w:shd w:val="clear" w:color="auto" w:fill="auto"/>
            <w:noWrap/>
            <w:vAlign w:val="bottom"/>
            <w:hideMark/>
          </w:tcPr>
          <w:p w14:paraId="0F067849" w14:textId="77777777" w:rsidR="006F5CF3" w:rsidRPr="00F23FEA" w:rsidRDefault="006F5CF3" w:rsidP="006772A3">
            <w:pPr>
              <w:rPr>
                <w:rFonts w:cs="Arial"/>
                <w:sz w:val="20"/>
                <w:lang w:eastAsia="en-AU"/>
              </w:rPr>
            </w:pPr>
            <w:r w:rsidRPr="00F23FEA">
              <w:rPr>
                <w:rFonts w:cs="Arial"/>
                <w:sz w:val="20"/>
                <w:lang w:eastAsia="en-AU"/>
              </w:rPr>
              <w:t>Melbourne</w:t>
            </w:r>
          </w:p>
        </w:tc>
        <w:tc>
          <w:tcPr>
            <w:tcW w:w="1250" w:type="pct"/>
            <w:shd w:val="clear" w:color="auto" w:fill="auto"/>
            <w:noWrap/>
            <w:vAlign w:val="bottom"/>
            <w:hideMark/>
          </w:tcPr>
          <w:p w14:paraId="06414032" w14:textId="77777777" w:rsidR="006F5CF3" w:rsidRPr="00F23FEA" w:rsidRDefault="006F5CF3" w:rsidP="000349C1">
            <w:pPr>
              <w:jc w:val="center"/>
              <w:rPr>
                <w:rFonts w:cs="Arial"/>
                <w:sz w:val="20"/>
                <w:lang w:eastAsia="en-AU"/>
              </w:rPr>
            </w:pPr>
            <w:r>
              <w:rPr>
                <w:rFonts w:cs="Arial"/>
                <w:sz w:val="20"/>
              </w:rPr>
              <w:t xml:space="preserve">6,947 </w:t>
            </w:r>
          </w:p>
        </w:tc>
        <w:tc>
          <w:tcPr>
            <w:tcW w:w="1250" w:type="pct"/>
            <w:shd w:val="clear" w:color="auto" w:fill="auto"/>
            <w:noWrap/>
            <w:vAlign w:val="bottom"/>
            <w:hideMark/>
          </w:tcPr>
          <w:p w14:paraId="10487012" w14:textId="77777777" w:rsidR="006F5CF3" w:rsidRPr="00F23FEA" w:rsidRDefault="006F5CF3" w:rsidP="000349C1">
            <w:pPr>
              <w:jc w:val="center"/>
              <w:rPr>
                <w:rFonts w:cs="Arial"/>
                <w:sz w:val="20"/>
                <w:lang w:eastAsia="en-AU"/>
              </w:rPr>
            </w:pPr>
            <w:r>
              <w:rPr>
                <w:rFonts w:cs="Arial"/>
                <w:sz w:val="20"/>
              </w:rPr>
              <w:t xml:space="preserve">320 </w:t>
            </w:r>
          </w:p>
        </w:tc>
        <w:tc>
          <w:tcPr>
            <w:tcW w:w="1251" w:type="pct"/>
            <w:shd w:val="clear" w:color="auto" w:fill="auto"/>
            <w:noWrap/>
            <w:vAlign w:val="bottom"/>
            <w:hideMark/>
          </w:tcPr>
          <w:p w14:paraId="460014F7" w14:textId="77777777" w:rsidR="006F5CF3" w:rsidRPr="00F23FEA" w:rsidRDefault="006F5CF3" w:rsidP="000349C1">
            <w:pPr>
              <w:jc w:val="center"/>
              <w:rPr>
                <w:rFonts w:cs="Arial"/>
                <w:sz w:val="20"/>
                <w:lang w:eastAsia="en-AU"/>
              </w:rPr>
            </w:pPr>
            <w:r>
              <w:rPr>
                <w:rFonts w:cs="Arial"/>
                <w:sz w:val="20"/>
              </w:rPr>
              <w:t xml:space="preserve">7,268 </w:t>
            </w:r>
          </w:p>
        </w:tc>
      </w:tr>
      <w:tr w:rsidR="006F5CF3" w:rsidRPr="00F23FEA" w14:paraId="78ACCC57" w14:textId="77777777" w:rsidTr="000349C1">
        <w:trPr>
          <w:trHeight w:val="255"/>
        </w:trPr>
        <w:tc>
          <w:tcPr>
            <w:tcW w:w="1249" w:type="pct"/>
            <w:shd w:val="clear" w:color="auto" w:fill="auto"/>
            <w:noWrap/>
            <w:vAlign w:val="bottom"/>
            <w:hideMark/>
          </w:tcPr>
          <w:p w14:paraId="5548FF8B" w14:textId="77777777" w:rsidR="006F5CF3" w:rsidRPr="00F23FEA" w:rsidRDefault="006F5CF3" w:rsidP="006772A3">
            <w:pPr>
              <w:rPr>
                <w:rFonts w:cs="Arial"/>
                <w:sz w:val="20"/>
                <w:lang w:eastAsia="en-AU"/>
              </w:rPr>
            </w:pPr>
            <w:r w:rsidRPr="00F23FEA">
              <w:rPr>
                <w:rFonts w:cs="Arial"/>
                <w:sz w:val="20"/>
                <w:lang w:eastAsia="en-AU"/>
              </w:rPr>
              <w:t>Rest of Victoria</w:t>
            </w:r>
          </w:p>
        </w:tc>
        <w:tc>
          <w:tcPr>
            <w:tcW w:w="1250" w:type="pct"/>
            <w:shd w:val="clear" w:color="auto" w:fill="auto"/>
            <w:noWrap/>
            <w:vAlign w:val="bottom"/>
            <w:hideMark/>
          </w:tcPr>
          <w:p w14:paraId="6C8066D6" w14:textId="77777777" w:rsidR="006F5CF3" w:rsidRPr="00F23FEA" w:rsidRDefault="006F5CF3" w:rsidP="000349C1">
            <w:pPr>
              <w:jc w:val="center"/>
              <w:rPr>
                <w:rFonts w:cs="Arial"/>
                <w:sz w:val="20"/>
                <w:lang w:eastAsia="en-AU"/>
              </w:rPr>
            </w:pPr>
            <w:r>
              <w:rPr>
                <w:rFonts w:cs="Arial"/>
                <w:sz w:val="20"/>
              </w:rPr>
              <w:t xml:space="preserve">248 </w:t>
            </w:r>
          </w:p>
        </w:tc>
        <w:tc>
          <w:tcPr>
            <w:tcW w:w="1250" w:type="pct"/>
            <w:shd w:val="clear" w:color="auto" w:fill="auto"/>
            <w:noWrap/>
            <w:vAlign w:val="bottom"/>
            <w:hideMark/>
          </w:tcPr>
          <w:p w14:paraId="14F61CCD" w14:textId="77777777" w:rsidR="006F5CF3" w:rsidRPr="00F23FEA" w:rsidRDefault="006F5CF3" w:rsidP="000349C1">
            <w:pPr>
              <w:jc w:val="center"/>
              <w:rPr>
                <w:rFonts w:cs="Arial"/>
                <w:sz w:val="20"/>
                <w:lang w:eastAsia="en-AU"/>
              </w:rPr>
            </w:pPr>
            <w:r>
              <w:rPr>
                <w:rFonts w:cs="Arial"/>
                <w:sz w:val="20"/>
              </w:rPr>
              <w:t xml:space="preserve">5,230 </w:t>
            </w:r>
          </w:p>
        </w:tc>
        <w:tc>
          <w:tcPr>
            <w:tcW w:w="1251" w:type="pct"/>
            <w:shd w:val="clear" w:color="auto" w:fill="auto"/>
            <w:noWrap/>
            <w:vAlign w:val="bottom"/>
            <w:hideMark/>
          </w:tcPr>
          <w:p w14:paraId="40BB9E18" w14:textId="77777777" w:rsidR="006F5CF3" w:rsidRPr="00F23FEA" w:rsidRDefault="006F5CF3" w:rsidP="000349C1">
            <w:pPr>
              <w:jc w:val="center"/>
              <w:rPr>
                <w:rFonts w:cs="Arial"/>
                <w:sz w:val="20"/>
                <w:lang w:eastAsia="en-AU"/>
              </w:rPr>
            </w:pPr>
            <w:r>
              <w:rPr>
                <w:rFonts w:cs="Arial"/>
                <w:sz w:val="20"/>
              </w:rPr>
              <w:t xml:space="preserve">5,478 </w:t>
            </w:r>
          </w:p>
        </w:tc>
      </w:tr>
    </w:tbl>
    <w:p w14:paraId="18282CB4" w14:textId="77777777" w:rsidR="00F86B13" w:rsidRPr="00F23FEA" w:rsidRDefault="00F86B13" w:rsidP="00F86B13">
      <w:pPr>
        <w:spacing w:after="120"/>
        <w:rPr>
          <w:rFonts w:cs="Arial"/>
          <w:sz w:val="18"/>
        </w:rPr>
      </w:pPr>
      <w:r w:rsidRPr="00F23FEA">
        <w:rPr>
          <w:rFonts w:cs="Arial"/>
          <w:sz w:val="18"/>
        </w:rPr>
        <w:t>Source: Deloitte Access Economics</w:t>
      </w:r>
      <w:r w:rsidR="00285257">
        <w:rPr>
          <w:rFonts w:cs="Arial"/>
          <w:sz w:val="18"/>
        </w:rPr>
        <w:t>.</w:t>
      </w:r>
    </w:p>
    <w:p w14:paraId="5847BC0C" w14:textId="77777777" w:rsidR="00CB3C08" w:rsidRDefault="00F86B13" w:rsidP="00AE29A3">
      <w:pPr>
        <w:pStyle w:val="Heading1"/>
        <w:rPr>
          <w:lang w:eastAsia="en-AU"/>
        </w:rPr>
      </w:pPr>
      <w:bookmarkStart w:id="192" w:name="_Toc437341808"/>
      <w:bookmarkStart w:id="193" w:name="_Toc437342765"/>
      <w:bookmarkStart w:id="194" w:name="_Toc437341814"/>
      <w:bookmarkStart w:id="195" w:name="_Toc437342771"/>
      <w:bookmarkStart w:id="196" w:name="_Toc437341816"/>
      <w:bookmarkStart w:id="197" w:name="_Toc437342773"/>
      <w:bookmarkStart w:id="198" w:name="_Toc437341818"/>
      <w:bookmarkStart w:id="199" w:name="_Toc437342775"/>
      <w:bookmarkStart w:id="200" w:name="_Toc437341819"/>
      <w:bookmarkStart w:id="201" w:name="_Toc437342776"/>
      <w:bookmarkStart w:id="202" w:name="_Toc437341822"/>
      <w:bookmarkStart w:id="203" w:name="_Toc437342779"/>
      <w:bookmarkStart w:id="204" w:name="_Toc437341824"/>
      <w:bookmarkStart w:id="205" w:name="_Toc437342781"/>
      <w:bookmarkStart w:id="206" w:name="_Toc437341827"/>
      <w:bookmarkStart w:id="207" w:name="_Toc437342784"/>
      <w:bookmarkStart w:id="208" w:name="_Toc437341829"/>
      <w:bookmarkStart w:id="209" w:name="_Toc437342786"/>
      <w:bookmarkStart w:id="210" w:name="_Toc437341831"/>
      <w:bookmarkStart w:id="211" w:name="_Toc437342788"/>
      <w:bookmarkStart w:id="212" w:name="_Toc437341833"/>
      <w:bookmarkStart w:id="213" w:name="_Toc437342790"/>
      <w:bookmarkStart w:id="214" w:name="_Toc437341834"/>
      <w:bookmarkStart w:id="215" w:name="_Toc437342791"/>
      <w:bookmarkStart w:id="216" w:name="_Toc437341837"/>
      <w:bookmarkStart w:id="217" w:name="_Toc437342794"/>
      <w:bookmarkStart w:id="218" w:name="_Toc437341839"/>
      <w:bookmarkStart w:id="219" w:name="_Toc437342796"/>
      <w:bookmarkStart w:id="220" w:name="_Toc437341840"/>
      <w:bookmarkStart w:id="221" w:name="_Toc437342797"/>
      <w:bookmarkStart w:id="222" w:name="_Toc437341841"/>
      <w:bookmarkStart w:id="223" w:name="_Toc437342798"/>
      <w:bookmarkStart w:id="224" w:name="_Toc437341842"/>
      <w:bookmarkStart w:id="225" w:name="_Toc437342799"/>
      <w:bookmarkStart w:id="226" w:name="_Toc437341843"/>
      <w:bookmarkStart w:id="227" w:name="_Toc437342800"/>
      <w:bookmarkStart w:id="228" w:name="_Toc437341847"/>
      <w:bookmarkStart w:id="229" w:name="_Toc437342804"/>
      <w:bookmarkStart w:id="230" w:name="_Toc437341849"/>
      <w:bookmarkStart w:id="231" w:name="_Toc437342806"/>
      <w:bookmarkStart w:id="232" w:name="_Toc437341850"/>
      <w:bookmarkStart w:id="233" w:name="_Toc437342807"/>
      <w:bookmarkStart w:id="234" w:name="_Toc437341851"/>
      <w:bookmarkStart w:id="235" w:name="_Toc437342808"/>
      <w:bookmarkStart w:id="236" w:name="_Toc437341852"/>
      <w:bookmarkStart w:id="237" w:name="_Toc437342809"/>
      <w:bookmarkStart w:id="238" w:name="_Toc437341853"/>
      <w:bookmarkStart w:id="239" w:name="_Toc437342810"/>
      <w:bookmarkStart w:id="240" w:name="_Toc437341854"/>
      <w:bookmarkStart w:id="241" w:name="_Toc437342811"/>
      <w:bookmarkStart w:id="242" w:name="_Toc437341855"/>
      <w:bookmarkStart w:id="243" w:name="_Toc437342812"/>
      <w:bookmarkStart w:id="244" w:name="_Toc437341856"/>
      <w:bookmarkStart w:id="245" w:name="_Toc437342813"/>
      <w:bookmarkStart w:id="246" w:name="_Toc437341857"/>
      <w:bookmarkStart w:id="247" w:name="_Toc437342814"/>
      <w:bookmarkStart w:id="248" w:name="_Toc437341858"/>
      <w:bookmarkStart w:id="249" w:name="_Toc437342815"/>
      <w:bookmarkStart w:id="250" w:name="_Toc437341859"/>
      <w:bookmarkStart w:id="251" w:name="_Toc437342816"/>
      <w:bookmarkStart w:id="252" w:name="_Toc437341860"/>
      <w:bookmarkStart w:id="253" w:name="_Toc437342817"/>
      <w:bookmarkStart w:id="254" w:name="_Toc437341861"/>
      <w:bookmarkStart w:id="255" w:name="_Toc437342818"/>
      <w:bookmarkStart w:id="256" w:name="_Toc437341862"/>
      <w:bookmarkStart w:id="257" w:name="_Toc437342819"/>
      <w:bookmarkStart w:id="258" w:name="_Toc437341863"/>
      <w:bookmarkStart w:id="259" w:name="_Toc437342820"/>
      <w:bookmarkStart w:id="260" w:name="_Toc437341864"/>
      <w:bookmarkStart w:id="261" w:name="_Toc437342821"/>
      <w:bookmarkStart w:id="262" w:name="_Toc437341865"/>
      <w:bookmarkStart w:id="263" w:name="_Toc437342822"/>
      <w:bookmarkStart w:id="264" w:name="_Toc437341871"/>
      <w:bookmarkStart w:id="265" w:name="_Toc437342828"/>
      <w:bookmarkStart w:id="266" w:name="_Toc437341922"/>
      <w:bookmarkStart w:id="267" w:name="_Toc437342879"/>
      <w:bookmarkStart w:id="268" w:name="_Toc437341923"/>
      <w:bookmarkStart w:id="269" w:name="_Toc437342880"/>
      <w:bookmarkStart w:id="270" w:name="_Toc437341924"/>
      <w:bookmarkStart w:id="271" w:name="_Toc437342881"/>
      <w:bookmarkStart w:id="272" w:name="_Toc437341927"/>
      <w:bookmarkStart w:id="273" w:name="_Toc437342884"/>
      <w:bookmarkStart w:id="274" w:name="_Toc437341928"/>
      <w:bookmarkStart w:id="275" w:name="_Toc437342885"/>
      <w:bookmarkStart w:id="276" w:name="_Toc437342039"/>
      <w:bookmarkStart w:id="277" w:name="_Toc437342996"/>
      <w:bookmarkStart w:id="278" w:name="_Toc437342041"/>
      <w:bookmarkStart w:id="279" w:name="_Toc437342998"/>
      <w:bookmarkStart w:id="280" w:name="_Toc437342042"/>
      <w:bookmarkStart w:id="281" w:name="_Toc437342999"/>
      <w:bookmarkStart w:id="282" w:name="_Toc437342043"/>
      <w:bookmarkStart w:id="283" w:name="_Toc437343000"/>
      <w:bookmarkStart w:id="284" w:name="_Toc437342049"/>
      <w:bookmarkStart w:id="285" w:name="_Toc437343006"/>
      <w:bookmarkStart w:id="286" w:name="_Toc437342050"/>
      <w:bookmarkStart w:id="287" w:name="_Toc437343007"/>
      <w:bookmarkStart w:id="288" w:name="_Toc437342051"/>
      <w:bookmarkStart w:id="289" w:name="_Toc437343008"/>
      <w:bookmarkStart w:id="290" w:name="_Toc437342053"/>
      <w:bookmarkStart w:id="291" w:name="_Toc437343010"/>
      <w:bookmarkStart w:id="292" w:name="_Toc437342057"/>
      <w:bookmarkStart w:id="293" w:name="_Toc437343014"/>
      <w:bookmarkStart w:id="294" w:name="_Toc437342063"/>
      <w:bookmarkStart w:id="295" w:name="_Toc437343020"/>
      <w:bookmarkStart w:id="296" w:name="_Toc437342065"/>
      <w:bookmarkStart w:id="297" w:name="_Toc437343022"/>
      <w:bookmarkStart w:id="298" w:name="_Toc437342160"/>
      <w:bookmarkStart w:id="299" w:name="_Toc437343117"/>
      <w:bookmarkStart w:id="300" w:name="_Toc437342161"/>
      <w:bookmarkStart w:id="301" w:name="_Toc437343118"/>
      <w:bookmarkStart w:id="302" w:name="_Toc437342162"/>
      <w:bookmarkStart w:id="303" w:name="_Toc437343119"/>
      <w:bookmarkStart w:id="304" w:name="_Toc437342163"/>
      <w:bookmarkStart w:id="305" w:name="_Toc437343120"/>
      <w:bookmarkStart w:id="306" w:name="_Toc437342166"/>
      <w:bookmarkStart w:id="307" w:name="_Toc437343123"/>
      <w:bookmarkStart w:id="308" w:name="_Toc437342167"/>
      <w:bookmarkStart w:id="309" w:name="_Toc437343124"/>
      <w:bookmarkStart w:id="310" w:name="_Toc437342175"/>
      <w:bookmarkStart w:id="311" w:name="_Toc437343132"/>
      <w:bookmarkStart w:id="312" w:name="_Toc437342206"/>
      <w:bookmarkStart w:id="313" w:name="_Toc437343163"/>
      <w:bookmarkStart w:id="314" w:name="_Toc437342215"/>
      <w:bookmarkStart w:id="315" w:name="_Toc437343172"/>
      <w:bookmarkStart w:id="316" w:name="_Toc437342220"/>
      <w:bookmarkStart w:id="317" w:name="_Toc437343177"/>
      <w:bookmarkStart w:id="318" w:name="_Toc437342221"/>
      <w:bookmarkStart w:id="319" w:name="_Toc437343178"/>
      <w:bookmarkStart w:id="320" w:name="_Toc437342222"/>
      <w:bookmarkStart w:id="321" w:name="_Toc437343179"/>
      <w:bookmarkStart w:id="322" w:name="_Toc437342224"/>
      <w:bookmarkStart w:id="323" w:name="_Toc437343181"/>
      <w:bookmarkStart w:id="324" w:name="_Toc437342225"/>
      <w:bookmarkStart w:id="325" w:name="_Toc437343182"/>
      <w:bookmarkStart w:id="326" w:name="_Toc437342228"/>
      <w:bookmarkStart w:id="327" w:name="_Toc437343185"/>
      <w:bookmarkStart w:id="328" w:name="_Toc437342294"/>
      <w:bookmarkStart w:id="329" w:name="_Toc437343251"/>
      <w:bookmarkStart w:id="330" w:name="_Toc437342295"/>
      <w:bookmarkStart w:id="331" w:name="_Toc437343252"/>
      <w:bookmarkStart w:id="332" w:name="_Toc437342296"/>
      <w:bookmarkStart w:id="333" w:name="_Toc437343253"/>
      <w:bookmarkStart w:id="334" w:name="_Toc437342297"/>
      <w:bookmarkStart w:id="335" w:name="_Toc437343254"/>
      <w:bookmarkStart w:id="336" w:name="_Toc437342298"/>
      <w:bookmarkStart w:id="337" w:name="_Toc437343255"/>
      <w:bookmarkStart w:id="338" w:name="_Toc437342299"/>
      <w:bookmarkStart w:id="339" w:name="_Toc437343256"/>
      <w:bookmarkStart w:id="340" w:name="_Toc437342300"/>
      <w:bookmarkStart w:id="341" w:name="_Toc437343257"/>
      <w:bookmarkStart w:id="342" w:name="_Toc437342301"/>
      <w:bookmarkStart w:id="343" w:name="_Toc437343258"/>
      <w:bookmarkStart w:id="344" w:name="_Toc450809244"/>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Pr>
          <w:lang w:eastAsia="en-AU"/>
        </w:rPr>
        <w:lastRenderedPageBreak/>
        <w:t>Flo</w:t>
      </w:r>
      <w:r w:rsidR="00A6560C">
        <w:rPr>
          <w:lang w:eastAsia="en-AU"/>
        </w:rPr>
        <w:t>w-</w:t>
      </w:r>
      <w:r w:rsidR="006D72C1">
        <w:rPr>
          <w:lang w:eastAsia="en-AU"/>
        </w:rPr>
        <w:t>on effects: visiting friends and relatives</w:t>
      </w:r>
      <w:bookmarkEnd w:id="344"/>
    </w:p>
    <w:p w14:paraId="5305FD36" w14:textId="77777777" w:rsidR="00B1604E" w:rsidRPr="00B1604E" w:rsidRDefault="00A6560C" w:rsidP="00CB0C29">
      <w:pPr>
        <w:pStyle w:val="BodyText"/>
        <w:rPr>
          <w:lang w:eastAsia="en-AU"/>
        </w:rPr>
      </w:pPr>
      <w:r>
        <w:rPr>
          <w:lang w:eastAsia="en-AU"/>
        </w:rPr>
        <w:t>International students do not just</w:t>
      </w:r>
      <w:r w:rsidR="00275AA6">
        <w:rPr>
          <w:lang w:eastAsia="en-AU"/>
        </w:rPr>
        <w:t xml:space="preserve"> bring themselves to Australia but often bring a host of friends and relatives to visit them while they are here. </w:t>
      </w:r>
      <w:r w:rsidR="00CB0C29">
        <w:rPr>
          <w:lang w:eastAsia="en-AU"/>
        </w:rPr>
        <w:t xml:space="preserve">The ABS captures travel expenditure by international students themselves under </w:t>
      </w:r>
      <w:r w:rsidR="00B1604E" w:rsidRPr="00B1604E">
        <w:t>education related personal travel (which is discussed above)</w:t>
      </w:r>
      <w:r w:rsidR="006C69C0">
        <w:t xml:space="preserve"> in its International Trade in Goods and Services publication</w:t>
      </w:r>
      <w:r w:rsidR="00B1604E" w:rsidRPr="00B1604E">
        <w:t xml:space="preserve"> but expenditure by visiting friends and relatives is captured under personal travel</w:t>
      </w:r>
      <w:r w:rsidR="00CB0C29">
        <w:t xml:space="preserve">. </w:t>
      </w:r>
      <w:r w:rsidR="00B1604E" w:rsidRPr="00B1604E">
        <w:t xml:space="preserve"> </w:t>
      </w:r>
    </w:p>
    <w:p w14:paraId="27CFED31" w14:textId="77777777" w:rsidR="00B1604E" w:rsidRDefault="00B1604E" w:rsidP="00B1604E">
      <w:pPr>
        <w:spacing w:before="240"/>
        <w:jc w:val="both"/>
      </w:pPr>
      <w:r w:rsidRPr="00B1604E">
        <w:t xml:space="preserve">This section examines the economic contribution of international students to tourism </w:t>
      </w:r>
      <w:r w:rsidR="00562389">
        <w:t>as a result of</w:t>
      </w:r>
      <w:r w:rsidRPr="00B1604E">
        <w:t xml:space="preserve"> encouraging family and friends to travel and visit them in Australia. </w:t>
      </w:r>
    </w:p>
    <w:p w14:paraId="6860FBD0" w14:textId="77777777" w:rsidR="001E0EE4" w:rsidRPr="002D0A7C" w:rsidRDefault="001E0EE4" w:rsidP="00163EA3">
      <w:pPr>
        <w:pStyle w:val="HeadingC"/>
        <w:pBdr>
          <w:top w:val="single" w:sz="4" w:space="1" w:color="auto"/>
          <w:left w:val="single" w:sz="4" w:space="4" w:color="auto"/>
          <w:bottom w:val="single" w:sz="4" w:space="1" w:color="auto"/>
          <w:right w:val="single" w:sz="4" w:space="4" w:color="auto"/>
        </w:pBdr>
        <w:shd w:val="clear" w:color="auto" w:fill="B0CAFF" w:themeFill="text2" w:themeFillTint="33"/>
        <w:jc w:val="center"/>
        <w:outlineLvl w:val="0"/>
      </w:pPr>
      <w:r>
        <w:t>Economic contribution of visiting friends and relatives – key findings:</w:t>
      </w:r>
    </w:p>
    <w:p w14:paraId="6BA94808" w14:textId="77777777" w:rsidR="001E0EE4" w:rsidRDefault="001E0EE4" w:rsidP="001E0EE4">
      <w:pPr>
        <w:pStyle w:val="BodyText"/>
        <w:pBdr>
          <w:top w:val="single" w:sz="4" w:space="1" w:color="auto"/>
          <w:left w:val="single" w:sz="4" w:space="4" w:color="auto"/>
          <w:bottom w:val="single" w:sz="4" w:space="1" w:color="auto"/>
          <w:right w:val="single" w:sz="4" w:space="4" w:color="auto"/>
        </w:pBdr>
        <w:shd w:val="clear" w:color="auto" w:fill="B0CAFF" w:themeFill="text2" w:themeFillTint="33"/>
        <w:rPr>
          <w:lang w:eastAsia="en-AU"/>
        </w:rPr>
      </w:pPr>
      <w:r w:rsidRPr="000349C1">
        <w:rPr>
          <w:lang w:eastAsia="en-AU"/>
        </w:rPr>
        <w:t xml:space="preserve">Deloitte Access Economics estimates that those who come to Australia to visit friends and relatives </w:t>
      </w:r>
      <w:r>
        <w:rPr>
          <w:lang w:eastAsia="en-AU"/>
        </w:rPr>
        <w:t>contributed a total of</w:t>
      </w:r>
      <w:r w:rsidRPr="000349C1">
        <w:rPr>
          <w:lang w:eastAsia="en-AU"/>
        </w:rPr>
        <w:t xml:space="preserve"> $222 million in value added to the Australian economy </w:t>
      </w:r>
      <w:r>
        <w:rPr>
          <w:lang w:eastAsia="en-AU"/>
        </w:rPr>
        <w:t xml:space="preserve">as a result of tourism expenditure </w:t>
      </w:r>
      <w:r w:rsidRPr="000349C1">
        <w:rPr>
          <w:lang w:eastAsia="en-AU"/>
        </w:rPr>
        <w:t>and support</w:t>
      </w:r>
      <w:r>
        <w:rPr>
          <w:lang w:eastAsia="en-AU"/>
        </w:rPr>
        <w:t>ed</w:t>
      </w:r>
      <w:r w:rsidRPr="000349C1">
        <w:rPr>
          <w:lang w:eastAsia="en-AU"/>
        </w:rPr>
        <w:t xml:space="preserve"> the employment of 2,359 FTE</w:t>
      </w:r>
      <w:r>
        <w:rPr>
          <w:lang w:eastAsia="en-AU"/>
        </w:rPr>
        <w:t xml:space="preserve"> jobs</w:t>
      </w:r>
      <w:r w:rsidRPr="000349C1">
        <w:rPr>
          <w:lang w:eastAsia="en-AU"/>
        </w:rPr>
        <w:t>.</w:t>
      </w:r>
    </w:p>
    <w:p w14:paraId="6ECB2BD7" w14:textId="583D4335" w:rsidR="00F3727C" w:rsidRDefault="001E0EE4" w:rsidP="001E0EE4">
      <w:pPr>
        <w:pBdr>
          <w:top w:val="single" w:sz="4" w:space="1" w:color="auto"/>
          <w:left w:val="single" w:sz="4" w:space="4" w:color="auto"/>
          <w:bottom w:val="single" w:sz="4" w:space="1" w:color="auto"/>
          <w:right w:val="single" w:sz="4" w:space="4" w:color="auto"/>
        </w:pBdr>
        <w:shd w:val="clear" w:color="auto" w:fill="B0CAFF" w:themeFill="text2" w:themeFillTint="33"/>
        <w:spacing w:before="240"/>
        <w:jc w:val="both"/>
      </w:pPr>
      <w:r>
        <w:rPr>
          <w:lang w:eastAsia="en-AU"/>
        </w:rPr>
        <w:t>These figures are based on 109,103 travellers who came to Australia for a holiday or to visit friends and relatives who stated that a reason for their trip to Australia was to visit an international student friend or relative studying here. These visitors are a subset of the broader visitor population of 544,949 who visited an international student at some stage during their trip to Australia but may not have come to Australia for that reason.</w:t>
      </w:r>
    </w:p>
    <w:p w14:paraId="60F7647D" w14:textId="77777777" w:rsidR="00B1604E" w:rsidRDefault="00B1604E" w:rsidP="006D72C1">
      <w:pPr>
        <w:pStyle w:val="Heading2"/>
      </w:pPr>
      <w:bookmarkStart w:id="345" w:name="_Toc437342303"/>
      <w:bookmarkStart w:id="346" w:name="_Toc437343260"/>
      <w:bookmarkStart w:id="347" w:name="_Ref436838053"/>
      <w:bookmarkStart w:id="348" w:name="_Toc450809245"/>
      <w:bookmarkEnd w:id="345"/>
      <w:bookmarkEnd w:id="346"/>
      <w:r w:rsidRPr="00B1604E">
        <w:t>Quantifying the links between international students and visiting friends and relatives</w:t>
      </w:r>
      <w:bookmarkEnd w:id="347"/>
      <w:bookmarkEnd w:id="348"/>
    </w:p>
    <w:p w14:paraId="0DD6EA27" w14:textId="77777777" w:rsidR="00807204" w:rsidRDefault="00807204" w:rsidP="00E74E03">
      <w:pPr>
        <w:pStyle w:val="BodyText"/>
      </w:pPr>
      <w:r>
        <w:t>There have been a number of surveys on the number of visiting friends and relatives who visit an international student while in Australia. However, most surveys do not ask visitors whether they came to Australia:</w:t>
      </w:r>
    </w:p>
    <w:p w14:paraId="08E18C60" w14:textId="77777777" w:rsidR="00807204" w:rsidRDefault="00807204" w:rsidP="00E74E03">
      <w:pPr>
        <w:pStyle w:val="Bullet1"/>
      </w:pPr>
      <w:r>
        <w:t>to visit an international student</w:t>
      </w:r>
      <w:r w:rsidR="00E13322">
        <w:t>;</w:t>
      </w:r>
      <w:r>
        <w:t xml:space="preserve"> or </w:t>
      </w:r>
    </w:p>
    <w:p w14:paraId="4FD2E6D0" w14:textId="77777777" w:rsidR="00807204" w:rsidRDefault="00807204" w:rsidP="00E74E03">
      <w:pPr>
        <w:pStyle w:val="Bullet1"/>
      </w:pPr>
      <w:proofErr w:type="gramStart"/>
      <w:r>
        <w:t>for</w:t>
      </w:r>
      <w:proofErr w:type="gramEnd"/>
      <w:r>
        <w:t xml:space="preserve"> other reasons but happened to visit an international student as part of their trip. </w:t>
      </w:r>
    </w:p>
    <w:p w14:paraId="68ED8C48" w14:textId="77777777" w:rsidR="00807204" w:rsidRDefault="00807204" w:rsidP="00E74E03">
      <w:pPr>
        <w:pStyle w:val="BodyText"/>
      </w:pPr>
      <w:r>
        <w:t xml:space="preserve">To determine the economic contribution of tourism expenditure </w:t>
      </w:r>
      <w:r w:rsidR="000A151D">
        <w:t xml:space="preserve">which is </w:t>
      </w:r>
      <w:r>
        <w:rPr>
          <w:i/>
        </w:rPr>
        <w:t xml:space="preserve">attributable </w:t>
      </w:r>
      <w:r>
        <w:t xml:space="preserve">to international education, it </w:t>
      </w:r>
      <w:r w:rsidR="00E13322">
        <w:t xml:space="preserve">is necessary to </w:t>
      </w:r>
      <w:r>
        <w:t>is</w:t>
      </w:r>
      <w:r w:rsidR="000A151D">
        <w:t xml:space="preserve">olate visitors whose decision to come to Australia was motivated, at least in part, by a desire to visit an international student studying here. </w:t>
      </w:r>
    </w:p>
    <w:p w14:paraId="7C2B945F" w14:textId="77777777" w:rsidR="000A151D" w:rsidRDefault="000A151D" w:rsidP="000A151D">
      <w:pPr>
        <w:spacing w:before="240"/>
        <w:jc w:val="both"/>
      </w:pPr>
      <w:r>
        <w:t xml:space="preserve">To estimate how many visitors were motivated to come to Australia to visit an international student, information on how many visitors indicated that visiting an international student was a reason for their trip to Australia was used. When filling out the International Visitor Survey, visitors are first asked which </w:t>
      </w:r>
      <w:r w:rsidRPr="00777AC2">
        <w:rPr>
          <w:i/>
        </w:rPr>
        <w:t>main reason for coming to Australia</w:t>
      </w:r>
      <w:r>
        <w:t xml:space="preserve"> they </w:t>
      </w:r>
      <w:r w:rsidR="00E13322">
        <w:t xml:space="preserve">had </w:t>
      </w:r>
      <w:r>
        <w:t xml:space="preserve">entered on their international visitor card (holiday, visiting friends and relatives, business, employment, education, other) and subsequently what other reasons they had for coming </w:t>
      </w:r>
      <w:r>
        <w:lastRenderedPageBreak/>
        <w:t xml:space="preserve">to Australia. The list of other reasons includes visiting an international student friend or relative in Australia.  </w:t>
      </w:r>
    </w:p>
    <w:p w14:paraId="2EE80822" w14:textId="77777777" w:rsidR="00402979" w:rsidRDefault="000A151D" w:rsidP="00402979">
      <w:pPr>
        <w:spacing w:before="240"/>
        <w:jc w:val="both"/>
      </w:pPr>
      <w:r>
        <w:t>In 2014-15, 124,069 visitors indicated that visiting an international student was a reason why they decided to come to Australia. Of these, 109,103 indicated their main reason for coming to Australia was either to visit friends and relatives or to have a holiday.  The remainder indicated that their main reason was business, employment, education or other.</w:t>
      </w:r>
      <w:r>
        <w:rPr>
          <w:rStyle w:val="FootnoteReference"/>
        </w:rPr>
        <w:footnoteReference w:id="15"/>
      </w:r>
      <w:r>
        <w:t xml:space="preserve"> </w:t>
      </w:r>
    </w:p>
    <w:p w14:paraId="168CD15A" w14:textId="77777777" w:rsidR="00402979" w:rsidRPr="0027739B" w:rsidRDefault="00402979" w:rsidP="00402979">
      <w:pPr>
        <w:spacing w:before="240"/>
        <w:jc w:val="both"/>
      </w:pPr>
      <w:r>
        <w:t xml:space="preserve">To determine how many trips are attributable to international education, the analysis focuses on those whose main reason was either to visit friends and relatives or to have a holiday. </w:t>
      </w:r>
      <w:r w:rsidRPr="0027739B">
        <w:t xml:space="preserve">It is assumed that those whose main reason for coming to Australia was </w:t>
      </w:r>
      <w:r>
        <w:t xml:space="preserve">business, employment, education or other </w:t>
      </w:r>
      <w:r w:rsidRPr="0027739B">
        <w:t xml:space="preserve">are less likely to have been driven to come to Australia specifically </w:t>
      </w:r>
      <w:r>
        <w:t>to visit an international student</w:t>
      </w:r>
      <w:r w:rsidRPr="0027739B">
        <w:t>. That being said, while it is unlikely that the presence of an international student friend or relative would lead to a business meeting</w:t>
      </w:r>
      <w:r>
        <w:t xml:space="preserve"> or job</w:t>
      </w:r>
      <w:r w:rsidRPr="0027739B">
        <w:t xml:space="preserve"> being relocated to Australia, it is possible that some people may choose to attend a conference in Australia if one of their friends or relatives is studying here. </w:t>
      </w:r>
    </w:p>
    <w:p w14:paraId="33482ABC" w14:textId="77777777" w:rsidR="000A151D" w:rsidRDefault="000A151D" w:rsidP="000A151D">
      <w:pPr>
        <w:spacing w:before="240"/>
        <w:jc w:val="both"/>
      </w:pPr>
      <w:r>
        <w:t xml:space="preserve">It should </w:t>
      </w:r>
      <w:r w:rsidR="00402979">
        <w:t xml:space="preserve">also </w:t>
      </w:r>
      <w:r>
        <w:t xml:space="preserve">be noted that </w:t>
      </w:r>
      <w:r w:rsidR="00466C8E">
        <w:t xml:space="preserve">the total number of visitors who visit an international student as part of their trip is much higher, although as noted above many of these visitors may have come to Australia for other reasons. Between 2012 and 2014, </w:t>
      </w:r>
      <w:proofErr w:type="spellStart"/>
      <w:r w:rsidR="00466C8E" w:rsidRPr="00B1604E">
        <w:t>T</w:t>
      </w:r>
      <w:r w:rsidR="00466C8E">
        <w:t>RA</w:t>
      </w:r>
      <w:proofErr w:type="spellEnd"/>
      <w:r w:rsidR="00466C8E">
        <w:t xml:space="preserve"> </w:t>
      </w:r>
      <w:r w:rsidR="00466C8E" w:rsidRPr="00B1604E">
        <w:t xml:space="preserve">included supplementary questions in </w:t>
      </w:r>
      <w:r w:rsidR="00466C8E">
        <w:t xml:space="preserve">the International Visitor Survey </w:t>
      </w:r>
      <w:r w:rsidR="00466C8E" w:rsidRPr="00B1604E">
        <w:t>asking respondents whether or not they visited an overseas student studying in Australia during their trip.</w:t>
      </w:r>
      <w:r w:rsidR="00466C8E">
        <w:t xml:space="preserve"> </w:t>
      </w:r>
      <w:r>
        <w:t xml:space="preserve">This data indicated that in the 2014 calendar year a </w:t>
      </w:r>
      <w:r w:rsidRPr="00B1604E">
        <w:t>total of 544,949 visitors who came to Australia visited an international student while they were here</w:t>
      </w:r>
      <w:r>
        <w:t xml:space="preserve"> (excluding those whose primary purpose was education). These visitors stayed a total of </w:t>
      </w:r>
      <w:r w:rsidRPr="00B1604E">
        <w:t>21.3 million visitor nights in Australi</w:t>
      </w:r>
      <w:r>
        <w:t>a and spent a total of $1.8 billion while they were here.</w:t>
      </w:r>
      <w:r>
        <w:rPr>
          <w:rStyle w:val="FootnoteReference"/>
        </w:rPr>
        <w:footnoteReference w:id="16"/>
      </w:r>
      <w:r w:rsidR="00466C8E">
        <w:t xml:space="preserve">  More detailed </w:t>
      </w:r>
      <w:r w:rsidR="00B76D22">
        <w:t>information on the distribution of these visitors by state and ter</w:t>
      </w:r>
      <w:r w:rsidR="00846271">
        <w:t>ritory is provided in Appendix F</w:t>
      </w:r>
      <w:r w:rsidR="00B76D22">
        <w:t>.</w:t>
      </w:r>
    </w:p>
    <w:p w14:paraId="729C3B3F" w14:textId="77777777" w:rsidR="00466C8E" w:rsidRDefault="00466C8E" w:rsidP="000A151D">
      <w:pPr>
        <w:spacing w:before="240"/>
        <w:jc w:val="both"/>
      </w:pPr>
      <w:r>
        <w:fldChar w:fldCharType="begin"/>
      </w:r>
      <w:r>
        <w:instrText xml:space="preserve"> REF _Ref442367544 \r \h </w:instrText>
      </w:r>
      <w:r>
        <w:fldChar w:fldCharType="separate"/>
      </w:r>
      <w:r w:rsidR="00F03FA0">
        <w:t>Figure 5.1</w:t>
      </w:r>
      <w:r>
        <w:fldChar w:fldCharType="end"/>
      </w:r>
      <w:r w:rsidR="000A151D">
        <w:t xml:space="preserve"> </w:t>
      </w:r>
      <w:r>
        <w:t xml:space="preserve">shows how the number of visitors, visitor nights and expenditure of those who are assumed to have come to Australia to visit an international student is a </w:t>
      </w:r>
      <w:r w:rsidR="00B76D22">
        <w:t xml:space="preserve">strict </w:t>
      </w:r>
      <w:r>
        <w:t>subset of the broader population who visited an internatio</w:t>
      </w:r>
      <w:r w:rsidR="00B76D22">
        <w:t xml:space="preserve">nal student while in Australia based </w:t>
      </w:r>
      <w:r w:rsidR="00E13322">
        <w:t xml:space="preserve">on </w:t>
      </w:r>
      <w:r w:rsidR="00B76D22">
        <w:t xml:space="preserve">the results of </w:t>
      </w:r>
      <w:proofErr w:type="spellStart"/>
      <w:r w:rsidR="00B76D22">
        <w:t>TRA’s</w:t>
      </w:r>
      <w:proofErr w:type="spellEnd"/>
      <w:r w:rsidR="00B76D22">
        <w:t xml:space="preserve"> supplementary survey. </w:t>
      </w:r>
    </w:p>
    <w:p w14:paraId="6E99CEA1" w14:textId="77777777" w:rsidR="000A151D" w:rsidRDefault="000A151D" w:rsidP="000A151D">
      <w:pPr>
        <w:pStyle w:val="CaptionFigure"/>
      </w:pPr>
      <w:bookmarkStart w:id="349" w:name="_Toc442370046"/>
      <w:bookmarkStart w:id="350" w:name="_Ref442367544"/>
      <w:bookmarkStart w:id="351" w:name="_Toc450809298"/>
      <w:bookmarkEnd w:id="349"/>
      <w:r>
        <w:lastRenderedPageBreak/>
        <w:t>: Visitors coming to Australia to visit an international student relative to those who visit an international student while they are in Australia</w:t>
      </w:r>
      <w:bookmarkEnd w:id="350"/>
      <w:bookmarkEnd w:id="351"/>
    </w:p>
    <w:p w14:paraId="1D98E22A" w14:textId="77777777" w:rsidR="000A151D" w:rsidRPr="00DB2019" w:rsidRDefault="000A151D" w:rsidP="000A151D">
      <w:pPr>
        <w:pStyle w:val="BodyText"/>
      </w:pPr>
      <w:r w:rsidRPr="003439C6">
        <w:rPr>
          <w:noProof/>
          <w:lang w:eastAsia="en-AU"/>
        </w:rPr>
        <w:drawing>
          <wp:inline distT="0" distB="0" distL="0" distR="0" wp14:anchorId="4DED63D1" wp14:editId="23C6D17C">
            <wp:extent cx="5219700" cy="1931423"/>
            <wp:effectExtent l="0" t="0" r="0" b="0"/>
            <wp:docPr id="9" name="Picture 9" descr="The figure shows the number of visitors coming to Australia to visit an international student relative to those who visit an international student while they are in Australia.&#10;" title="Figure 5.1: Visitors coming to Australia to visit an international student relative to those who visit an international student while they are in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19700" cy="1931423"/>
                    </a:xfrm>
                    <a:prstGeom prst="rect">
                      <a:avLst/>
                    </a:prstGeom>
                    <a:noFill/>
                    <a:ln>
                      <a:noFill/>
                    </a:ln>
                  </pic:spPr>
                </pic:pic>
              </a:graphicData>
            </a:graphic>
          </wp:inline>
        </w:drawing>
      </w:r>
    </w:p>
    <w:p w14:paraId="0D29197C" w14:textId="77777777" w:rsidR="000A151D" w:rsidRDefault="000A151D" w:rsidP="000A151D">
      <w:pPr>
        <w:pStyle w:val="Source"/>
        <w:spacing w:after="0"/>
      </w:pPr>
      <w:r>
        <w:t xml:space="preserve">Note: Expenditure in Australia excludes expenditure on education. </w:t>
      </w:r>
    </w:p>
    <w:p w14:paraId="7CC374AC" w14:textId="77777777" w:rsidR="000A151D" w:rsidRDefault="000A151D" w:rsidP="000A151D">
      <w:pPr>
        <w:pStyle w:val="Source"/>
        <w:spacing w:after="0"/>
      </w:pPr>
      <w:r>
        <w:t xml:space="preserve">Source: </w:t>
      </w:r>
      <w:proofErr w:type="spellStart"/>
      <w:r>
        <w:t>TRA</w:t>
      </w:r>
      <w:proofErr w:type="spellEnd"/>
      <w:r>
        <w:t xml:space="preserve"> and Deloitte Access Economics</w:t>
      </w:r>
    </w:p>
    <w:p w14:paraId="715FE763" w14:textId="77777777" w:rsidR="00B76D22" w:rsidRPr="00807204" w:rsidRDefault="00B76D22">
      <w:pPr>
        <w:pStyle w:val="BodyText"/>
      </w:pPr>
      <w:r w:rsidRPr="00E74E03">
        <w:t>In estimating the economic contribution</w:t>
      </w:r>
      <w:r>
        <w:t xml:space="preserve">, the analysis here focuses here on the subset of </w:t>
      </w:r>
      <w:r w:rsidR="00E13322">
        <w:t xml:space="preserve">visitors </w:t>
      </w:r>
      <w:r>
        <w:t>who are assumed to have come to Australia to visit an international student</w:t>
      </w:r>
      <w:r w:rsidR="00402979">
        <w:t xml:space="preserve"> and whose travel is reasonably attributable to the international </w:t>
      </w:r>
      <w:r w:rsidR="00117533">
        <w:t xml:space="preserve">education </w:t>
      </w:r>
      <w:r w:rsidR="00402979">
        <w:t xml:space="preserve">sector. This is likely to be a conservative approach given that total visitor numbers are much higher. The </w:t>
      </w:r>
      <w:r w:rsidRPr="00B76D22">
        <w:t xml:space="preserve">numbers in </w:t>
      </w:r>
      <w:r w:rsidR="00777AC2">
        <w:fldChar w:fldCharType="begin"/>
      </w:r>
      <w:r w:rsidR="00777AC2">
        <w:instrText xml:space="preserve"> REF _Ref442367544 \r \h </w:instrText>
      </w:r>
      <w:r w:rsidR="00777AC2">
        <w:fldChar w:fldCharType="separate"/>
      </w:r>
      <w:r w:rsidR="00F03FA0">
        <w:t>Figure 5.1</w:t>
      </w:r>
      <w:r w:rsidR="00777AC2">
        <w:fldChar w:fldCharType="end"/>
      </w:r>
      <w:r w:rsidR="00470A45">
        <w:t xml:space="preserve"> </w:t>
      </w:r>
      <w:r w:rsidR="00402979">
        <w:t>also</w:t>
      </w:r>
      <w:r w:rsidRPr="00B76D22">
        <w:t xml:space="preserve"> do not include return visits by international students themselves to Australia. A recent study by </w:t>
      </w:r>
      <w:proofErr w:type="spellStart"/>
      <w:r w:rsidRPr="00B76D22">
        <w:t>Pyke</w:t>
      </w:r>
      <w:proofErr w:type="spellEnd"/>
      <w:r w:rsidRPr="00B76D22">
        <w:t xml:space="preserve"> et al (2013) found that 64% of Chinese international student alumni had travelled back to Australia in the last five years and the majority had travelled twice or more frequently. This highlights the future dividend that international education can bring to the tourism sector. </w:t>
      </w:r>
    </w:p>
    <w:p w14:paraId="073CB961" w14:textId="77777777" w:rsidR="004A6626" w:rsidRPr="004A6626" w:rsidRDefault="004A6626" w:rsidP="004A6626">
      <w:pPr>
        <w:spacing w:before="240"/>
        <w:jc w:val="both"/>
      </w:pPr>
    </w:p>
    <w:p w14:paraId="3FA06DD1" w14:textId="77777777" w:rsidR="004A6626" w:rsidRPr="004A6626" w:rsidRDefault="004A6626" w:rsidP="00154306">
      <w:pPr>
        <w:pStyle w:val="Heading2"/>
      </w:pPr>
      <w:bookmarkStart w:id="352" w:name="_Toc450809246"/>
      <w:r w:rsidRPr="004A6626">
        <w:t>The economic contribution of visiting friends and relatives</w:t>
      </w:r>
      <w:bookmarkEnd w:id="352"/>
    </w:p>
    <w:p w14:paraId="08A1D1E2" w14:textId="77777777" w:rsidR="004A6626" w:rsidRDefault="001620E7" w:rsidP="001620E7">
      <w:pPr>
        <w:spacing w:before="240"/>
        <w:jc w:val="both"/>
      </w:pPr>
      <w:r>
        <w:t>The economic contribution f</w:t>
      </w:r>
      <w:r w:rsidR="00AB08FB">
        <w:t>rom the $282 million</w:t>
      </w:r>
      <w:r w:rsidR="00AB08FB" w:rsidRPr="004A6626">
        <w:t xml:space="preserve"> </w:t>
      </w:r>
      <w:r w:rsidR="00AB08FB">
        <w:t xml:space="preserve">in export revenue attributable to </w:t>
      </w:r>
      <w:proofErr w:type="spellStart"/>
      <w:r w:rsidR="00AB08FB">
        <w:t>VFR</w:t>
      </w:r>
      <w:proofErr w:type="spellEnd"/>
      <w:r w:rsidR="00AB08FB">
        <w:t xml:space="preserve"> who come to Australia for the purpose of visiting an </w:t>
      </w:r>
      <w:r>
        <w:t xml:space="preserve">international student </w:t>
      </w:r>
      <w:r w:rsidR="004A6626" w:rsidRPr="004A6626">
        <w:t>is shown in</w:t>
      </w:r>
      <w:r w:rsidR="005A388A">
        <w:t xml:space="preserve"> </w:t>
      </w:r>
      <w:r w:rsidR="005A388A">
        <w:fldChar w:fldCharType="begin"/>
      </w:r>
      <w:r w:rsidR="005A388A">
        <w:instrText xml:space="preserve"> REF _Ref437272555 \r \h </w:instrText>
      </w:r>
      <w:r w:rsidR="005A388A">
        <w:fldChar w:fldCharType="separate"/>
      </w:r>
      <w:r w:rsidR="00F03FA0">
        <w:t>Table 5.1</w:t>
      </w:r>
      <w:r w:rsidR="005A388A">
        <w:fldChar w:fldCharType="end"/>
      </w:r>
      <w:r w:rsidR="004A6626" w:rsidRPr="004A6626">
        <w:t xml:space="preserve">. </w:t>
      </w:r>
      <w:r>
        <w:t xml:space="preserve">The methodology of the estimation process can be found in </w:t>
      </w:r>
      <w:r>
        <w:fldChar w:fldCharType="begin"/>
      </w:r>
      <w:r>
        <w:instrText xml:space="preserve"> REF _Ref442004295 \r \h </w:instrText>
      </w:r>
      <w:r>
        <w:fldChar w:fldCharType="separate"/>
      </w:r>
      <w:r w:rsidR="00F03FA0">
        <w:t>Appendix F</w:t>
      </w:r>
      <w:r>
        <w:fldChar w:fldCharType="end"/>
      </w:r>
      <w:r>
        <w:t xml:space="preserve">. </w:t>
      </w:r>
      <w:r w:rsidR="004A6626" w:rsidRPr="004A6626">
        <w:t>Overall, these visitors were estimated to directly contribute $</w:t>
      </w:r>
      <w:r w:rsidR="00350362">
        <w:t>123</w:t>
      </w:r>
      <w:r w:rsidR="004A6626" w:rsidRPr="004A6626">
        <w:t xml:space="preserve"> million in value added to the Australian economy, including $</w:t>
      </w:r>
      <w:r w:rsidR="00350362">
        <w:t>77</w:t>
      </w:r>
      <w:r w:rsidR="004A6626" w:rsidRPr="004A6626">
        <w:t xml:space="preserve"> million in labour income and $</w:t>
      </w:r>
      <w:r w:rsidR="00350362">
        <w:t>46</w:t>
      </w:r>
      <w:r w:rsidR="004A6626" w:rsidRPr="004A6626">
        <w:t xml:space="preserve"> million in gross operating surplus.</w:t>
      </w:r>
      <w:r w:rsidR="00761CD8">
        <w:t xml:space="preserve"> </w:t>
      </w:r>
    </w:p>
    <w:p w14:paraId="42FD6E3E" w14:textId="77777777" w:rsidR="004A6626" w:rsidRPr="004A6626" w:rsidRDefault="004A6626" w:rsidP="00D72A59">
      <w:pPr>
        <w:pStyle w:val="CaptionTable"/>
      </w:pPr>
      <w:bookmarkStart w:id="353" w:name="_Ref437272555"/>
      <w:bookmarkStart w:id="354" w:name="_Toc450809289"/>
      <w:r w:rsidRPr="004A6626">
        <w:t>: Contribution of friends and relatives visiting international students, 2014</w:t>
      </w:r>
      <w:r w:rsidR="00350362">
        <w:t>-15</w:t>
      </w:r>
      <w:bookmarkEnd w:id="353"/>
      <w:bookmarkEnd w:id="354"/>
    </w:p>
    <w:tbl>
      <w:tblPr>
        <w:tblStyle w:val="TableAE"/>
        <w:tblW w:w="8347" w:type="dxa"/>
        <w:tblLayout w:type="fixed"/>
        <w:tblLook w:val="04A0" w:firstRow="1" w:lastRow="0" w:firstColumn="1" w:lastColumn="0" w:noHBand="0" w:noVBand="1"/>
        <w:tblCaption w:val="Table 5.1: Contribution of friends and relatives visiting international students, 2014–15"/>
        <w:tblDescription w:val="The chart shows the industries that received the indirect value added from tourism activity in financial year 2014–15."/>
      </w:tblPr>
      <w:tblGrid>
        <w:gridCol w:w="3041"/>
        <w:gridCol w:w="1768"/>
        <w:gridCol w:w="1769"/>
        <w:gridCol w:w="1769"/>
      </w:tblGrid>
      <w:tr w:rsidR="004A6626" w:rsidRPr="004A6626" w14:paraId="0081F16C" w14:textId="77777777" w:rsidTr="00AA149D">
        <w:trPr>
          <w:cnfStyle w:val="100000000000" w:firstRow="1" w:lastRow="0" w:firstColumn="0" w:lastColumn="0" w:oddVBand="0" w:evenVBand="0" w:oddHBand="0" w:evenHBand="0" w:firstRowFirstColumn="0" w:firstRowLastColumn="0" w:lastRowFirstColumn="0" w:lastRowLastColumn="0"/>
          <w:tblHeader/>
        </w:trPr>
        <w:tc>
          <w:tcPr>
            <w:tcW w:w="3041" w:type="dxa"/>
          </w:tcPr>
          <w:p w14:paraId="0F7B21A2" w14:textId="77777777" w:rsidR="004A6626" w:rsidRPr="004A6626" w:rsidRDefault="004A6626" w:rsidP="004A6626">
            <w:pPr>
              <w:keepNext/>
              <w:keepLines/>
              <w:spacing w:before="20" w:after="20"/>
              <w:jc w:val="center"/>
              <w:rPr>
                <w:b/>
                <w:color w:val="002776"/>
                <w:szCs w:val="22"/>
              </w:rPr>
            </w:pPr>
            <w:r w:rsidRPr="004A6626">
              <w:rPr>
                <w:b/>
                <w:color w:val="002776"/>
                <w:szCs w:val="22"/>
              </w:rPr>
              <w:t>Metric</w:t>
            </w:r>
          </w:p>
        </w:tc>
        <w:tc>
          <w:tcPr>
            <w:tcW w:w="1768" w:type="dxa"/>
          </w:tcPr>
          <w:p w14:paraId="01C606EB" w14:textId="77777777" w:rsidR="004A6626" w:rsidRPr="004A6626" w:rsidRDefault="004A6626" w:rsidP="004A6626">
            <w:pPr>
              <w:keepNext/>
              <w:keepLines/>
              <w:spacing w:before="20" w:after="20"/>
              <w:jc w:val="center"/>
              <w:rPr>
                <w:b/>
                <w:color w:val="002776"/>
                <w:szCs w:val="22"/>
              </w:rPr>
            </w:pPr>
            <w:r w:rsidRPr="004A6626">
              <w:rPr>
                <w:b/>
                <w:color w:val="002776"/>
                <w:szCs w:val="22"/>
              </w:rPr>
              <w:t>Direct</w:t>
            </w:r>
          </w:p>
        </w:tc>
        <w:tc>
          <w:tcPr>
            <w:tcW w:w="1769" w:type="dxa"/>
          </w:tcPr>
          <w:p w14:paraId="2504084A" w14:textId="77777777" w:rsidR="004A6626" w:rsidRPr="004A6626" w:rsidRDefault="004A6626" w:rsidP="004A6626">
            <w:pPr>
              <w:keepNext/>
              <w:keepLines/>
              <w:spacing w:before="20" w:after="20"/>
              <w:jc w:val="center"/>
              <w:rPr>
                <w:b/>
                <w:color w:val="002776"/>
                <w:szCs w:val="22"/>
              </w:rPr>
            </w:pPr>
            <w:r w:rsidRPr="004A6626">
              <w:rPr>
                <w:b/>
                <w:color w:val="002776"/>
                <w:szCs w:val="22"/>
              </w:rPr>
              <w:t>Indirect</w:t>
            </w:r>
          </w:p>
        </w:tc>
        <w:tc>
          <w:tcPr>
            <w:tcW w:w="1769" w:type="dxa"/>
          </w:tcPr>
          <w:p w14:paraId="26BECB17" w14:textId="77777777" w:rsidR="004A6626" w:rsidRPr="004A6626" w:rsidRDefault="004A6626" w:rsidP="004A6626">
            <w:pPr>
              <w:keepNext/>
              <w:keepLines/>
              <w:spacing w:before="20" w:after="20"/>
              <w:jc w:val="center"/>
              <w:rPr>
                <w:b/>
                <w:color w:val="002776"/>
                <w:szCs w:val="22"/>
              </w:rPr>
            </w:pPr>
            <w:r w:rsidRPr="004A6626">
              <w:rPr>
                <w:b/>
                <w:color w:val="002776"/>
                <w:szCs w:val="22"/>
              </w:rPr>
              <w:t>Total</w:t>
            </w:r>
          </w:p>
        </w:tc>
      </w:tr>
      <w:tr w:rsidR="00350362" w:rsidRPr="004A6626" w14:paraId="79C510A1" w14:textId="77777777" w:rsidTr="00154306">
        <w:tc>
          <w:tcPr>
            <w:tcW w:w="3041" w:type="dxa"/>
          </w:tcPr>
          <w:p w14:paraId="14177B54" w14:textId="77777777" w:rsidR="00350362" w:rsidRPr="004A6626" w:rsidRDefault="00350362" w:rsidP="004A6626">
            <w:pPr>
              <w:spacing w:before="60"/>
              <w:rPr>
                <w:sz w:val="20"/>
              </w:rPr>
            </w:pPr>
            <w:r w:rsidRPr="004A6626">
              <w:rPr>
                <w:sz w:val="20"/>
              </w:rPr>
              <w:t>Labour Income ($m)</w:t>
            </w:r>
          </w:p>
        </w:tc>
        <w:tc>
          <w:tcPr>
            <w:tcW w:w="1768" w:type="dxa"/>
          </w:tcPr>
          <w:p w14:paraId="63E2F6BE" w14:textId="77777777" w:rsidR="00350362" w:rsidRPr="004A6626" w:rsidRDefault="00350362">
            <w:pPr>
              <w:jc w:val="center"/>
              <w:rPr>
                <w:rFonts w:cs="Arial"/>
                <w:color w:val="000000"/>
                <w:sz w:val="20"/>
              </w:rPr>
            </w:pPr>
            <w:r>
              <w:rPr>
                <w:rFonts w:cs="Arial"/>
                <w:color w:val="000000"/>
                <w:sz w:val="20"/>
              </w:rPr>
              <w:t>77</w:t>
            </w:r>
          </w:p>
        </w:tc>
        <w:tc>
          <w:tcPr>
            <w:tcW w:w="1769" w:type="dxa"/>
          </w:tcPr>
          <w:p w14:paraId="1520C954" w14:textId="77777777" w:rsidR="00350362" w:rsidRPr="004A6626" w:rsidRDefault="00350362">
            <w:pPr>
              <w:jc w:val="center"/>
              <w:rPr>
                <w:rFonts w:cs="Arial"/>
                <w:color w:val="000000"/>
                <w:sz w:val="20"/>
              </w:rPr>
            </w:pPr>
            <w:r>
              <w:rPr>
                <w:rFonts w:cs="Arial"/>
                <w:color w:val="000000"/>
                <w:sz w:val="20"/>
              </w:rPr>
              <w:t>51</w:t>
            </w:r>
          </w:p>
        </w:tc>
        <w:tc>
          <w:tcPr>
            <w:tcW w:w="1769" w:type="dxa"/>
          </w:tcPr>
          <w:p w14:paraId="25D865C6" w14:textId="77777777" w:rsidR="00350362" w:rsidRPr="004A6626" w:rsidRDefault="00350362">
            <w:pPr>
              <w:jc w:val="center"/>
              <w:rPr>
                <w:rFonts w:cs="Arial"/>
                <w:color w:val="000000"/>
                <w:sz w:val="20"/>
              </w:rPr>
            </w:pPr>
            <w:r>
              <w:rPr>
                <w:rFonts w:cs="Arial"/>
                <w:color w:val="000000"/>
                <w:sz w:val="20"/>
              </w:rPr>
              <w:t>128</w:t>
            </w:r>
          </w:p>
        </w:tc>
      </w:tr>
      <w:tr w:rsidR="00350362" w:rsidRPr="004A6626" w14:paraId="3C079E35" w14:textId="77777777" w:rsidTr="00154306">
        <w:tc>
          <w:tcPr>
            <w:tcW w:w="3041" w:type="dxa"/>
          </w:tcPr>
          <w:p w14:paraId="181BD711" w14:textId="77777777" w:rsidR="00350362" w:rsidRPr="004A6626" w:rsidRDefault="00350362" w:rsidP="004A6626">
            <w:pPr>
              <w:spacing w:before="60"/>
              <w:rPr>
                <w:sz w:val="20"/>
              </w:rPr>
            </w:pPr>
            <w:r w:rsidRPr="004A6626">
              <w:rPr>
                <w:sz w:val="20"/>
              </w:rPr>
              <w:t>Gross Operating Surplus ($m)</w:t>
            </w:r>
          </w:p>
        </w:tc>
        <w:tc>
          <w:tcPr>
            <w:tcW w:w="1768" w:type="dxa"/>
          </w:tcPr>
          <w:p w14:paraId="7F167446" w14:textId="77777777" w:rsidR="00350362" w:rsidRPr="004A6626" w:rsidRDefault="00350362">
            <w:pPr>
              <w:jc w:val="center"/>
              <w:rPr>
                <w:rFonts w:cs="Arial"/>
                <w:color w:val="000000"/>
                <w:sz w:val="20"/>
              </w:rPr>
            </w:pPr>
            <w:r>
              <w:rPr>
                <w:rFonts w:cs="Arial"/>
                <w:color w:val="000000"/>
                <w:sz w:val="20"/>
              </w:rPr>
              <w:t>46</w:t>
            </w:r>
          </w:p>
        </w:tc>
        <w:tc>
          <w:tcPr>
            <w:tcW w:w="1769" w:type="dxa"/>
          </w:tcPr>
          <w:p w14:paraId="1B779E1D" w14:textId="77777777" w:rsidR="00350362" w:rsidRPr="004A6626" w:rsidRDefault="00350362">
            <w:pPr>
              <w:jc w:val="center"/>
              <w:rPr>
                <w:rFonts w:cs="Arial"/>
                <w:color w:val="000000"/>
                <w:sz w:val="20"/>
              </w:rPr>
            </w:pPr>
            <w:r>
              <w:rPr>
                <w:rFonts w:cs="Arial"/>
                <w:color w:val="000000"/>
                <w:sz w:val="20"/>
              </w:rPr>
              <w:t>48</w:t>
            </w:r>
          </w:p>
        </w:tc>
        <w:tc>
          <w:tcPr>
            <w:tcW w:w="1769" w:type="dxa"/>
          </w:tcPr>
          <w:p w14:paraId="56F97B9A" w14:textId="77777777" w:rsidR="00350362" w:rsidRPr="004A6626" w:rsidRDefault="00350362">
            <w:pPr>
              <w:jc w:val="center"/>
              <w:rPr>
                <w:rFonts w:cs="Arial"/>
                <w:color w:val="000000"/>
                <w:sz w:val="20"/>
              </w:rPr>
            </w:pPr>
            <w:r>
              <w:rPr>
                <w:rFonts w:cs="Arial"/>
                <w:color w:val="000000"/>
                <w:sz w:val="20"/>
              </w:rPr>
              <w:t>94</w:t>
            </w:r>
          </w:p>
        </w:tc>
      </w:tr>
      <w:tr w:rsidR="00350362" w:rsidRPr="004A6626" w14:paraId="00C0AE50" w14:textId="77777777" w:rsidTr="00154306">
        <w:tc>
          <w:tcPr>
            <w:tcW w:w="3041" w:type="dxa"/>
          </w:tcPr>
          <w:p w14:paraId="0B4D3A3D" w14:textId="77777777" w:rsidR="00350362" w:rsidRPr="004A6626" w:rsidRDefault="00350362" w:rsidP="004A6626">
            <w:pPr>
              <w:spacing w:before="60"/>
              <w:rPr>
                <w:sz w:val="20"/>
              </w:rPr>
            </w:pPr>
            <w:r w:rsidRPr="004A6626">
              <w:rPr>
                <w:sz w:val="20"/>
              </w:rPr>
              <w:t>Value Added ($m)</w:t>
            </w:r>
          </w:p>
        </w:tc>
        <w:tc>
          <w:tcPr>
            <w:tcW w:w="1768" w:type="dxa"/>
          </w:tcPr>
          <w:p w14:paraId="2CBFE79D" w14:textId="77777777" w:rsidR="00350362" w:rsidRPr="004A6626" w:rsidRDefault="00350362">
            <w:pPr>
              <w:jc w:val="center"/>
              <w:rPr>
                <w:rFonts w:cs="Arial"/>
                <w:color w:val="000000"/>
                <w:sz w:val="20"/>
              </w:rPr>
            </w:pPr>
            <w:r>
              <w:rPr>
                <w:rFonts w:cs="Arial"/>
                <w:color w:val="000000"/>
                <w:sz w:val="20"/>
              </w:rPr>
              <w:t>123</w:t>
            </w:r>
          </w:p>
        </w:tc>
        <w:tc>
          <w:tcPr>
            <w:tcW w:w="1769" w:type="dxa"/>
          </w:tcPr>
          <w:p w14:paraId="59254761" w14:textId="77777777" w:rsidR="00350362" w:rsidRPr="004A6626" w:rsidRDefault="00350362">
            <w:pPr>
              <w:jc w:val="center"/>
              <w:rPr>
                <w:rFonts w:cs="Arial"/>
                <w:color w:val="000000"/>
                <w:sz w:val="20"/>
              </w:rPr>
            </w:pPr>
            <w:r>
              <w:rPr>
                <w:rFonts w:cs="Arial"/>
                <w:color w:val="000000"/>
                <w:sz w:val="20"/>
              </w:rPr>
              <w:t>99</w:t>
            </w:r>
          </w:p>
        </w:tc>
        <w:tc>
          <w:tcPr>
            <w:tcW w:w="1769" w:type="dxa"/>
          </w:tcPr>
          <w:p w14:paraId="063029CF" w14:textId="77777777" w:rsidR="00350362" w:rsidRPr="004A6626" w:rsidRDefault="00350362">
            <w:pPr>
              <w:jc w:val="center"/>
              <w:rPr>
                <w:rFonts w:cs="Arial"/>
                <w:color w:val="000000"/>
                <w:sz w:val="20"/>
              </w:rPr>
            </w:pPr>
            <w:r>
              <w:rPr>
                <w:rFonts w:cs="Arial"/>
                <w:color w:val="000000"/>
                <w:sz w:val="20"/>
              </w:rPr>
              <w:t>222</w:t>
            </w:r>
          </w:p>
        </w:tc>
      </w:tr>
      <w:tr w:rsidR="00350362" w:rsidRPr="004A6626" w14:paraId="4CD248AA" w14:textId="77777777" w:rsidTr="00154306">
        <w:tc>
          <w:tcPr>
            <w:tcW w:w="3041" w:type="dxa"/>
          </w:tcPr>
          <w:p w14:paraId="7AEBEACE" w14:textId="77777777" w:rsidR="00350362" w:rsidRPr="004A6626" w:rsidRDefault="00350362" w:rsidP="004A6626">
            <w:pPr>
              <w:spacing w:before="60"/>
              <w:rPr>
                <w:sz w:val="20"/>
              </w:rPr>
            </w:pPr>
            <w:r w:rsidRPr="004A6626">
              <w:rPr>
                <w:sz w:val="20"/>
              </w:rPr>
              <w:t>Employment (</w:t>
            </w:r>
            <w:r w:rsidR="00E13322">
              <w:rPr>
                <w:sz w:val="20"/>
              </w:rPr>
              <w:t>FTE</w:t>
            </w:r>
            <w:r w:rsidRPr="004A6626">
              <w:rPr>
                <w:sz w:val="20"/>
              </w:rPr>
              <w:t>)</w:t>
            </w:r>
          </w:p>
        </w:tc>
        <w:tc>
          <w:tcPr>
            <w:tcW w:w="1768" w:type="dxa"/>
          </w:tcPr>
          <w:p w14:paraId="479BE66F" w14:textId="77777777" w:rsidR="00350362" w:rsidRPr="004A6626" w:rsidRDefault="00350362">
            <w:pPr>
              <w:jc w:val="center"/>
              <w:rPr>
                <w:rFonts w:cs="Arial"/>
                <w:color w:val="000000"/>
                <w:sz w:val="20"/>
              </w:rPr>
            </w:pPr>
            <w:r>
              <w:rPr>
                <w:rFonts w:cs="Arial"/>
                <w:color w:val="000000"/>
                <w:sz w:val="20"/>
              </w:rPr>
              <w:t>1,644</w:t>
            </w:r>
          </w:p>
        </w:tc>
        <w:tc>
          <w:tcPr>
            <w:tcW w:w="1769" w:type="dxa"/>
          </w:tcPr>
          <w:p w14:paraId="42E41075" w14:textId="77777777" w:rsidR="00350362" w:rsidRPr="004A6626" w:rsidRDefault="00350362">
            <w:pPr>
              <w:jc w:val="center"/>
              <w:rPr>
                <w:rFonts w:cs="Arial"/>
                <w:color w:val="000000"/>
                <w:sz w:val="20"/>
              </w:rPr>
            </w:pPr>
            <w:r>
              <w:rPr>
                <w:rFonts w:cs="Arial"/>
                <w:color w:val="000000"/>
                <w:sz w:val="20"/>
              </w:rPr>
              <w:t>714</w:t>
            </w:r>
          </w:p>
        </w:tc>
        <w:tc>
          <w:tcPr>
            <w:tcW w:w="1769" w:type="dxa"/>
          </w:tcPr>
          <w:p w14:paraId="42583411" w14:textId="77777777" w:rsidR="00350362" w:rsidRPr="004A6626" w:rsidRDefault="00350362">
            <w:pPr>
              <w:jc w:val="center"/>
              <w:rPr>
                <w:rFonts w:cs="Arial"/>
                <w:color w:val="000000"/>
                <w:sz w:val="20"/>
              </w:rPr>
            </w:pPr>
            <w:r>
              <w:rPr>
                <w:rFonts w:cs="Arial"/>
                <w:color w:val="000000"/>
                <w:sz w:val="20"/>
              </w:rPr>
              <w:t>2,359</w:t>
            </w:r>
          </w:p>
        </w:tc>
      </w:tr>
    </w:tbl>
    <w:p w14:paraId="3A3A8F74" w14:textId="77777777" w:rsidR="004A6626" w:rsidRPr="004A6626" w:rsidRDefault="004A6626" w:rsidP="004A6626">
      <w:pPr>
        <w:spacing w:after="120"/>
        <w:rPr>
          <w:rFonts w:cs="Arial"/>
          <w:sz w:val="18"/>
        </w:rPr>
      </w:pPr>
      <w:r w:rsidRPr="004A6626">
        <w:rPr>
          <w:rFonts w:cs="Arial"/>
          <w:sz w:val="18"/>
        </w:rPr>
        <w:t>Source: Deloitte Access Economics</w:t>
      </w:r>
    </w:p>
    <w:p w14:paraId="739E2BFB" w14:textId="77777777" w:rsidR="00761CD8" w:rsidRDefault="00761CD8" w:rsidP="004A6626">
      <w:pPr>
        <w:spacing w:before="240"/>
        <w:jc w:val="both"/>
      </w:pPr>
    </w:p>
    <w:p w14:paraId="160A2A08" w14:textId="77777777" w:rsidR="00761CD8" w:rsidRDefault="00761CD8" w:rsidP="004A6626">
      <w:pPr>
        <w:spacing w:before="240"/>
        <w:jc w:val="both"/>
      </w:pPr>
      <w:r>
        <w:lastRenderedPageBreak/>
        <w:t xml:space="preserve">Tourism expenditure contributed the largest increase in direct value added to the retail </w:t>
      </w:r>
      <w:r w:rsidR="0034225A">
        <w:t xml:space="preserve">trade </w:t>
      </w:r>
      <w:r>
        <w:t xml:space="preserve">sector ($50 million), followed by food and beverage services ($28 million) and accommodation ($19 million).  </w:t>
      </w:r>
    </w:p>
    <w:p w14:paraId="1EFB3353" w14:textId="77777777" w:rsidR="00761CD8" w:rsidRDefault="004A6626" w:rsidP="004A6626">
      <w:pPr>
        <w:spacing w:before="240"/>
        <w:jc w:val="both"/>
      </w:pPr>
      <w:r w:rsidRPr="004A6626">
        <w:t>This expenditure was also estimated to create $</w:t>
      </w:r>
      <w:r w:rsidR="00350362">
        <w:t>99</w:t>
      </w:r>
      <w:r w:rsidRPr="004A6626">
        <w:t xml:space="preserve"> million in indirect value added as a result of its impact on economic activity downstream for industries supplying goods and services to other sector. For example, purchases of food or drinks by visiting friends and relatives are likely to create additional demand for agricultural producers and soft drink manufacturers downstream. </w:t>
      </w:r>
    </w:p>
    <w:p w14:paraId="25ECB665" w14:textId="77777777" w:rsidR="00EB53D8" w:rsidRDefault="00EB53D8" w:rsidP="004A6626">
      <w:pPr>
        <w:spacing w:before="240"/>
        <w:jc w:val="both"/>
      </w:pPr>
      <w:r>
        <w:fldChar w:fldCharType="begin"/>
      </w:r>
      <w:r>
        <w:instrText xml:space="preserve"> REF _Ref444269694 \r \h </w:instrText>
      </w:r>
      <w:r>
        <w:fldChar w:fldCharType="separate"/>
      </w:r>
      <w:r w:rsidR="00F03FA0">
        <w:t>Chart 5.1</w:t>
      </w:r>
      <w:r>
        <w:fldChar w:fldCharType="end"/>
      </w:r>
      <w:r>
        <w:t xml:space="preserve"> below shows the </w:t>
      </w:r>
      <w:r w:rsidR="00761CD8">
        <w:t>industries that received the largest indirection contribution</w:t>
      </w:r>
      <w:r>
        <w:t xml:space="preserve"> from tourism expenditure by visiting friends and relatives. The largest indirect value added is contributed by</w:t>
      </w:r>
      <w:r w:rsidR="00761CD8">
        <w:t>:</w:t>
      </w:r>
      <w:r>
        <w:t xml:space="preserve"> non-residential property operators and real estate services (who </w:t>
      </w:r>
      <w:r w:rsidR="00ED7A4A">
        <w:t xml:space="preserve">may </w:t>
      </w:r>
      <w:r>
        <w:t>for example own or lease building used by retailers selling to tourists)</w:t>
      </w:r>
      <w:r w:rsidR="00761CD8">
        <w:t>;</w:t>
      </w:r>
      <w:r>
        <w:t xml:space="preserve"> </w:t>
      </w:r>
      <w:r w:rsidR="00761CD8">
        <w:t xml:space="preserve">professional, scientific and technical services; employment, travel agencies and other administrative services; finance and wholesale trade.  </w:t>
      </w:r>
    </w:p>
    <w:p w14:paraId="051DFFDC" w14:textId="77777777" w:rsidR="00EB53D8" w:rsidRDefault="00EB53D8" w:rsidP="003B013D">
      <w:pPr>
        <w:pStyle w:val="CaptionChart"/>
      </w:pPr>
      <w:bookmarkStart w:id="355" w:name="_Ref444269694"/>
      <w:bookmarkStart w:id="356" w:name="_Toc450809276"/>
      <w:r>
        <w:t>: Indirect value added from tourism activity, 2014-15</w:t>
      </w:r>
      <w:bookmarkEnd w:id="355"/>
      <w:bookmarkEnd w:id="356"/>
    </w:p>
    <w:p w14:paraId="6AED531E" w14:textId="77777777" w:rsidR="00EB53D8" w:rsidRPr="00EB53D8" w:rsidRDefault="00EB53D8" w:rsidP="003B013D">
      <w:pPr>
        <w:pStyle w:val="BodyText"/>
      </w:pPr>
      <w:r w:rsidRPr="00EB53D8">
        <w:rPr>
          <w:noProof/>
          <w:lang w:eastAsia="en-AU"/>
        </w:rPr>
        <w:drawing>
          <wp:inline distT="0" distB="0" distL="0" distR="0" wp14:anchorId="5A2AE72E" wp14:editId="2EBB2BC0">
            <wp:extent cx="4572000" cy="2736850"/>
            <wp:effectExtent l="0" t="0" r="0" b="6350"/>
            <wp:docPr id="22" name="Picture 22" descr="The chart shows the industries that received the indirect value added from tourism activity in financial year 2014–15.&#10;" title="Chart 5.1: Indirect value added from tourism activity, 2014–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72000" cy="2736850"/>
                    </a:xfrm>
                    <a:prstGeom prst="rect">
                      <a:avLst/>
                    </a:prstGeom>
                    <a:noFill/>
                    <a:ln>
                      <a:noFill/>
                    </a:ln>
                  </pic:spPr>
                </pic:pic>
              </a:graphicData>
            </a:graphic>
          </wp:inline>
        </w:drawing>
      </w:r>
    </w:p>
    <w:p w14:paraId="2D9A8895" w14:textId="77777777" w:rsidR="00EB53D8" w:rsidRDefault="00EB53D8" w:rsidP="00163EA3">
      <w:pPr>
        <w:pStyle w:val="Source"/>
        <w:outlineLvl w:val="0"/>
      </w:pPr>
      <w:r>
        <w:t>Source: Deloitte Access Economics</w:t>
      </w:r>
    </w:p>
    <w:p w14:paraId="1C767826" w14:textId="77777777" w:rsidR="00876E01" w:rsidRPr="004A6626" w:rsidRDefault="004A6626" w:rsidP="004A6626">
      <w:pPr>
        <w:spacing w:before="240"/>
        <w:jc w:val="both"/>
      </w:pPr>
      <w:r w:rsidRPr="004A6626">
        <w:t>Adding up both the direct and indirect economic contribution, the activity of visiting friends and relatives was estimated to contribute $</w:t>
      </w:r>
      <w:r w:rsidR="00350362">
        <w:t>222 m</w:t>
      </w:r>
      <w:r w:rsidRPr="004A6626">
        <w:t>illion to value added in Australia, consisting of $</w:t>
      </w:r>
      <w:r w:rsidR="00350362">
        <w:t>128</w:t>
      </w:r>
      <w:r w:rsidRPr="004A6626">
        <w:t xml:space="preserve"> million in labour income and $</w:t>
      </w:r>
      <w:r w:rsidR="00350362">
        <w:t>94</w:t>
      </w:r>
      <w:r w:rsidRPr="004A6626">
        <w:t xml:space="preserve"> million in gross operating surplus. </w:t>
      </w:r>
    </w:p>
    <w:p w14:paraId="07EC103E" w14:textId="77777777" w:rsidR="004A6626" w:rsidRPr="004A6626" w:rsidRDefault="004A6626" w:rsidP="004A6626">
      <w:pPr>
        <w:spacing w:before="240"/>
        <w:jc w:val="both"/>
      </w:pPr>
      <w:r w:rsidRPr="004A6626">
        <w:t xml:space="preserve">The expenditure of those visiting friends and relatives also supports employment in industries providing goods and services to tourists. It is estimated that the tourism expenditure of those visiting friends and relatives supported the employment of </w:t>
      </w:r>
      <w:r w:rsidR="00350362">
        <w:t>1,644</w:t>
      </w:r>
      <w:r w:rsidRPr="004A6626">
        <w:t xml:space="preserve"> FTE directly and </w:t>
      </w:r>
      <w:r w:rsidR="00350362">
        <w:t>714</w:t>
      </w:r>
      <w:r w:rsidRPr="004A6626">
        <w:t xml:space="preserve"> FTE indirectly in downstream sectors.</w:t>
      </w:r>
    </w:p>
    <w:p w14:paraId="0637C41D" w14:textId="77777777" w:rsidR="002B5BBB" w:rsidRDefault="004A6626" w:rsidP="004A6626">
      <w:pPr>
        <w:spacing w:before="240"/>
        <w:jc w:val="both"/>
      </w:pPr>
      <w:r w:rsidRPr="004A6626">
        <w:t xml:space="preserve">The contribution of visiting friends and relatives at a state and territory level is shown in </w:t>
      </w:r>
      <w:r w:rsidR="00C320C1">
        <w:fldChar w:fldCharType="begin"/>
      </w:r>
      <w:r w:rsidR="00C320C1">
        <w:instrText xml:space="preserve"> REF _Ref437418799 \r \h </w:instrText>
      </w:r>
      <w:r w:rsidR="00C320C1">
        <w:fldChar w:fldCharType="separate"/>
      </w:r>
      <w:r w:rsidR="00F03FA0">
        <w:t>Table 5.2</w:t>
      </w:r>
      <w:r w:rsidR="00C320C1">
        <w:fldChar w:fldCharType="end"/>
      </w:r>
      <w:r w:rsidRPr="004A6626">
        <w:t xml:space="preserve"> below.  </w:t>
      </w:r>
      <w:r w:rsidR="002B5BBB">
        <w:t xml:space="preserve">The state level estimates should be treated with a degree of caution (particularly for smaller states) because the sample size of those administered the </w:t>
      </w:r>
      <w:r w:rsidR="002B5BBB">
        <w:lastRenderedPageBreak/>
        <w:t xml:space="preserve">International Visitor Survey in each state who also indicated a reason for their trip was to visit an international student was very small. </w:t>
      </w:r>
    </w:p>
    <w:p w14:paraId="246B38BF" w14:textId="77777777" w:rsidR="004A6626" w:rsidRDefault="002B5BBB" w:rsidP="004A6626">
      <w:pPr>
        <w:spacing w:before="240"/>
        <w:jc w:val="both"/>
      </w:pPr>
      <w:r>
        <w:t xml:space="preserve">Overall, the state level results suggest the largest contribution of visiting friends and relatives was experienced in </w:t>
      </w:r>
      <w:r w:rsidR="004A6626" w:rsidRPr="004A6626">
        <w:t>NSW and Victoria, who contributed $</w:t>
      </w:r>
      <w:r w:rsidR="0067372D">
        <w:t>7</w:t>
      </w:r>
      <w:r w:rsidR="00DF2DAC">
        <w:t>3</w:t>
      </w:r>
      <w:r w:rsidR="004A6626" w:rsidRPr="004A6626">
        <w:t xml:space="preserve"> million and $</w:t>
      </w:r>
      <w:r w:rsidR="00DF2DAC">
        <w:t>94</w:t>
      </w:r>
      <w:r w:rsidR="00DF2DAC" w:rsidRPr="004A6626">
        <w:t xml:space="preserve"> </w:t>
      </w:r>
      <w:r w:rsidR="004A6626" w:rsidRPr="004A6626">
        <w:t xml:space="preserve">million respectively, reflecting their substantial share of the international student population. </w:t>
      </w:r>
      <w:r>
        <w:t xml:space="preserve"> </w:t>
      </w:r>
      <w:r w:rsidR="004A6626" w:rsidRPr="004A6626">
        <w:t xml:space="preserve">Expenditure by tourists who visited an international student in 2014 </w:t>
      </w:r>
      <w:r>
        <w:t xml:space="preserve">also </w:t>
      </w:r>
      <w:r w:rsidR="004A6626" w:rsidRPr="004A6626">
        <w:t>supported the employment of</w:t>
      </w:r>
      <w:r>
        <w:t xml:space="preserve"> an estimated</w:t>
      </w:r>
      <w:r w:rsidR="004A6626" w:rsidRPr="004A6626">
        <w:t xml:space="preserve"> </w:t>
      </w:r>
      <w:r w:rsidR="0067372D">
        <w:t>7</w:t>
      </w:r>
      <w:r w:rsidR="00DF2DAC">
        <w:t>5</w:t>
      </w:r>
      <w:r w:rsidR="0067372D">
        <w:t>5</w:t>
      </w:r>
      <w:r w:rsidR="004A6626" w:rsidRPr="004A6626">
        <w:t xml:space="preserve"> </w:t>
      </w:r>
      <w:r w:rsidR="00E13322">
        <w:t>FTE</w:t>
      </w:r>
      <w:r w:rsidR="004A6626" w:rsidRPr="004A6626">
        <w:t xml:space="preserve"> in NSW and </w:t>
      </w:r>
      <w:r w:rsidR="0067372D">
        <w:t>1,</w:t>
      </w:r>
      <w:r w:rsidR="00DF2DAC">
        <w:t xml:space="preserve">096 </w:t>
      </w:r>
      <w:r w:rsidR="00E13322">
        <w:t>FTE</w:t>
      </w:r>
      <w:r w:rsidR="0067372D">
        <w:t xml:space="preserve"> in </w:t>
      </w:r>
      <w:r w:rsidR="004A6626" w:rsidRPr="004A6626">
        <w:t xml:space="preserve">Victoria. </w:t>
      </w:r>
    </w:p>
    <w:p w14:paraId="406CB14E" w14:textId="77777777" w:rsidR="004A6626" w:rsidRPr="004A6626" w:rsidRDefault="000349C1" w:rsidP="00D72A59">
      <w:pPr>
        <w:pStyle w:val="CaptionTable"/>
      </w:pPr>
      <w:bookmarkStart w:id="357" w:name="_Ref436989262"/>
      <w:bookmarkStart w:id="358" w:name="_Ref437418799"/>
      <w:bookmarkStart w:id="359" w:name="_Toc450809290"/>
      <w:r>
        <w:t>:</w:t>
      </w:r>
      <w:r w:rsidR="004A6626" w:rsidRPr="004A6626">
        <w:t xml:space="preserve"> Contribution of friends and relatives visiting students by state, 2014</w:t>
      </w:r>
      <w:bookmarkEnd w:id="357"/>
      <w:r w:rsidR="00DD614D">
        <w:t>-15</w:t>
      </w:r>
      <w:bookmarkEnd w:id="358"/>
      <w:bookmarkEnd w:id="359"/>
    </w:p>
    <w:tbl>
      <w:tblPr>
        <w:tblStyle w:val="TableAE"/>
        <w:tblW w:w="8203" w:type="dxa"/>
        <w:tblLayout w:type="fixed"/>
        <w:tblLook w:val="04A0" w:firstRow="1" w:lastRow="0" w:firstColumn="1" w:lastColumn="0" w:noHBand="0" w:noVBand="1"/>
        <w:tblCaption w:val="Table 5.2: Contribution of friends and relatives visiting students by state, 2014–15"/>
        <w:tblDescription w:val="The table shows the direct and indirect contributions of friends and relatives visiting students by state in financial year 2014–15."/>
      </w:tblPr>
      <w:tblGrid>
        <w:gridCol w:w="2050"/>
        <w:gridCol w:w="2051"/>
        <w:gridCol w:w="2051"/>
        <w:gridCol w:w="2051"/>
      </w:tblGrid>
      <w:tr w:rsidR="004A6626" w:rsidRPr="004A6626" w14:paraId="6100E98E" w14:textId="77777777" w:rsidTr="00AA149D">
        <w:trPr>
          <w:cnfStyle w:val="100000000000" w:firstRow="1" w:lastRow="0" w:firstColumn="0" w:lastColumn="0" w:oddVBand="0" w:evenVBand="0" w:oddHBand="0" w:evenHBand="0" w:firstRowFirstColumn="0" w:firstRowLastColumn="0" w:lastRowFirstColumn="0" w:lastRowLastColumn="0"/>
          <w:tblHeader/>
        </w:trPr>
        <w:tc>
          <w:tcPr>
            <w:tcW w:w="2050" w:type="dxa"/>
          </w:tcPr>
          <w:p w14:paraId="24DAE6D6" w14:textId="77777777" w:rsidR="004A6626" w:rsidRPr="004A6626" w:rsidRDefault="004A6626" w:rsidP="004A6626">
            <w:pPr>
              <w:keepNext/>
              <w:keepLines/>
              <w:spacing w:before="20" w:after="20"/>
              <w:jc w:val="center"/>
              <w:rPr>
                <w:b/>
                <w:color w:val="002776"/>
                <w:szCs w:val="22"/>
              </w:rPr>
            </w:pPr>
            <w:r w:rsidRPr="004A6626">
              <w:rPr>
                <w:b/>
                <w:color w:val="002776"/>
                <w:szCs w:val="22"/>
              </w:rPr>
              <w:t>State or Territory</w:t>
            </w:r>
          </w:p>
        </w:tc>
        <w:tc>
          <w:tcPr>
            <w:tcW w:w="2051" w:type="dxa"/>
          </w:tcPr>
          <w:p w14:paraId="7CD66FFD" w14:textId="77777777" w:rsidR="004A6626" w:rsidRPr="004A6626" w:rsidRDefault="004A6626" w:rsidP="004A6626">
            <w:pPr>
              <w:keepNext/>
              <w:keepLines/>
              <w:spacing w:before="20" w:after="20"/>
              <w:jc w:val="center"/>
              <w:rPr>
                <w:b/>
                <w:color w:val="002776"/>
                <w:szCs w:val="22"/>
              </w:rPr>
            </w:pPr>
            <w:r w:rsidRPr="004A6626">
              <w:rPr>
                <w:b/>
                <w:color w:val="002776"/>
                <w:szCs w:val="22"/>
              </w:rPr>
              <w:t>Direct</w:t>
            </w:r>
          </w:p>
        </w:tc>
        <w:tc>
          <w:tcPr>
            <w:tcW w:w="2051" w:type="dxa"/>
          </w:tcPr>
          <w:p w14:paraId="49932B5B" w14:textId="77777777" w:rsidR="004A6626" w:rsidRPr="004A6626" w:rsidRDefault="004A6626" w:rsidP="004A6626">
            <w:pPr>
              <w:keepNext/>
              <w:keepLines/>
              <w:spacing w:before="20" w:after="20"/>
              <w:jc w:val="center"/>
              <w:rPr>
                <w:b/>
                <w:color w:val="002776"/>
                <w:szCs w:val="22"/>
              </w:rPr>
            </w:pPr>
            <w:r w:rsidRPr="004A6626">
              <w:rPr>
                <w:b/>
                <w:color w:val="002776"/>
                <w:szCs w:val="22"/>
              </w:rPr>
              <w:t>Indirect</w:t>
            </w:r>
          </w:p>
        </w:tc>
        <w:tc>
          <w:tcPr>
            <w:tcW w:w="2051" w:type="dxa"/>
          </w:tcPr>
          <w:p w14:paraId="2DF311DC" w14:textId="77777777" w:rsidR="004A6626" w:rsidRPr="004A6626" w:rsidRDefault="004A6626" w:rsidP="004A6626">
            <w:pPr>
              <w:keepNext/>
              <w:keepLines/>
              <w:spacing w:before="20" w:after="20"/>
              <w:jc w:val="center"/>
              <w:rPr>
                <w:b/>
                <w:color w:val="002776"/>
                <w:szCs w:val="22"/>
              </w:rPr>
            </w:pPr>
            <w:r w:rsidRPr="004A6626">
              <w:rPr>
                <w:b/>
                <w:color w:val="002776"/>
                <w:szCs w:val="22"/>
              </w:rPr>
              <w:t>Total</w:t>
            </w:r>
          </w:p>
        </w:tc>
      </w:tr>
      <w:tr w:rsidR="004A6626" w:rsidRPr="004A6626" w14:paraId="08DD0D03" w14:textId="77777777" w:rsidTr="000349C1">
        <w:tc>
          <w:tcPr>
            <w:tcW w:w="2050" w:type="dxa"/>
            <w:tcBorders>
              <w:top w:val="single" w:sz="8" w:space="0" w:color="002776"/>
              <w:bottom w:val="nil"/>
            </w:tcBorders>
            <w:shd w:val="clear" w:color="auto" w:fill="B0CAFF" w:themeFill="text2" w:themeFillTint="33"/>
          </w:tcPr>
          <w:p w14:paraId="7B0CD51C" w14:textId="77777777" w:rsidR="004A6626" w:rsidRPr="000349C1" w:rsidRDefault="004A6626" w:rsidP="000349C1">
            <w:pPr>
              <w:rPr>
                <w:rFonts w:cs="Arial"/>
                <w:i/>
                <w:sz w:val="20"/>
                <w:lang w:eastAsia="en-AU"/>
              </w:rPr>
            </w:pPr>
            <w:r w:rsidRPr="000349C1">
              <w:rPr>
                <w:rFonts w:cs="Arial"/>
                <w:i/>
                <w:sz w:val="20"/>
                <w:lang w:eastAsia="en-AU"/>
              </w:rPr>
              <w:t>Value added ($m)</w:t>
            </w:r>
          </w:p>
        </w:tc>
        <w:tc>
          <w:tcPr>
            <w:tcW w:w="2051" w:type="dxa"/>
            <w:tcBorders>
              <w:top w:val="single" w:sz="8" w:space="0" w:color="002776"/>
              <w:bottom w:val="nil"/>
            </w:tcBorders>
            <w:shd w:val="clear" w:color="auto" w:fill="B0CAFF" w:themeFill="text2" w:themeFillTint="33"/>
          </w:tcPr>
          <w:p w14:paraId="36587BEC" w14:textId="77777777" w:rsidR="004A6626" w:rsidRPr="000349C1" w:rsidRDefault="004A6626" w:rsidP="000349C1">
            <w:pPr>
              <w:rPr>
                <w:rFonts w:cs="Arial"/>
                <w:i/>
                <w:sz w:val="20"/>
                <w:lang w:eastAsia="en-AU"/>
              </w:rPr>
            </w:pPr>
          </w:p>
        </w:tc>
        <w:tc>
          <w:tcPr>
            <w:tcW w:w="2051" w:type="dxa"/>
            <w:tcBorders>
              <w:top w:val="single" w:sz="8" w:space="0" w:color="002776"/>
              <w:bottom w:val="nil"/>
            </w:tcBorders>
            <w:shd w:val="clear" w:color="auto" w:fill="B0CAFF" w:themeFill="text2" w:themeFillTint="33"/>
          </w:tcPr>
          <w:p w14:paraId="7B96E406" w14:textId="77777777" w:rsidR="004A6626" w:rsidRPr="000349C1" w:rsidRDefault="004A6626" w:rsidP="000349C1">
            <w:pPr>
              <w:rPr>
                <w:rFonts w:cs="Arial"/>
                <w:i/>
                <w:sz w:val="20"/>
                <w:lang w:eastAsia="en-AU"/>
              </w:rPr>
            </w:pPr>
          </w:p>
        </w:tc>
        <w:tc>
          <w:tcPr>
            <w:tcW w:w="2051" w:type="dxa"/>
            <w:tcBorders>
              <w:top w:val="single" w:sz="8" w:space="0" w:color="002776"/>
              <w:bottom w:val="nil"/>
            </w:tcBorders>
            <w:shd w:val="clear" w:color="auto" w:fill="B0CAFF" w:themeFill="text2" w:themeFillTint="33"/>
          </w:tcPr>
          <w:p w14:paraId="66B6AB78" w14:textId="77777777" w:rsidR="004A6626" w:rsidRPr="000349C1" w:rsidRDefault="004A6626" w:rsidP="000349C1">
            <w:pPr>
              <w:rPr>
                <w:rFonts w:cs="Arial"/>
                <w:i/>
                <w:sz w:val="20"/>
                <w:lang w:eastAsia="en-AU"/>
              </w:rPr>
            </w:pPr>
          </w:p>
        </w:tc>
      </w:tr>
      <w:tr w:rsidR="0000329C" w:rsidRPr="004A6626" w14:paraId="6AE37D14" w14:textId="77777777" w:rsidTr="00B34FD8">
        <w:tc>
          <w:tcPr>
            <w:tcW w:w="2050" w:type="dxa"/>
            <w:tcBorders>
              <w:top w:val="nil"/>
            </w:tcBorders>
          </w:tcPr>
          <w:p w14:paraId="2348ED94" w14:textId="77777777" w:rsidR="0000329C" w:rsidRPr="000349C1" w:rsidRDefault="0000329C" w:rsidP="000349C1">
            <w:pPr>
              <w:rPr>
                <w:rFonts w:cs="Arial"/>
                <w:sz w:val="20"/>
                <w:lang w:eastAsia="en-AU"/>
              </w:rPr>
            </w:pPr>
            <w:r w:rsidRPr="000349C1">
              <w:rPr>
                <w:rFonts w:cs="Arial"/>
                <w:sz w:val="20"/>
                <w:lang w:eastAsia="en-AU"/>
              </w:rPr>
              <w:t>NSW</w:t>
            </w:r>
          </w:p>
        </w:tc>
        <w:tc>
          <w:tcPr>
            <w:tcW w:w="2051" w:type="dxa"/>
            <w:tcBorders>
              <w:top w:val="nil"/>
            </w:tcBorders>
          </w:tcPr>
          <w:p w14:paraId="3FCF172A" w14:textId="77777777" w:rsidR="0000329C" w:rsidRPr="000349C1" w:rsidRDefault="0000329C" w:rsidP="000349C1">
            <w:pPr>
              <w:jc w:val="center"/>
              <w:rPr>
                <w:rFonts w:cs="Arial"/>
                <w:sz w:val="20"/>
                <w:lang w:eastAsia="en-AU"/>
              </w:rPr>
            </w:pPr>
            <w:r w:rsidRPr="000349C1">
              <w:rPr>
                <w:rFonts w:cs="Arial"/>
                <w:sz w:val="20"/>
                <w:lang w:eastAsia="en-AU"/>
              </w:rPr>
              <w:t>41</w:t>
            </w:r>
          </w:p>
        </w:tc>
        <w:tc>
          <w:tcPr>
            <w:tcW w:w="2051" w:type="dxa"/>
            <w:tcBorders>
              <w:top w:val="nil"/>
            </w:tcBorders>
          </w:tcPr>
          <w:p w14:paraId="06B87C48" w14:textId="77777777" w:rsidR="0000329C" w:rsidRPr="000349C1" w:rsidRDefault="0000329C" w:rsidP="000349C1">
            <w:pPr>
              <w:jc w:val="center"/>
              <w:rPr>
                <w:rFonts w:cs="Arial"/>
                <w:sz w:val="20"/>
                <w:lang w:eastAsia="en-AU"/>
              </w:rPr>
            </w:pPr>
            <w:r>
              <w:rPr>
                <w:rFonts w:cs="Arial"/>
                <w:color w:val="000000"/>
                <w:sz w:val="20"/>
              </w:rPr>
              <w:t>32</w:t>
            </w:r>
          </w:p>
        </w:tc>
        <w:tc>
          <w:tcPr>
            <w:tcW w:w="2051" w:type="dxa"/>
            <w:tcBorders>
              <w:top w:val="nil"/>
            </w:tcBorders>
          </w:tcPr>
          <w:p w14:paraId="6E847759" w14:textId="77777777" w:rsidR="0000329C" w:rsidRPr="000349C1" w:rsidRDefault="0000329C" w:rsidP="000349C1">
            <w:pPr>
              <w:jc w:val="center"/>
              <w:rPr>
                <w:rFonts w:cs="Arial"/>
                <w:sz w:val="20"/>
                <w:lang w:eastAsia="en-AU"/>
              </w:rPr>
            </w:pPr>
            <w:r>
              <w:rPr>
                <w:rFonts w:cs="Arial"/>
                <w:color w:val="000000"/>
                <w:sz w:val="20"/>
              </w:rPr>
              <w:t>73</w:t>
            </w:r>
          </w:p>
        </w:tc>
      </w:tr>
      <w:tr w:rsidR="0000329C" w:rsidRPr="004A6626" w14:paraId="73474394" w14:textId="77777777" w:rsidTr="00B34FD8">
        <w:tc>
          <w:tcPr>
            <w:tcW w:w="2050" w:type="dxa"/>
          </w:tcPr>
          <w:p w14:paraId="344249C0" w14:textId="77777777" w:rsidR="0000329C" w:rsidRPr="000349C1" w:rsidRDefault="0000329C" w:rsidP="000349C1">
            <w:pPr>
              <w:rPr>
                <w:rFonts w:cs="Arial"/>
                <w:sz w:val="20"/>
                <w:lang w:eastAsia="en-AU"/>
              </w:rPr>
            </w:pPr>
            <w:r w:rsidRPr="000349C1">
              <w:rPr>
                <w:rFonts w:cs="Arial"/>
                <w:sz w:val="20"/>
                <w:lang w:eastAsia="en-AU"/>
              </w:rPr>
              <w:t>Victoria</w:t>
            </w:r>
          </w:p>
        </w:tc>
        <w:tc>
          <w:tcPr>
            <w:tcW w:w="2051" w:type="dxa"/>
          </w:tcPr>
          <w:p w14:paraId="6E140A5D" w14:textId="77777777" w:rsidR="0000329C" w:rsidRPr="000349C1" w:rsidRDefault="0000329C" w:rsidP="000349C1">
            <w:pPr>
              <w:jc w:val="center"/>
              <w:rPr>
                <w:rFonts w:cs="Arial"/>
                <w:sz w:val="20"/>
                <w:lang w:eastAsia="en-AU"/>
              </w:rPr>
            </w:pPr>
            <w:r w:rsidRPr="000349C1">
              <w:rPr>
                <w:rFonts w:cs="Arial"/>
                <w:sz w:val="20"/>
                <w:lang w:eastAsia="en-AU"/>
              </w:rPr>
              <w:t>59</w:t>
            </w:r>
          </w:p>
        </w:tc>
        <w:tc>
          <w:tcPr>
            <w:tcW w:w="2051" w:type="dxa"/>
          </w:tcPr>
          <w:p w14:paraId="11DE73CB" w14:textId="77777777" w:rsidR="0000329C" w:rsidRPr="000349C1" w:rsidRDefault="0000329C" w:rsidP="000349C1">
            <w:pPr>
              <w:jc w:val="center"/>
              <w:rPr>
                <w:rFonts w:cs="Arial"/>
                <w:sz w:val="20"/>
                <w:lang w:eastAsia="en-AU"/>
              </w:rPr>
            </w:pPr>
            <w:r>
              <w:rPr>
                <w:rFonts w:cs="Arial"/>
                <w:color w:val="000000"/>
                <w:sz w:val="20"/>
              </w:rPr>
              <w:t>34</w:t>
            </w:r>
          </w:p>
        </w:tc>
        <w:tc>
          <w:tcPr>
            <w:tcW w:w="2051" w:type="dxa"/>
          </w:tcPr>
          <w:p w14:paraId="1E0CFCB4" w14:textId="77777777" w:rsidR="0000329C" w:rsidRPr="000349C1" w:rsidRDefault="0000329C" w:rsidP="000349C1">
            <w:pPr>
              <w:jc w:val="center"/>
              <w:rPr>
                <w:rFonts w:cs="Arial"/>
                <w:sz w:val="20"/>
                <w:lang w:eastAsia="en-AU"/>
              </w:rPr>
            </w:pPr>
            <w:r>
              <w:rPr>
                <w:rFonts w:cs="Arial"/>
                <w:color w:val="000000"/>
                <w:sz w:val="20"/>
              </w:rPr>
              <w:t>94</w:t>
            </w:r>
          </w:p>
        </w:tc>
      </w:tr>
      <w:tr w:rsidR="0000329C" w:rsidRPr="004A6626" w14:paraId="5D5E525A" w14:textId="77777777" w:rsidTr="00B34FD8">
        <w:tc>
          <w:tcPr>
            <w:tcW w:w="2050" w:type="dxa"/>
          </w:tcPr>
          <w:p w14:paraId="0FF87BD4" w14:textId="77777777" w:rsidR="0000329C" w:rsidRPr="000349C1" w:rsidRDefault="0000329C" w:rsidP="000349C1">
            <w:pPr>
              <w:rPr>
                <w:rFonts w:cs="Arial"/>
                <w:sz w:val="20"/>
                <w:lang w:eastAsia="en-AU"/>
              </w:rPr>
            </w:pPr>
            <w:r w:rsidRPr="000349C1">
              <w:rPr>
                <w:rFonts w:cs="Arial"/>
                <w:sz w:val="20"/>
                <w:lang w:eastAsia="en-AU"/>
              </w:rPr>
              <w:t>Queensland</w:t>
            </w:r>
          </w:p>
        </w:tc>
        <w:tc>
          <w:tcPr>
            <w:tcW w:w="2051" w:type="dxa"/>
          </w:tcPr>
          <w:p w14:paraId="4AB33F9E" w14:textId="77777777" w:rsidR="0000329C" w:rsidRPr="000349C1" w:rsidRDefault="0000329C" w:rsidP="000349C1">
            <w:pPr>
              <w:jc w:val="center"/>
              <w:rPr>
                <w:rFonts w:cs="Arial"/>
                <w:sz w:val="20"/>
                <w:lang w:eastAsia="en-AU"/>
              </w:rPr>
            </w:pPr>
            <w:r w:rsidRPr="000349C1">
              <w:rPr>
                <w:rFonts w:cs="Arial"/>
                <w:sz w:val="20"/>
                <w:lang w:eastAsia="en-AU"/>
              </w:rPr>
              <w:t>8</w:t>
            </w:r>
          </w:p>
        </w:tc>
        <w:tc>
          <w:tcPr>
            <w:tcW w:w="2051" w:type="dxa"/>
          </w:tcPr>
          <w:p w14:paraId="599C74CD" w14:textId="77777777" w:rsidR="0000329C" w:rsidRPr="000349C1" w:rsidRDefault="0000329C" w:rsidP="000349C1">
            <w:pPr>
              <w:jc w:val="center"/>
              <w:rPr>
                <w:rFonts w:cs="Arial"/>
                <w:sz w:val="20"/>
                <w:lang w:eastAsia="en-AU"/>
              </w:rPr>
            </w:pPr>
            <w:r>
              <w:rPr>
                <w:rFonts w:cs="Arial"/>
                <w:color w:val="000000"/>
                <w:sz w:val="20"/>
              </w:rPr>
              <w:t>15</w:t>
            </w:r>
          </w:p>
        </w:tc>
        <w:tc>
          <w:tcPr>
            <w:tcW w:w="2051" w:type="dxa"/>
          </w:tcPr>
          <w:p w14:paraId="6239C598" w14:textId="77777777" w:rsidR="0000329C" w:rsidRPr="000349C1" w:rsidRDefault="0000329C" w:rsidP="000349C1">
            <w:pPr>
              <w:jc w:val="center"/>
              <w:rPr>
                <w:rFonts w:cs="Arial"/>
                <w:sz w:val="20"/>
                <w:lang w:eastAsia="en-AU"/>
              </w:rPr>
            </w:pPr>
            <w:r>
              <w:rPr>
                <w:rFonts w:cs="Arial"/>
                <w:color w:val="000000"/>
                <w:sz w:val="20"/>
              </w:rPr>
              <w:t>23</w:t>
            </w:r>
          </w:p>
        </w:tc>
      </w:tr>
      <w:tr w:rsidR="0000329C" w:rsidRPr="004A6626" w14:paraId="33B2D570" w14:textId="77777777" w:rsidTr="00B34FD8">
        <w:tc>
          <w:tcPr>
            <w:tcW w:w="2050" w:type="dxa"/>
          </w:tcPr>
          <w:p w14:paraId="068A2363" w14:textId="77777777" w:rsidR="0000329C" w:rsidRPr="000349C1" w:rsidRDefault="0000329C" w:rsidP="000349C1">
            <w:pPr>
              <w:rPr>
                <w:rFonts w:cs="Arial"/>
                <w:sz w:val="20"/>
                <w:lang w:eastAsia="en-AU"/>
              </w:rPr>
            </w:pPr>
            <w:r w:rsidRPr="000349C1">
              <w:rPr>
                <w:rFonts w:cs="Arial"/>
                <w:sz w:val="20"/>
                <w:lang w:eastAsia="en-AU"/>
              </w:rPr>
              <w:t>South Australia</w:t>
            </w:r>
          </w:p>
        </w:tc>
        <w:tc>
          <w:tcPr>
            <w:tcW w:w="2051" w:type="dxa"/>
          </w:tcPr>
          <w:p w14:paraId="7C7C3486" w14:textId="77777777" w:rsidR="0000329C" w:rsidRPr="000349C1" w:rsidRDefault="0000329C" w:rsidP="000349C1">
            <w:pPr>
              <w:jc w:val="center"/>
              <w:rPr>
                <w:rFonts w:cs="Arial"/>
                <w:sz w:val="20"/>
                <w:lang w:eastAsia="en-AU"/>
              </w:rPr>
            </w:pPr>
            <w:r w:rsidRPr="000349C1">
              <w:rPr>
                <w:rFonts w:cs="Arial"/>
                <w:sz w:val="20"/>
                <w:lang w:eastAsia="en-AU"/>
              </w:rPr>
              <w:t>2</w:t>
            </w:r>
          </w:p>
        </w:tc>
        <w:tc>
          <w:tcPr>
            <w:tcW w:w="2051" w:type="dxa"/>
          </w:tcPr>
          <w:p w14:paraId="43F7F549" w14:textId="77777777" w:rsidR="0000329C" w:rsidRPr="000349C1" w:rsidRDefault="0000329C" w:rsidP="000349C1">
            <w:pPr>
              <w:jc w:val="center"/>
              <w:rPr>
                <w:rFonts w:cs="Arial"/>
                <w:sz w:val="20"/>
                <w:lang w:eastAsia="en-AU"/>
              </w:rPr>
            </w:pPr>
            <w:r>
              <w:rPr>
                <w:rFonts w:cs="Arial"/>
                <w:color w:val="000000"/>
                <w:sz w:val="20"/>
              </w:rPr>
              <w:t>5</w:t>
            </w:r>
          </w:p>
        </w:tc>
        <w:tc>
          <w:tcPr>
            <w:tcW w:w="2051" w:type="dxa"/>
          </w:tcPr>
          <w:p w14:paraId="1A89CE0F" w14:textId="77777777" w:rsidR="0000329C" w:rsidRPr="000349C1" w:rsidRDefault="0000329C" w:rsidP="000349C1">
            <w:pPr>
              <w:jc w:val="center"/>
              <w:rPr>
                <w:rFonts w:cs="Arial"/>
                <w:sz w:val="20"/>
                <w:lang w:eastAsia="en-AU"/>
              </w:rPr>
            </w:pPr>
            <w:r>
              <w:rPr>
                <w:rFonts w:cs="Arial"/>
                <w:color w:val="000000"/>
                <w:sz w:val="20"/>
              </w:rPr>
              <w:t>6</w:t>
            </w:r>
          </w:p>
        </w:tc>
      </w:tr>
      <w:tr w:rsidR="0000329C" w:rsidRPr="004A6626" w14:paraId="7E39A9C9" w14:textId="77777777" w:rsidTr="00B34FD8">
        <w:tc>
          <w:tcPr>
            <w:tcW w:w="2050" w:type="dxa"/>
          </w:tcPr>
          <w:p w14:paraId="6EB3082B" w14:textId="77777777" w:rsidR="0000329C" w:rsidRPr="000349C1" w:rsidRDefault="0000329C" w:rsidP="000349C1">
            <w:pPr>
              <w:rPr>
                <w:rFonts w:cs="Arial"/>
                <w:sz w:val="20"/>
                <w:lang w:eastAsia="en-AU"/>
              </w:rPr>
            </w:pPr>
            <w:r w:rsidRPr="000349C1">
              <w:rPr>
                <w:rFonts w:cs="Arial"/>
                <w:sz w:val="20"/>
                <w:lang w:eastAsia="en-AU"/>
              </w:rPr>
              <w:t>Western Australia</w:t>
            </w:r>
          </w:p>
        </w:tc>
        <w:tc>
          <w:tcPr>
            <w:tcW w:w="2051" w:type="dxa"/>
          </w:tcPr>
          <w:p w14:paraId="654D5BB2" w14:textId="77777777" w:rsidR="0000329C" w:rsidRPr="000349C1" w:rsidRDefault="0000329C" w:rsidP="000349C1">
            <w:pPr>
              <w:jc w:val="center"/>
              <w:rPr>
                <w:rFonts w:cs="Arial"/>
                <w:sz w:val="20"/>
                <w:lang w:eastAsia="en-AU"/>
              </w:rPr>
            </w:pPr>
            <w:r w:rsidRPr="000349C1">
              <w:rPr>
                <w:rFonts w:cs="Arial"/>
                <w:sz w:val="20"/>
                <w:lang w:eastAsia="en-AU"/>
              </w:rPr>
              <w:t>7</w:t>
            </w:r>
          </w:p>
        </w:tc>
        <w:tc>
          <w:tcPr>
            <w:tcW w:w="2051" w:type="dxa"/>
          </w:tcPr>
          <w:p w14:paraId="63C3A217" w14:textId="77777777" w:rsidR="0000329C" w:rsidRPr="000349C1" w:rsidRDefault="0000329C" w:rsidP="000349C1">
            <w:pPr>
              <w:jc w:val="center"/>
              <w:rPr>
                <w:rFonts w:cs="Arial"/>
                <w:sz w:val="20"/>
                <w:lang w:eastAsia="en-AU"/>
              </w:rPr>
            </w:pPr>
            <w:r>
              <w:rPr>
                <w:rFonts w:cs="Arial"/>
                <w:color w:val="000000"/>
                <w:sz w:val="20"/>
              </w:rPr>
              <w:t>9</w:t>
            </w:r>
          </w:p>
        </w:tc>
        <w:tc>
          <w:tcPr>
            <w:tcW w:w="2051" w:type="dxa"/>
          </w:tcPr>
          <w:p w14:paraId="632E31CE" w14:textId="77777777" w:rsidR="0000329C" w:rsidRPr="000349C1" w:rsidRDefault="0000329C" w:rsidP="000349C1">
            <w:pPr>
              <w:jc w:val="center"/>
              <w:rPr>
                <w:rFonts w:cs="Arial"/>
                <w:sz w:val="20"/>
                <w:lang w:eastAsia="en-AU"/>
              </w:rPr>
            </w:pPr>
            <w:r>
              <w:rPr>
                <w:rFonts w:cs="Arial"/>
                <w:color w:val="000000"/>
                <w:sz w:val="20"/>
              </w:rPr>
              <w:t>15</w:t>
            </w:r>
          </w:p>
        </w:tc>
      </w:tr>
      <w:tr w:rsidR="0000329C" w:rsidRPr="004A6626" w14:paraId="0FE7BB13" w14:textId="77777777" w:rsidTr="00B34FD8">
        <w:tc>
          <w:tcPr>
            <w:tcW w:w="2050" w:type="dxa"/>
          </w:tcPr>
          <w:p w14:paraId="05339130" w14:textId="77777777" w:rsidR="0000329C" w:rsidRPr="000349C1" w:rsidRDefault="0000329C" w:rsidP="000349C1">
            <w:pPr>
              <w:rPr>
                <w:rFonts w:cs="Arial"/>
                <w:sz w:val="20"/>
                <w:lang w:eastAsia="en-AU"/>
              </w:rPr>
            </w:pPr>
            <w:r w:rsidRPr="000349C1">
              <w:rPr>
                <w:rFonts w:cs="Arial"/>
                <w:sz w:val="20"/>
                <w:lang w:eastAsia="en-AU"/>
              </w:rPr>
              <w:t>Tasmania</w:t>
            </w:r>
          </w:p>
        </w:tc>
        <w:tc>
          <w:tcPr>
            <w:tcW w:w="2051" w:type="dxa"/>
          </w:tcPr>
          <w:p w14:paraId="26559A02" w14:textId="77777777" w:rsidR="0000329C" w:rsidRPr="000349C1" w:rsidRDefault="0000329C" w:rsidP="000349C1">
            <w:pPr>
              <w:jc w:val="center"/>
              <w:rPr>
                <w:rFonts w:cs="Arial"/>
                <w:sz w:val="20"/>
                <w:lang w:eastAsia="en-AU"/>
              </w:rPr>
            </w:pPr>
            <w:r w:rsidRPr="000349C1">
              <w:rPr>
                <w:rFonts w:cs="Arial"/>
                <w:sz w:val="20"/>
                <w:lang w:eastAsia="en-AU"/>
              </w:rPr>
              <w:t>1</w:t>
            </w:r>
          </w:p>
        </w:tc>
        <w:tc>
          <w:tcPr>
            <w:tcW w:w="2051" w:type="dxa"/>
          </w:tcPr>
          <w:p w14:paraId="3D0201B7" w14:textId="77777777" w:rsidR="0000329C" w:rsidRPr="000349C1" w:rsidRDefault="0000329C" w:rsidP="000349C1">
            <w:pPr>
              <w:jc w:val="center"/>
              <w:rPr>
                <w:rFonts w:cs="Arial"/>
                <w:sz w:val="20"/>
                <w:lang w:eastAsia="en-AU"/>
              </w:rPr>
            </w:pPr>
            <w:r>
              <w:rPr>
                <w:rFonts w:cs="Arial"/>
                <w:color w:val="000000"/>
                <w:sz w:val="20"/>
              </w:rPr>
              <w:t>2</w:t>
            </w:r>
          </w:p>
        </w:tc>
        <w:tc>
          <w:tcPr>
            <w:tcW w:w="2051" w:type="dxa"/>
          </w:tcPr>
          <w:p w14:paraId="11088BCC" w14:textId="77777777" w:rsidR="0000329C" w:rsidRPr="000349C1" w:rsidRDefault="0000329C" w:rsidP="000349C1">
            <w:pPr>
              <w:jc w:val="center"/>
              <w:rPr>
                <w:rFonts w:cs="Arial"/>
                <w:sz w:val="20"/>
                <w:lang w:eastAsia="en-AU"/>
              </w:rPr>
            </w:pPr>
            <w:r>
              <w:rPr>
                <w:rFonts w:cs="Arial"/>
                <w:color w:val="000000"/>
                <w:sz w:val="20"/>
              </w:rPr>
              <w:t>3</w:t>
            </w:r>
          </w:p>
        </w:tc>
      </w:tr>
      <w:tr w:rsidR="0000329C" w:rsidRPr="004A6626" w14:paraId="1483EAC2" w14:textId="77777777" w:rsidTr="00B34FD8">
        <w:tc>
          <w:tcPr>
            <w:tcW w:w="2050" w:type="dxa"/>
          </w:tcPr>
          <w:p w14:paraId="48007097" w14:textId="77777777" w:rsidR="0000329C" w:rsidRPr="000349C1" w:rsidRDefault="0000329C" w:rsidP="000349C1">
            <w:pPr>
              <w:rPr>
                <w:rFonts w:cs="Arial"/>
                <w:sz w:val="20"/>
                <w:lang w:eastAsia="en-AU"/>
              </w:rPr>
            </w:pPr>
            <w:r w:rsidRPr="000349C1">
              <w:rPr>
                <w:rFonts w:cs="Arial"/>
                <w:sz w:val="20"/>
                <w:lang w:eastAsia="en-AU"/>
              </w:rPr>
              <w:t>NT</w:t>
            </w:r>
          </w:p>
        </w:tc>
        <w:tc>
          <w:tcPr>
            <w:tcW w:w="2051" w:type="dxa"/>
          </w:tcPr>
          <w:p w14:paraId="53EC1C88" w14:textId="77777777" w:rsidR="0000329C" w:rsidRPr="000349C1" w:rsidRDefault="0000329C" w:rsidP="000349C1">
            <w:pPr>
              <w:jc w:val="center"/>
              <w:rPr>
                <w:rFonts w:cs="Arial"/>
                <w:sz w:val="20"/>
                <w:lang w:eastAsia="en-AU"/>
              </w:rPr>
            </w:pPr>
            <w:r w:rsidRPr="000349C1">
              <w:rPr>
                <w:rFonts w:cs="Arial"/>
                <w:sz w:val="20"/>
                <w:lang w:eastAsia="en-AU"/>
              </w:rPr>
              <w:t>1</w:t>
            </w:r>
          </w:p>
        </w:tc>
        <w:tc>
          <w:tcPr>
            <w:tcW w:w="2051" w:type="dxa"/>
          </w:tcPr>
          <w:p w14:paraId="240F78C8" w14:textId="77777777" w:rsidR="0000329C" w:rsidRPr="000349C1" w:rsidRDefault="0000329C" w:rsidP="000349C1">
            <w:pPr>
              <w:jc w:val="center"/>
              <w:rPr>
                <w:rFonts w:cs="Arial"/>
                <w:sz w:val="20"/>
                <w:lang w:eastAsia="en-AU"/>
              </w:rPr>
            </w:pPr>
            <w:r>
              <w:rPr>
                <w:rFonts w:cs="Arial"/>
                <w:color w:val="000000"/>
                <w:sz w:val="20"/>
              </w:rPr>
              <w:t>1</w:t>
            </w:r>
          </w:p>
        </w:tc>
        <w:tc>
          <w:tcPr>
            <w:tcW w:w="2051" w:type="dxa"/>
          </w:tcPr>
          <w:p w14:paraId="00994F4D" w14:textId="77777777" w:rsidR="0000329C" w:rsidRPr="000349C1" w:rsidRDefault="0000329C" w:rsidP="000349C1">
            <w:pPr>
              <w:jc w:val="center"/>
              <w:rPr>
                <w:rFonts w:cs="Arial"/>
                <w:sz w:val="20"/>
                <w:lang w:eastAsia="en-AU"/>
              </w:rPr>
            </w:pPr>
            <w:r>
              <w:rPr>
                <w:rFonts w:cs="Arial"/>
                <w:color w:val="000000"/>
                <w:sz w:val="20"/>
              </w:rPr>
              <w:t>2</w:t>
            </w:r>
          </w:p>
        </w:tc>
      </w:tr>
      <w:tr w:rsidR="0000329C" w:rsidRPr="004A6626" w14:paraId="1D27ADA4" w14:textId="77777777" w:rsidTr="00B34FD8">
        <w:tc>
          <w:tcPr>
            <w:tcW w:w="2050" w:type="dxa"/>
          </w:tcPr>
          <w:p w14:paraId="23D1C748" w14:textId="77777777" w:rsidR="0000329C" w:rsidRPr="000349C1" w:rsidRDefault="0000329C" w:rsidP="000349C1">
            <w:pPr>
              <w:rPr>
                <w:rFonts w:cs="Arial"/>
                <w:sz w:val="20"/>
                <w:lang w:eastAsia="en-AU"/>
              </w:rPr>
            </w:pPr>
            <w:r w:rsidRPr="000349C1">
              <w:rPr>
                <w:rFonts w:cs="Arial"/>
                <w:sz w:val="20"/>
                <w:lang w:eastAsia="en-AU"/>
              </w:rPr>
              <w:t>ACT</w:t>
            </w:r>
          </w:p>
        </w:tc>
        <w:tc>
          <w:tcPr>
            <w:tcW w:w="2051" w:type="dxa"/>
          </w:tcPr>
          <w:p w14:paraId="41D6D9FA" w14:textId="77777777" w:rsidR="0000329C" w:rsidRPr="000349C1" w:rsidRDefault="0000329C" w:rsidP="000349C1">
            <w:pPr>
              <w:jc w:val="center"/>
              <w:rPr>
                <w:rFonts w:cs="Arial"/>
                <w:sz w:val="20"/>
                <w:lang w:eastAsia="en-AU"/>
              </w:rPr>
            </w:pPr>
            <w:r w:rsidRPr="000349C1">
              <w:rPr>
                <w:rFonts w:cs="Arial"/>
                <w:sz w:val="20"/>
                <w:lang w:eastAsia="en-AU"/>
              </w:rPr>
              <w:t>3</w:t>
            </w:r>
          </w:p>
        </w:tc>
        <w:tc>
          <w:tcPr>
            <w:tcW w:w="2051" w:type="dxa"/>
          </w:tcPr>
          <w:p w14:paraId="6A753295" w14:textId="77777777" w:rsidR="0000329C" w:rsidRPr="000349C1" w:rsidRDefault="0000329C" w:rsidP="000349C1">
            <w:pPr>
              <w:jc w:val="center"/>
              <w:rPr>
                <w:rFonts w:cs="Arial"/>
                <w:sz w:val="20"/>
                <w:lang w:eastAsia="en-AU"/>
              </w:rPr>
            </w:pPr>
            <w:r>
              <w:rPr>
                <w:rFonts w:cs="Arial"/>
                <w:color w:val="000000"/>
                <w:sz w:val="20"/>
              </w:rPr>
              <w:t>2</w:t>
            </w:r>
          </w:p>
        </w:tc>
        <w:tc>
          <w:tcPr>
            <w:tcW w:w="2051" w:type="dxa"/>
          </w:tcPr>
          <w:p w14:paraId="2D226FCC" w14:textId="77777777" w:rsidR="0000329C" w:rsidRPr="000349C1" w:rsidRDefault="0000329C" w:rsidP="000349C1">
            <w:pPr>
              <w:jc w:val="center"/>
              <w:rPr>
                <w:rFonts w:cs="Arial"/>
                <w:sz w:val="20"/>
                <w:lang w:eastAsia="en-AU"/>
              </w:rPr>
            </w:pPr>
            <w:r>
              <w:rPr>
                <w:rFonts w:cs="Arial"/>
                <w:color w:val="000000"/>
                <w:sz w:val="20"/>
              </w:rPr>
              <w:t>5</w:t>
            </w:r>
          </w:p>
        </w:tc>
      </w:tr>
      <w:tr w:rsidR="0000329C" w:rsidRPr="004A6626" w14:paraId="3345D095" w14:textId="77777777" w:rsidTr="000349C1">
        <w:tc>
          <w:tcPr>
            <w:tcW w:w="2050" w:type="dxa"/>
            <w:tcBorders>
              <w:bottom w:val="nil"/>
            </w:tcBorders>
          </w:tcPr>
          <w:p w14:paraId="163D3FD4" w14:textId="77777777" w:rsidR="0000329C" w:rsidRPr="000349C1" w:rsidRDefault="0000329C" w:rsidP="000349C1">
            <w:pPr>
              <w:rPr>
                <w:rFonts w:cs="Arial"/>
                <w:sz w:val="20"/>
                <w:lang w:eastAsia="en-AU"/>
              </w:rPr>
            </w:pPr>
            <w:r w:rsidRPr="000349C1">
              <w:rPr>
                <w:rFonts w:cs="Arial"/>
                <w:sz w:val="20"/>
                <w:lang w:eastAsia="en-AU"/>
              </w:rPr>
              <w:t>Australia</w:t>
            </w:r>
          </w:p>
        </w:tc>
        <w:tc>
          <w:tcPr>
            <w:tcW w:w="2051" w:type="dxa"/>
            <w:tcBorders>
              <w:bottom w:val="nil"/>
            </w:tcBorders>
          </w:tcPr>
          <w:p w14:paraId="46C653EC" w14:textId="77777777" w:rsidR="0000329C" w:rsidRPr="000349C1" w:rsidRDefault="0000329C" w:rsidP="000349C1">
            <w:pPr>
              <w:jc w:val="center"/>
              <w:rPr>
                <w:rFonts w:cs="Arial"/>
                <w:sz w:val="20"/>
                <w:lang w:eastAsia="en-AU"/>
              </w:rPr>
            </w:pPr>
            <w:r w:rsidRPr="000349C1">
              <w:rPr>
                <w:rFonts w:cs="Arial"/>
                <w:sz w:val="20"/>
                <w:lang w:eastAsia="en-AU"/>
              </w:rPr>
              <w:t>123</w:t>
            </w:r>
          </w:p>
        </w:tc>
        <w:tc>
          <w:tcPr>
            <w:tcW w:w="2051" w:type="dxa"/>
            <w:tcBorders>
              <w:bottom w:val="nil"/>
            </w:tcBorders>
          </w:tcPr>
          <w:p w14:paraId="418E6F82" w14:textId="77777777" w:rsidR="0000329C" w:rsidRPr="000349C1" w:rsidRDefault="0000329C" w:rsidP="000349C1">
            <w:pPr>
              <w:jc w:val="center"/>
              <w:rPr>
                <w:rFonts w:cs="Arial"/>
                <w:sz w:val="20"/>
                <w:lang w:eastAsia="en-AU"/>
              </w:rPr>
            </w:pPr>
            <w:r w:rsidRPr="000349C1">
              <w:rPr>
                <w:rFonts w:cs="Arial"/>
                <w:sz w:val="20"/>
                <w:lang w:eastAsia="en-AU"/>
              </w:rPr>
              <w:t>99</w:t>
            </w:r>
          </w:p>
        </w:tc>
        <w:tc>
          <w:tcPr>
            <w:tcW w:w="2051" w:type="dxa"/>
            <w:tcBorders>
              <w:bottom w:val="nil"/>
            </w:tcBorders>
          </w:tcPr>
          <w:p w14:paraId="1058A1DA" w14:textId="77777777" w:rsidR="0000329C" w:rsidRPr="000349C1" w:rsidRDefault="0000329C" w:rsidP="000349C1">
            <w:pPr>
              <w:jc w:val="center"/>
              <w:rPr>
                <w:rFonts w:cs="Arial"/>
                <w:sz w:val="20"/>
                <w:lang w:eastAsia="en-AU"/>
              </w:rPr>
            </w:pPr>
            <w:r w:rsidRPr="000349C1">
              <w:rPr>
                <w:rFonts w:cs="Arial"/>
                <w:sz w:val="20"/>
                <w:lang w:eastAsia="en-AU"/>
              </w:rPr>
              <w:t>222</w:t>
            </w:r>
          </w:p>
        </w:tc>
      </w:tr>
      <w:tr w:rsidR="0000329C" w:rsidRPr="004A6626" w14:paraId="4223F516" w14:textId="77777777" w:rsidTr="000349C1">
        <w:tc>
          <w:tcPr>
            <w:tcW w:w="2050" w:type="dxa"/>
            <w:tcBorders>
              <w:bottom w:val="nil"/>
            </w:tcBorders>
            <w:shd w:val="clear" w:color="auto" w:fill="B0CAFF" w:themeFill="text2" w:themeFillTint="33"/>
          </w:tcPr>
          <w:p w14:paraId="185FBA4D" w14:textId="77777777" w:rsidR="0000329C" w:rsidRPr="000349C1" w:rsidRDefault="0000329C" w:rsidP="000349C1">
            <w:pPr>
              <w:rPr>
                <w:rFonts w:cs="Arial"/>
                <w:i/>
                <w:sz w:val="20"/>
                <w:lang w:eastAsia="en-AU"/>
              </w:rPr>
            </w:pPr>
            <w:r w:rsidRPr="000349C1">
              <w:rPr>
                <w:rFonts w:cs="Arial"/>
                <w:i/>
                <w:sz w:val="20"/>
                <w:lang w:eastAsia="en-AU"/>
              </w:rPr>
              <w:t>Employment (</w:t>
            </w:r>
            <w:r w:rsidR="00E13322">
              <w:rPr>
                <w:rFonts w:cs="Arial"/>
                <w:i/>
                <w:sz w:val="20"/>
                <w:lang w:eastAsia="en-AU"/>
              </w:rPr>
              <w:t>FTE</w:t>
            </w:r>
            <w:r w:rsidRPr="000349C1">
              <w:rPr>
                <w:rFonts w:cs="Arial"/>
                <w:i/>
                <w:sz w:val="20"/>
                <w:lang w:eastAsia="en-AU"/>
              </w:rPr>
              <w:t>)</w:t>
            </w:r>
          </w:p>
        </w:tc>
        <w:tc>
          <w:tcPr>
            <w:tcW w:w="2051" w:type="dxa"/>
            <w:tcBorders>
              <w:bottom w:val="nil"/>
            </w:tcBorders>
            <w:shd w:val="clear" w:color="auto" w:fill="B0CAFF" w:themeFill="text2" w:themeFillTint="33"/>
          </w:tcPr>
          <w:p w14:paraId="2B7ACB1B" w14:textId="77777777" w:rsidR="0000329C" w:rsidRPr="000349C1" w:rsidRDefault="0000329C" w:rsidP="000349C1">
            <w:pPr>
              <w:jc w:val="center"/>
              <w:rPr>
                <w:rFonts w:cs="Arial"/>
                <w:i/>
                <w:sz w:val="20"/>
                <w:lang w:eastAsia="en-AU"/>
              </w:rPr>
            </w:pPr>
          </w:p>
        </w:tc>
        <w:tc>
          <w:tcPr>
            <w:tcW w:w="2051" w:type="dxa"/>
            <w:tcBorders>
              <w:bottom w:val="nil"/>
            </w:tcBorders>
            <w:shd w:val="clear" w:color="auto" w:fill="B0CAFF" w:themeFill="text2" w:themeFillTint="33"/>
          </w:tcPr>
          <w:p w14:paraId="20CE87F4" w14:textId="77777777" w:rsidR="0000329C" w:rsidRPr="000349C1" w:rsidRDefault="0000329C" w:rsidP="000349C1">
            <w:pPr>
              <w:jc w:val="center"/>
              <w:rPr>
                <w:rFonts w:cs="Arial"/>
                <w:i/>
                <w:sz w:val="20"/>
                <w:lang w:eastAsia="en-AU"/>
              </w:rPr>
            </w:pPr>
          </w:p>
        </w:tc>
        <w:tc>
          <w:tcPr>
            <w:tcW w:w="2051" w:type="dxa"/>
            <w:tcBorders>
              <w:bottom w:val="nil"/>
            </w:tcBorders>
            <w:shd w:val="clear" w:color="auto" w:fill="B0CAFF" w:themeFill="text2" w:themeFillTint="33"/>
          </w:tcPr>
          <w:p w14:paraId="2E425782" w14:textId="77777777" w:rsidR="0000329C" w:rsidRPr="000349C1" w:rsidRDefault="0000329C" w:rsidP="000349C1">
            <w:pPr>
              <w:jc w:val="center"/>
              <w:rPr>
                <w:rFonts w:cs="Arial"/>
                <w:i/>
                <w:sz w:val="20"/>
                <w:lang w:eastAsia="en-AU"/>
              </w:rPr>
            </w:pPr>
          </w:p>
        </w:tc>
      </w:tr>
      <w:tr w:rsidR="0000329C" w:rsidRPr="004A6626" w14:paraId="6C3F3379" w14:textId="77777777" w:rsidTr="00B34FD8">
        <w:tc>
          <w:tcPr>
            <w:tcW w:w="2050" w:type="dxa"/>
            <w:tcBorders>
              <w:top w:val="nil"/>
            </w:tcBorders>
          </w:tcPr>
          <w:p w14:paraId="787E252E" w14:textId="77777777" w:rsidR="0000329C" w:rsidRPr="000349C1" w:rsidRDefault="0000329C" w:rsidP="000349C1">
            <w:pPr>
              <w:rPr>
                <w:rFonts w:cs="Arial"/>
                <w:sz w:val="20"/>
                <w:lang w:eastAsia="en-AU"/>
              </w:rPr>
            </w:pPr>
            <w:r w:rsidRPr="000349C1">
              <w:rPr>
                <w:rFonts w:cs="Arial"/>
                <w:sz w:val="20"/>
                <w:lang w:eastAsia="en-AU"/>
              </w:rPr>
              <w:t>NSW</w:t>
            </w:r>
          </w:p>
        </w:tc>
        <w:tc>
          <w:tcPr>
            <w:tcW w:w="2051" w:type="dxa"/>
            <w:tcBorders>
              <w:top w:val="nil"/>
            </w:tcBorders>
          </w:tcPr>
          <w:p w14:paraId="1A654DE6" w14:textId="77777777" w:rsidR="0000329C" w:rsidRPr="000349C1" w:rsidRDefault="0000329C" w:rsidP="000349C1">
            <w:pPr>
              <w:jc w:val="center"/>
              <w:rPr>
                <w:rFonts w:cs="Arial"/>
                <w:sz w:val="20"/>
                <w:lang w:eastAsia="en-AU"/>
              </w:rPr>
            </w:pPr>
            <w:r w:rsidRPr="000349C1">
              <w:rPr>
                <w:rFonts w:cs="Arial"/>
                <w:sz w:val="20"/>
                <w:lang w:eastAsia="en-AU"/>
              </w:rPr>
              <w:t>534</w:t>
            </w:r>
          </w:p>
        </w:tc>
        <w:tc>
          <w:tcPr>
            <w:tcW w:w="2051" w:type="dxa"/>
            <w:tcBorders>
              <w:top w:val="nil"/>
            </w:tcBorders>
          </w:tcPr>
          <w:p w14:paraId="3B6A3185" w14:textId="77777777" w:rsidR="0000329C" w:rsidRPr="000349C1" w:rsidRDefault="0000329C" w:rsidP="000349C1">
            <w:pPr>
              <w:jc w:val="center"/>
              <w:rPr>
                <w:rFonts w:cs="Arial"/>
                <w:sz w:val="20"/>
                <w:lang w:eastAsia="en-AU"/>
              </w:rPr>
            </w:pPr>
            <w:r>
              <w:rPr>
                <w:rFonts w:cs="Arial"/>
                <w:color w:val="000000"/>
                <w:sz w:val="20"/>
              </w:rPr>
              <w:t>220</w:t>
            </w:r>
          </w:p>
        </w:tc>
        <w:tc>
          <w:tcPr>
            <w:tcW w:w="2051" w:type="dxa"/>
            <w:tcBorders>
              <w:top w:val="nil"/>
            </w:tcBorders>
          </w:tcPr>
          <w:p w14:paraId="73FA814C" w14:textId="77777777" w:rsidR="0000329C" w:rsidRPr="000349C1" w:rsidRDefault="0000329C" w:rsidP="000349C1">
            <w:pPr>
              <w:jc w:val="center"/>
              <w:rPr>
                <w:rFonts w:cs="Arial"/>
                <w:sz w:val="20"/>
                <w:lang w:eastAsia="en-AU"/>
              </w:rPr>
            </w:pPr>
            <w:r>
              <w:rPr>
                <w:rFonts w:cs="Arial"/>
                <w:color w:val="000000"/>
                <w:sz w:val="20"/>
              </w:rPr>
              <w:t>755</w:t>
            </w:r>
          </w:p>
        </w:tc>
      </w:tr>
      <w:tr w:rsidR="0000329C" w:rsidRPr="004A6626" w14:paraId="17B657CC" w14:textId="77777777" w:rsidTr="00B34FD8">
        <w:tc>
          <w:tcPr>
            <w:tcW w:w="2050" w:type="dxa"/>
          </w:tcPr>
          <w:p w14:paraId="4FA69454" w14:textId="77777777" w:rsidR="0000329C" w:rsidRPr="000349C1" w:rsidRDefault="0000329C" w:rsidP="000349C1">
            <w:pPr>
              <w:rPr>
                <w:rFonts w:cs="Arial"/>
                <w:sz w:val="20"/>
                <w:lang w:eastAsia="en-AU"/>
              </w:rPr>
            </w:pPr>
            <w:r w:rsidRPr="000349C1">
              <w:rPr>
                <w:rFonts w:cs="Arial"/>
                <w:sz w:val="20"/>
                <w:lang w:eastAsia="en-AU"/>
              </w:rPr>
              <w:t>Victoria</w:t>
            </w:r>
          </w:p>
        </w:tc>
        <w:tc>
          <w:tcPr>
            <w:tcW w:w="2051" w:type="dxa"/>
          </w:tcPr>
          <w:p w14:paraId="44953F98" w14:textId="77777777" w:rsidR="0000329C" w:rsidRPr="000349C1" w:rsidRDefault="0000329C" w:rsidP="000349C1">
            <w:pPr>
              <w:jc w:val="center"/>
              <w:rPr>
                <w:rFonts w:cs="Arial"/>
                <w:sz w:val="20"/>
                <w:lang w:eastAsia="en-AU"/>
              </w:rPr>
            </w:pPr>
            <w:r w:rsidRPr="000349C1">
              <w:rPr>
                <w:rFonts w:cs="Arial"/>
                <w:sz w:val="20"/>
                <w:lang w:eastAsia="en-AU"/>
              </w:rPr>
              <w:t>821</w:t>
            </w:r>
          </w:p>
        </w:tc>
        <w:tc>
          <w:tcPr>
            <w:tcW w:w="2051" w:type="dxa"/>
          </w:tcPr>
          <w:p w14:paraId="2CB58555" w14:textId="77777777" w:rsidR="0000329C" w:rsidRPr="000349C1" w:rsidRDefault="0000329C" w:rsidP="000349C1">
            <w:pPr>
              <w:jc w:val="center"/>
              <w:rPr>
                <w:rFonts w:cs="Arial"/>
                <w:sz w:val="20"/>
                <w:lang w:eastAsia="en-AU"/>
              </w:rPr>
            </w:pPr>
            <w:r>
              <w:rPr>
                <w:rFonts w:cs="Arial"/>
                <w:color w:val="000000"/>
                <w:sz w:val="20"/>
              </w:rPr>
              <w:t>271</w:t>
            </w:r>
          </w:p>
        </w:tc>
        <w:tc>
          <w:tcPr>
            <w:tcW w:w="2051" w:type="dxa"/>
          </w:tcPr>
          <w:p w14:paraId="4AC8E2EC" w14:textId="77777777" w:rsidR="0000329C" w:rsidRPr="000349C1" w:rsidRDefault="0000329C" w:rsidP="000349C1">
            <w:pPr>
              <w:jc w:val="center"/>
              <w:rPr>
                <w:rFonts w:cs="Arial"/>
                <w:sz w:val="20"/>
                <w:lang w:eastAsia="en-AU"/>
              </w:rPr>
            </w:pPr>
            <w:r>
              <w:rPr>
                <w:rFonts w:cs="Arial"/>
                <w:color w:val="000000"/>
                <w:sz w:val="20"/>
              </w:rPr>
              <w:t>1,096</w:t>
            </w:r>
          </w:p>
        </w:tc>
      </w:tr>
      <w:tr w:rsidR="0000329C" w:rsidRPr="004A6626" w14:paraId="731F1F54" w14:textId="77777777" w:rsidTr="00B34FD8">
        <w:tc>
          <w:tcPr>
            <w:tcW w:w="2050" w:type="dxa"/>
          </w:tcPr>
          <w:p w14:paraId="4952DB57" w14:textId="77777777" w:rsidR="0000329C" w:rsidRPr="000349C1" w:rsidRDefault="0000329C" w:rsidP="000349C1">
            <w:pPr>
              <w:rPr>
                <w:rFonts w:cs="Arial"/>
                <w:sz w:val="20"/>
                <w:lang w:eastAsia="en-AU"/>
              </w:rPr>
            </w:pPr>
            <w:r w:rsidRPr="000349C1">
              <w:rPr>
                <w:rFonts w:cs="Arial"/>
                <w:sz w:val="20"/>
                <w:lang w:eastAsia="en-AU"/>
              </w:rPr>
              <w:t>Queensland</w:t>
            </w:r>
          </w:p>
        </w:tc>
        <w:tc>
          <w:tcPr>
            <w:tcW w:w="2051" w:type="dxa"/>
          </w:tcPr>
          <w:p w14:paraId="0AB57538" w14:textId="77777777" w:rsidR="0000329C" w:rsidRPr="000349C1" w:rsidRDefault="0000329C" w:rsidP="000349C1">
            <w:pPr>
              <w:jc w:val="center"/>
              <w:rPr>
                <w:rFonts w:cs="Arial"/>
                <w:sz w:val="20"/>
                <w:lang w:eastAsia="en-AU"/>
              </w:rPr>
            </w:pPr>
            <w:r w:rsidRPr="000349C1">
              <w:rPr>
                <w:rFonts w:cs="Arial"/>
                <w:sz w:val="20"/>
                <w:lang w:eastAsia="en-AU"/>
              </w:rPr>
              <w:t>114</w:t>
            </w:r>
          </w:p>
        </w:tc>
        <w:tc>
          <w:tcPr>
            <w:tcW w:w="2051" w:type="dxa"/>
          </w:tcPr>
          <w:p w14:paraId="6E5EAC4C" w14:textId="77777777" w:rsidR="0000329C" w:rsidRPr="000349C1" w:rsidRDefault="0000329C" w:rsidP="000349C1">
            <w:pPr>
              <w:jc w:val="center"/>
              <w:rPr>
                <w:rFonts w:cs="Arial"/>
                <w:sz w:val="20"/>
                <w:lang w:eastAsia="en-AU"/>
              </w:rPr>
            </w:pPr>
            <w:r>
              <w:rPr>
                <w:rFonts w:cs="Arial"/>
                <w:color w:val="000000"/>
                <w:sz w:val="20"/>
              </w:rPr>
              <w:t>104</w:t>
            </w:r>
          </w:p>
        </w:tc>
        <w:tc>
          <w:tcPr>
            <w:tcW w:w="2051" w:type="dxa"/>
          </w:tcPr>
          <w:p w14:paraId="4104E056" w14:textId="77777777" w:rsidR="0000329C" w:rsidRPr="000349C1" w:rsidRDefault="0000329C" w:rsidP="000349C1">
            <w:pPr>
              <w:jc w:val="center"/>
              <w:rPr>
                <w:rFonts w:cs="Arial"/>
                <w:sz w:val="20"/>
                <w:lang w:eastAsia="en-AU"/>
              </w:rPr>
            </w:pPr>
            <w:r>
              <w:rPr>
                <w:rFonts w:cs="Arial"/>
                <w:color w:val="000000"/>
                <w:sz w:val="20"/>
              </w:rPr>
              <w:t>215</w:t>
            </w:r>
          </w:p>
        </w:tc>
      </w:tr>
      <w:tr w:rsidR="0000329C" w:rsidRPr="004A6626" w14:paraId="5FC724A3" w14:textId="77777777" w:rsidTr="00B34FD8">
        <w:tc>
          <w:tcPr>
            <w:tcW w:w="2050" w:type="dxa"/>
          </w:tcPr>
          <w:p w14:paraId="0C01BC6D" w14:textId="77777777" w:rsidR="0000329C" w:rsidRPr="000349C1" w:rsidRDefault="0000329C" w:rsidP="000349C1">
            <w:pPr>
              <w:rPr>
                <w:rFonts w:cs="Arial"/>
                <w:sz w:val="20"/>
                <w:lang w:eastAsia="en-AU"/>
              </w:rPr>
            </w:pPr>
            <w:r w:rsidRPr="000349C1">
              <w:rPr>
                <w:rFonts w:cs="Arial"/>
                <w:sz w:val="20"/>
                <w:lang w:eastAsia="en-AU"/>
              </w:rPr>
              <w:t>South Australia</w:t>
            </w:r>
          </w:p>
        </w:tc>
        <w:tc>
          <w:tcPr>
            <w:tcW w:w="2051" w:type="dxa"/>
          </w:tcPr>
          <w:p w14:paraId="39A64C15" w14:textId="77777777" w:rsidR="0000329C" w:rsidRPr="000349C1" w:rsidRDefault="0000329C" w:rsidP="000349C1">
            <w:pPr>
              <w:jc w:val="center"/>
              <w:rPr>
                <w:rFonts w:cs="Arial"/>
                <w:sz w:val="20"/>
                <w:lang w:eastAsia="en-AU"/>
              </w:rPr>
            </w:pPr>
            <w:r w:rsidRPr="000349C1">
              <w:rPr>
                <w:rFonts w:cs="Arial"/>
                <w:sz w:val="20"/>
                <w:lang w:eastAsia="en-AU"/>
              </w:rPr>
              <w:t>28</w:t>
            </w:r>
          </w:p>
        </w:tc>
        <w:tc>
          <w:tcPr>
            <w:tcW w:w="2051" w:type="dxa"/>
          </w:tcPr>
          <w:p w14:paraId="3BC19B18" w14:textId="77777777" w:rsidR="0000329C" w:rsidRPr="000349C1" w:rsidRDefault="0000329C" w:rsidP="000349C1">
            <w:pPr>
              <w:jc w:val="center"/>
              <w:rPr>
                <w:rFonts w:cs="Arial"/>
                <w:sz w:val="20"/>
                <w:lang w:eastAsia="en-AU"/>
              </w:rPr>
            </w:pPr>
            <w:r>
              <w:rPr>
                <w:rFonts w:cs="Arial"/>
                <w:color w:val="000000"/>
                <w:sz w:val="20"/>
              </w:rPr>
              <w:t>34</w:t>
            </w:r>
          </w:p>
        </w:tc>
        <w:tc>
          <w:tcPr>
            <w:tcW w:w="2051" w:type="dxa"/>
          </w:tcPr>
          <w:p w14:paraId="0D67BCEA" w14:textId="77777777" w:rsidR="0000329C" w:rsidRPr="000349C1" w:rsidRDefault="0000329C" w:rsidP="000349C1">
            <w:pPr>
              <w:jc w:val="center"/>
              <w:rPr>
                <w:rFonts w:cs="Arial"/>
                <w:sz w:val="20"/>
                <w:lang w:eastAsia="en-AU"/>
              </w:rPr>
            </w:pPr>
            <w:r>
              <w:rPr>
                <w:rFonts w:cs="Arial"/>
                <w:color w:val="000000"/>
                <w:sz w:val="20"/>
              </w:rPr>
              <w:t>61</w:t>
            </w:r>
          </w:p>
        </w:tc>
      </w:tr>
      <w:tr w:rsidR="0000329C" w:rsidRPr="004A6626" w14:paraId="7C7D95A1" w14:textId="77777777" w:rsidTr="00B34FD8">
        <w:tc>
          <w:tcPr>
            <w:tcW w:w="2050" w:type="dxa"/>
          </w:tcPr>
          <w:p w14:paraId="75D573ED" w14:textId="77777777" w:rsidR="0000329C" w:rsidRPr="000349C1" w:rsidRDefault="0000329C" w:rsidP="000349C1">
            <w:pPr>
              <w:rPr>
                <w:rFonts w:cs="Arial"/>
                <w:sz w:val="20"/>
                <w:lang w:eastAsia="en-AU"/>
              </w:rPr>
            </w:pPr>
            <w:r w:rsidRPr="000349C1">
              <w:rPr>
                <w:rFonts w:cs="Arial"/>
                <w:sz w:val="20"/>
                <w:lang w:eastAsia="en-AU"/>
              </w:rPr>
              <w:t>Western Australia</w:t>
            </w:r>
          </w:p>
        </w:tc>
        <w:tc>
          <w:tcPr>
            <w:tcW w:w="2051" w:type="dxa"/>
          </w:tcPr>
          <w:p w14:paraId="18CD4ED3" w14:textId="77777777" w:rsidR="0000329C" w:rsidRPr="000349C1" w:rsidRDefault="0000329C" w:rsidP="000349C1">
            <w:pPr>
              <w:jc w:val="center"/>
              <w:rPr>
                <w:rFonts w:cs="Arial"/>
                <w:sz w:val="20"/>
                <w:lang w:eastAsia="en-AU"/>
              </w:rPr>
            </w:pPr>
            <w:r w:rsidRPr="000349C1">
              <w:rPr>
                <w:rFonts w:cs="Arial"/>
                <w:sz w:val="20"/>
                <w:lang w:eastAsia="en-AU"/>
              </w:rPr>
              <w:t>77</w:t>
            </w:r>
          </w:p>
        </w:tc>
        <w:tc>
          <w:tcPr>
            <w:tcW w:w="2051" w:type="dxa"/>
          </w:tcPr>
          <w:p w14:paraId="1755B492" w14:textId="77777777" w:rsidR="0000329C" w:rsidRPr="000349C1" w:rsidRDefault="0000329C" w:rsidP="000349C1">
            <w:pPr>
              <w:jc w:val="center"/>
              <w:rPr>
                <w:rFonts w:cs="Arial"/>
                <w:sz w:val="20"/>
                <w:lang w:eastAsia="en-AU"/>
              </w:rPr>
            </w:pPr>
            <w:r>
              <w:rPr>
                <w:rFonts w:cs="Arial"/>
                <w:color w:val="000000"/>
                <w:sz w:val="20"/>
              </w:rPr>
              <w:t>54</w:t>
            </w:r>
          </w:p>
        </w:tc>
        <w:tc>
          <w:tcPr>
            <w:tcW w:w="2051" w:type="dxa"/>
          </w:tcPr>
          <w:p w14:paraId="4DFCF631" w14:textId="77777777" w:rsidR="0000329C" w:rsidRPr="000349C1" w:rsidRDefault="0000329C" w:rsidP="000349C1">
            <w:pPr>
              <w:jc w:val="center"/>
              <w:rPr>
                <w:rFonts w:cs="Arial"/>
                <w:sz w:val="20"/>
                <w:lang w:eastAsia="en-AU"/>
              </w:rPr>
            </w:pPr>
            <w:r>
              <w:rPr>
                <w:rFonts w:cs="Arial"/>
                <w:color w:val="000000"/>
                <w:sz w:val="20"/>
              </w:rPr>
              <w:t>130</w:t>
            </w:r>
          </w:p>
        </w:tc>
      </w:tr>
      <w:tr w:rsidR="0000329C" w:rsidRPr="004A6626" w14:paraId="26C9B23E" w14:textId="77777777" w:rsidTr="00B34FD8">
        <w:tc>
          <w:tcPr>
            <w:tcW w:w="2050" w:type="dxa"/>
          </w:tcPr>
          <w:p w14:paraId="78E24DE7" w14:textId="77777777" w:rsidR="0000329C" w:rsidRPr="000349C1" w:rsidRDefault="0000329C" w:rsidP="000349C1">
            <w:pPr>
              <w:rPr>
                <w:rFonts w:cs="Arial"/>
                <w:sz w:val="20"/>
                <w:lang w:eastAsia="en-AU"/>
              </w:rPr>
            </w:pPr>
            <w:r w:rsidRPr="000349C1">
              <w:rPr>
                <w:rFonts w:cs="Arial"/>
                <w:sz w:val="20"/>
                <w:lang w:eastAsia="en-AU"/>
              </w:rPr>
              <w:t>Tasmania</w:t>
            </w:r>
          </w:p>
        </w:tc>
        <w:tc>
          <w:tcPr>
            <w:tcW w:w="2051" w:type="dxa"/>
          </w:tcPr>
          <w:p w14:paraId="1CD37FE5" w14:textId="77777777" w:rsidR="0000329C" w:rsidRPr="000349C1" w:rsidRDefault="0000329C" w:rsidP="000349C1">
            <w:pPr>
              <w:jc w:val="center"/>
              <w:rPr>
                <w:rFonts w:cs="Arial"/>
                <w:sz w:val="20"/>
                <w:lang w:eastAsia="en-AU"/>
              </w:rPr>
            </w:pPr>
            <w:r w:rsidRPr="000349C1">
              <w:rPr>
                <w:rFonts w:cs="Arial"/>
                <w:sz w:val="20"/>
                <w:lang w:eastAsia="en-AU"/>
              </w:rPr>
              <w:t>22</w:t>
            </w:r>
          </w:p>
        </w:tc>
        <w:tc>
          <w:tcPr>
            <w:tcW w:w="2051" w:type="dxa"/>
          </w:tcPr>
          <w:p w14:paraId="78DE3A19" w14:textId="77777777" w:rsidR="0000329C" w:rsidRPr="000349C1" w:rsidRDefault="0000329C" w:rsidP="000349C1">
            <w:pPr>
              <w:jc w:val="center"/>
              <w:rPr>
                <w:rFonts w:cs="Arial"/>
                <w:sz w:val="20"/>
                <w:lang w:eastAsia="en-AU"/>
              </w:rPr>
            </w:pPr>
            <w:r>
              <w:rPr>
                <w:rFonts w:cs="Arial"/>
                <w:color w:val="000000"/>
                <w:sz w:val="20"/>
              </w:rPr>
              <w:t>12</w:t>
            </w:r>
          </w:p>
        </w:tc>
        <w:tc>
          <w:tcPr>
            <w:tcW w:w="2051" w:type="dxa"/>
          </w:tcPr>
          <w:p w14:paraId="0067BCFC" w14:textId="77777777" w:rsidR="0000329C" w:rsidRPr="000349C1" w:rsidRDefault="0000329C" w:rsidP="000349C1">
            <w:pPr>
              <w:jc w:val="center"/>
              <w:rPr>
                <w:rFonts w:cs="Arial"/>
                <w:sz w:val="20"/>
                <w:lang w:eastAsia="en-AU"/>
              </w:rPr>
            </w:pPr>
            <w:r>
              <w:rPr>
                <w:rFonts w:cs="Arial"/>
                <w:color w:val="000000"/>
                <w:sz w:val="20"/>
              </w:rPr>
              <w:t>34</w:t>
            </w:r>
          </w:p>
        </w:tc>
      </w:tr>
      <w:tr w:rsidR="0000329C" w:rsidRPr="004A6626" w14:paraId="25338573" w14:textId="77777777" w:rsidTr="00B34FD8">
        <w:tc>
          <w:tcPr>
            <w:tcW w:w="2050" w:type="dxa"/>
          </w:tcPr>
          <w:p w14:paraId="22C7ABD3" w14:textId="77777777" w:rsidR="0000329C" w:rsidRPr="000349C1" w:rsidRDefault="0000329C" w:rsidP="000349C1">
            <w:pPr>
              <w:rPr>
                <w:rFonts w:cs="Arial"/>
                <w:sz w:val="20"/>
                <w:lang w:eastAsia="en-AU"/>
              </w:rPr>
            </w:pPr>
            <w:r w:rsidRPr="000349C1">
              <w:rPr>
                <w:rFonts w:cs="Arial"/>
                <w:sz w:val="20"/>
                <w:lang w:eastAsia="en-AU"/>
              </w:rPr>
              <w:t>NT</w:t>
            </w:r>
          </w:p>
        </w:tc>
        <w:tc>
          <w:tcPr>
            <w:tcW w:w="2051" w:type="dxa"/>
          </w:tcPr>
          <w:p w14:paraId="61178176" w14:textId="77777777" w:rsidR="0000329C" w:rsidRPr="000349C1" w:rsidRDefault="0000329C" w:rsidP="000349C1">
            <w:pPr>
              <w:jc w:val="center"/>
              <w:rPr>
                <w:rFonts w:cs="Arial"/>
                <w:sz w:val="20"/>
                <w:lang w:eastAsia="en-AU"/>
              </w:rPr>
            </w:pPr>
            <w:r w:rsidRPr="000349C1">
              <w:rPr>
                <w:rFonts w:cs="Arial"/>
                <w:sz w:val="20"/>
                <w:lang w:eastAsia="en-AU"/>
              </w:rPr>
              <w:t>10</w:t>
            </w:r>
          </w:p>
        </w:tc>
        <w:tc>
          <w:tcPr>
            <w:tcW w:w="2051" w:type="dxa"/>
          </w:tcPr>
          <w:p w14:paraId="5DCE7477" w14:textId="77777777" w:rsidR="0000329C" w:rsidRPr="000349C1" w:rsidRDefault="0000329C" w:rsidP="000349C1">
            <w:pPr>
              <w:jc w:val="center"/>
              <w:rPr>
                <w:rFonts w:cs="Arial"/>
                <w:sz w:val="20"/>
                <w:lang w:eastAsia="en-AU"/>
              </w:rPr>
            </w:pPr>
            <w:r>
              <w:rPr>
                <w:rFonts w:cs="Arial"/>
                <w:color w:val="000000"/>
                <w:sz w:val="20"/>
              </w:rPr>
              <w:t>5</w:t>
            </w:r>
          </w:p>
        </w:tc>
        <w:tc>
          <w:tcPr>
            <w:tcW w:w="2051" w:type="dxa"/>
          </w:tcPr>
          <w:p w14:paraId="5456E8F3" w14:textId="77777777" w:rsidR="0000329C" w:rsidRPr="000349C1" w:rsidRDefault="0000329C" w:rsidP="000349C1">
            <w:pPr>
              <w:jc w:val="center"/>
              <w:rPr>
                <w:rFonts w:cs="Arial"/>
                <w:sz w:val="20"/>
                <w:lang w:eastAsia="en-AU"/>
              </w:rPr>
            </w:pPr>
            <w:r>
              <w:rPr>
                <w:rFonts w:cs="Arial"/>
                <w:color w:val="000000"/>
                <w:sz w:val="20"/>
              </w:rPr>
              <w:t>15</w:t>
            </w:r>
          </w:p>
        </w:tc>
      </w:tr>
      <w:tr w:rsidR="0000329C" w:rsidRPr="004A6626" w14:paraId="57D1721B" w14:textId="77777777" w:rsidTr="00B34FD8">
        <w:tc>
          <w:tcPr>
            <w:tcW w:w="2050" w:type="dxa"/>
          </w:tcPr>
          <w:p w14:paraId="44935815" w14:textId="77777777" w:rsidR="0000329C" w:rsidRPr="000349C1" w:rsidRDefault="0000329C" w:rsidP="000349C1">
            <w:pPr>
              <w:rPr>
                <w:rFonts w:cs="Arial"/>
                <w:sz w:val="20"/>
                <w:lang w:eastAsia="en-AU"/>
              </w:rPr>
            </w:pPr>
            <w:r w:rsidRPr="000349C1">
              <w:rPr>
                <w:rFonts w:cs="Arial"/>
                <w:sz w:val="20"/>
                <w:lang w:eastAsia="en-AU"/>
              </w:rPr>
              <w:t>ACT</w:t>
            </w:r>
          </w:p>
        </w:tc>
        <w:tc>
          <w:tcPr>
            <w:tcW w:w="2051" w:type="dxa"/>
          </w:tcPr>
          <w:p w14:paraId="63A6E628" w14:textId="77777777" w:rsidR="0000329C" w:rsidRPr="000349C1" w:rsidRDefault="0000329C" w:rsidP="000349C1">
            <w:pPr>
              <w:jc w:val="center"/>
              <w:rPr>
                <w:rFonts w:cs="Arial"/>
                <w:sz w:val="20"/>
                <w:lang w:eastAsia="en-AU"/>
              </w:rPr>
            </w:pPr>
            <w:r w:rsidRPr="000349C1">
              <w:rPr>
                <w:rFonts w:cs="Arial"/>
                <w:sz w:val="20"/>
                <w:lang w:eastAsia="en-AU"/>
              </w:rPr>
              <w:t>33</w:t>
            </w:r>
          </w:p>
        </w:tc>
        <w:tc>
          <w:tcPr>
            <w:tcW w:w="2051" w:type="dxa"/>
          </w:tcPr>
          <w:p w14:paraId="14D88625" w14:textId="77777777" w:rsidR="0000329C" w:rsidRPr="000349C1" w:rsidRDefault="0000329C" w:rsidP="000349C1">
            <w:pPr>
              <w:jc w:val="center"/>
              <w:rPr>
                <w:rFonts w:cs="Arial"/>
                <w:sz w:val="20"/>
                <w:lang w:eastAsia="en-AU"/>
              </w:rPr>
            </w:pPr>
            <w:r>
              <w:rPr>
                <w:rFonts w:cs="Arial"/>
                <w:color w:val="000000"/>
                <w:sz w:val="20"/>
              </w:rPr>
              <w:t>12</w:t>
            </w:r>
          </w:p>
        </w:tc>
        <w:tc>
          <w:tcPr>
            <w:tcW w:w="2051" w:type="dxa"/>
          </w:tcPr>
          <w:p w14:paraId="519EE559" w14:textId="77777777" w:rsidR="0000329C" w:rsidRPr="000349C1" w:rsidRDefault="0000329C" w:rsidP="000349C1">
            <w:pPr>
              <w:jc w:val="center"/>
              <w:rPr>
                <w:rFonts w:cs="Arial"/>
                <w:sz w:val="20"/>
                <w:lang w:eastAsia="en-AU"/>
              </w:rPr>
            </w:pPr>
            <w:r>
              <w:rPr>
                <w:rFonts w:cs="Arial"/>
                <w:color w:val="000000"/>
                <w:sz w:val="20"/>
              </w:rPr>
              <w:t>46</w:t>
            </w:r>
          </w:p>
        </w:tc>
      </w:tr>
      <w:tr w:rsidR="0000329C" w:rsidRPr="004A6626" w14:paraId="0FBE4B99" w14:textId="77777777" w:rsidTr="00B34FD8">
        <w:tc>
          <w:tcPr>
            <w:tcW w:w="2050" w:type="dxa"/>
          </w:tcPr>
          <w:p w14:paraId="1913496E" w14:textId="77777777" w:rsidR="0000329C" w:rsidRPr="000349C1" w:rsidRDefault="0000329C" w:rsidP="000349C1">
            <w:pPr>
              <w:rPr>
                <w:rFonts w:cs="Arial"/>
                <w:sz w:val="20"/>
                <w:lang w:eastAsia="en-AU"/>
              </w:rPr>
            </w:pPr>
            <w:r w:rsidRPr="000349C1">
              <w:rPr>
                <w:rFonts w:cs="Arial"/>
                <w:sz w:val="20"/>
                <w:lang w:eastAsia="en-AU"/>
              </w:rPr>
              <w:t>Australia</w:t>
            </w:r>
          </w:p>
        </w:tc>
        <w:tc>
          <w:tcPr>
            <w:tcW w:w="2051" w:type="dxa"/>
          </w:tcPr>
          <w:p w14:paraId="13F4CFB7" w14:textId="77777777" w:rsidR="0000329C" w:rsidRPr="000349C1" w:rsidRDefault="0000329C" w:rsidP="000349C1">
            <w:pPr>
              <w:jc w:val="center"/>
              <w:rPr>
                <w:rFonts w:cs="Arial"/>
                <w:sz w:val="20"/>
                <w:lang w:eastAsia="en-AU"/>
              </w:rPr>
            </w:pPr>
            <w:r w:rsidRPr="000349C1">
              <w:rPr>
                <w:rFonts w:cs="Arial"/>
                <w:sz w:val="20"/>
                <w:lang w:eastAsia="en-AU"/>
              </w:rPr>
              <w:t>1,644</w:t>
            </w:r>
          </w:p>
        </w:tc>
        <w:tc>
          <w:tcPr>
            <w:tcW w:w="2051" w:type="dxa"/>
          </w:tcPr>
          <w:p w14:paraId="31D14F49" w14:textId="77777777" w:rsidR="0000329C" w:rsidRPr="000349C1" w:rsidRDefault="0000329C" w:rsidP="000349C1">
            <w:pPr>
              <w:jc w:val="center"/>
              <w:rPr>
                <w:rFonts w:cs="Arial"/>
                <w:sz w:val="20"/>
                <w:lang w:eastAsia="en-AU"/>
              </w:rPr>
            </w:pPr>
            <w:r w:rsidRPr="000349C1">
              <w:rPr>
                <w:rFonts w:cs="Arial"/>
                <w:sz w:val="20"/>
                <w:lang w:eastAsia="en-AU"/>
              </w:rPr>
              <w:t>714</w:t>
            </w:r>
          </w:p>
        </w:tc>
        <w:tc>
          <w:tcPr>
            <w:tcW w:w="2051" w:type="dxa"/>
          </w:tcPr>
          <w:p w14:paraId="45DB7903" w14:textId="77777777" w:rsidR="0000329C" w:rsidRPr="000349C1" w:rsidRDefault="0000329C" w:rsidP="000349C1">
            <w:pPr>
              <w:jc w:val="center"/>
              <w:rPr>
                <w:rFonts w:cs="Arial"/>
                <w:sz w:val="20"/>
                <w:lang w:eastAsia="en-AU"/>
              </w:rPr>
            </w:pPr>
            <w:r w:rsidRPr="000349C1">
              <w:rPr>
                <w:rFonts w:cs="Arial"/>
                <w:sz w:val="20"/>
                <w:lang w:eastAsia="en-AU"/>
              </w:rPr>
              <w:t>2,359</w:t>
            </w:r>
          </w:p>
        </w:tc>
      </w:tr>
    </w:tbl>
    <w:p w14:paraId="1266E874" w14:textId="77777777" w:rsidR="004A6626" w:rsidRPr="004A6626" w:rsidRDefault="004A6626" w:rsidP="004A6626">
      <w:pPr>
        <w:rPr>
          <w:rFonts w:cs="Arial"/>
          <w:sz w:val="18"/>
        </w:rPr>
      </w:pPr>
      <w:r w:rsidRPr="004A6626">
        <w:rPr>
          <w:rFonts w:cs="Arial"/>
          <w:sz w:val="18"/>
        </w:rPr>
        <w:t>N</w:t>
      </w:r>
      <w:r w:rsidR="00350362">
        <w:rPr>
          <w:rFonts w:cs="Arial"/>
          <w:sz w:val="18"/>
        </w:rPr>
        <w:t>ote: Combined state and territory totals are slightly lower than the national total as the national total includes visitor nights for those in ‘transit’.</w:t>
      </w:r>
    </w:p>
    <w:p w14:paraId="10F062A4" w14:textId="77777777" w:rsidR="004A6626" w:rsidRPr="004A6626" w:rsidRDefault="004A6626" w:rsidP="004A6626">
      <w:pPr>
        <w:rPr>
          <w:rFonts w:cs="Arial"/>
          <w:sz w:val="18"/>
        </w:rPr>
      </w:pPr>
      <w:r w:rsidRPr="004A6626">
        <w:rPr>
          <w:rFonts w:cs="Arial"/>
          <w:sz w:val="18"/>
        </w:rPr>
        <w:t>Source: Deloitte Access Economics.</w:t>
      </w:r>
    </w:p>
    <w:p w14:paraId="7104DF67" w14:textId="77777777" w:rsidR="007E48FE" w:rsidRDefault="007E48FE" w:rsidP="007E48FE">
      <w:pPr>
        <w:pStyle w:val="Heading1"/>
        <w:rPr>
          <w:lang w:eastAsia="en-AU"/>
        </w:rPr>
      </w:pPr>
      <w:bookmarkStart w:id="360" w:name="_Toc435694299"/>
      <w:bookmarkStart w:id="361" w:name="_Toc450809247"/>
      <w:r>
        <w:rPr>
          <w:lang w:eastAsia="en-AU"/>
        </w:rPr>
        <w:lastRenderedPageBreak/>
        <w:t>The role of international education in developing a skilled workforce</w:t>
      </w:r>
      <w:bookmarkEnd w:id="360"/>
      <w:bookmarkEnd w:id="361"/>
    </w:p>
    <w:p w14:paraId="62FB6A9A" w14:textId="77777777" w:rsidR="00154306" w:rsidRDefault="00154306" w:rsidP="00154306">
      <w:pPr>
        <w:pStyle w:val="BodyText"/>
        <w:rPr>
          <w:lang w:eastAsia="en-AU"/>
        </w:rPr>
      </w:pPr>
      <w:r>
        <w:rPr>
          <w:lang w:eastAsia="en-AU"/>
        </w:rPr>
        <w:t xml:space="preserve">Alongside the high quality of education services in Australia, a primary driver of student demand for Australian international education, particularly education onshore, is the prospect of post study work opportunities and the potential of permanent migration to Australia. </w:t>
      </w:r>
    </w:p>
    <w:p w14:paraId="62357D45" w14:textId="77777777" w:rsidR="00154306" w:rsidRDefault="00154306" w:rsidP="00154306">
      <w:pPr>
        <w:pStyle w:val="BodyText"/>
        <w:rPr>
          <w:lang w:eastAsia="en-AU"/>
        </w:rPr>
      </w:pPr>
      <w:r>
        <w:rPr>
          <w:lang w:eastAsia="en-AU"/>
        </w:rPr>
        <w:t>Indeed, the post-study employment opportunities made available to international skilled graduates play a key role in attracting international students to Australia. Favourable job opportunities for graduates is consistently ranked as of greater importance in international student host country choice than lower course fees, travel costs or other living expenses (</w:t>
      </w:r>
      <w:proofErr w:type="spellStart"/>
      <w:r>
        <w:rPr>
          <w:lang w:eastAsia="en-AU"/>
        </w:rPr>
        <w:t>Mazzarol</w:t>
      </w:r>
      <w:proofErr w:type="spellEnd"/>
      <w:r>
        <w:rPr>
          <w:lang w:eastAsia="en-AU"/>
        </w:rPr>
        <w:t xml:space="preserve"> and </w:t>
      </w:r>
      <w:proofErr w:type="spellStart"/>
      <w:r>
        <w:rPr>
          <w:lang w:eastAsia="en-AU"/>
        </w:rPr>
        <w:t>Soutar</w:t>
      </w:r>
      <w:proofErr w:type="spellEnd"/>
      <w:r>
        <w:rPr>
          <w:lang w:eastAsia="en-AU"/>
        </w:rPr>
        <w:t>, 200</w:t>
      </w:r>
      <w:r w:rsidR="000349C1">
        <w:rPr>
          <w:lang w:eastAsia="en-AU"/>
        </w:rPr>
        <w:t>2</w:t>
      </w:r>
      <w:r>
        <w:rPr>
          <w:lang w:eastAsia="en-AU"/>
        </w:rPr>
        <w:t xml:space="preserve">). </w:t>
      </w:r>
    </w:p>
    <w:p w14:paraId="3913AC6A" w14:textId="77777777" w:rsidR="00154306" w:rsidRDefault="00154306" w:rsidP="00154306">
      <w:pPr>
        <w:pStyle w:val="BodyText"/>
      </w:pPr>
      <w:r>
        <w:t>These migration opportunities for international students not only play an important role in attracting students to Australia and boosting export income, they also help to grow Australia’s skilled workforce, boosting our national productivity and supporting output and growth in key industries and sectors. International student graduates and skilled migrants, on the whole, help to address skills shortages in Australia and can assist in smoothing structural changes in the economy by supplying key skills and expertise for growing industries.</w:t>
      </w:r>
    </w:p>
    <w:p w14:paraId="4DEECD95" w14:textId="77777777" w:rsidR="00C33EE5" w:rsidRPr="002D0A7C" w:rsidRDefault="00C33EE5" w:rsidP="00163EA3">
      <w:pPr>
        <w:pStyle w:val="HeadingC"/>
        <w:pBdr>
          <w:top w:val="single" w:sz="4" w:space="1" w:color="auto"/>
          <w:left w:val="single" w:sz="4" w:space="4" w:color="auto"/>
          <w:bottom w:val="single" w:sz="4" w:space="1" w:color="auto"/>
          <w:right w:val="single" w:sz="4" w:space="4" w:color="auto"/>
        </w:pBdr>
        <w:shd w:val="clear" w:color="auto" w:fill="B0CAFF" w:themeFill="text2" w:themeFillTint="33"/>
        <w:jc w:val="center"/>
        <w:outlineLvl w:val="0"/>
      </w:pPr>
      <w:r>
        <w:t>International education and a skilled workforce – key findings:</w:t>
      </w:r>
    </w:p>
    <w:p w14:paraId="5D51AAF0" w14:textId="77777777" w:rsidR="00C33EE5" w:rsidRPr="00645A46" w:rsidRDefault="00C33EE5" w:rsidP="00C33EE5">
      <w:pPr>
        <w:pStyle w:val="CommentText"/>
        <w:pBdr>
          <w:top w:val="single" w:sz="4" w:space="1" w:color="auto"/>
          <w:left w:val="single" w:sz="4" w:space="4" w:color="auto"/>
          <w:bottom w:val="single" w:sz="4" w:space="1" w:color="auto"/>
          <w:right w:val="single" w:sz="4" w:space="4" w:color="auto"/>
        </w:pBdr>
        <w:shd w:val="clear" w:color="auto" w:fill="B0CAFF" w:themeFill="text2" w:themeFillTint="33"/>
        <w:rPr>
          <w:szCs w:val="22"/>
          <w:lang w:eastAsia="en-AU"/>
        </w:rPr>
      </w:pPr>
      <w:r w:rsidRPr="005678FF">
        <w:rPr>
          <w:sz w:val="22"/>
          <w:szCs w:val="22"/>
          <w:lang w:eastAsia="en-AU"/>
        </w:rPr>
        <w:t>Out of the current population of international students studying at the tertiary level, around</w:t>
      </w:r>
      <w:r w:rsidRPr="005678FF">
        <w:rPr>
          <w:sz w:val="22"/>
          <w:szCs w:val="22"/>
        </w:rPr>
        <w:t xml:space="preserve"> 130,000 are likely to migrate to Australia after their studies, representing almost 3% of the current population with a tertiary education in Australia.</w:t>
      </w:r>
      <w:r w:rsidRPr="005678FF">
        <w:rPr>
          <w:sz w:val="22"/>
          <w:szCs w:val="22"/>
          <w:lang w:eastAsia="en-AU"/>
        </w:rPr>
        <w:t xml:space="preserve"> Deloitte Access Economics estimates that </w:t>
      </w:r>
      <w:r w:rsidRPr="005678FF">
        <w:rPr>
          <w:sz w:val="22"/>
          <w:szCs w:val="22"/>
        </w:rPr>
        <w:t>if former international student graduates contribute to a 3% increase</w:t>
      </w:r>
      <w:r w:rsidRPr="005678FF">
        <w:rPr>
          <w:sz w:val="22"/>
          <w:szCs w:val="22"/>
          <w:lang w:eastAsia="en-AU"/>
        </w:rPr>
        <w:t xml:space="preserve"> in the share of Australia’s workforce with a tertiary education this would result in:</w:t>
      </w:r>
    </w:p>
    <w:p w14:paraId="2117A2EA" w14:textId="77777777" w:rsidR="00C33EE5" w:rsidRDefault="00C33EE5" w:rsidP="00C33EE5">
      <w:pPr>
        <w:pStyle w:val="Bullet1"/>
        <w:pBdr>
          <w:top w:val="single" w:sz="4" w:space="1" w:color="auto"/>
          <w:left w:val="single" w:sz="4" w:space="4" w:color="auto"/>
          <w:bottom w:val="single" w:sz="4" w:space="1" w:color="auto"/>
          <w:right w:val="single" w:sz="4" w:space="4" w:color="auto"/>
        </w:pBdr>
        <w:shd w:val="clear" w:color="auto" w:fill="B0CAFF" w:themeFill="text2" w:themeFillTint="33"/>
      </w:pPr>
      <w:proofErr w:type="gramStart"/>
      <w:r w:rsidRPr="000349C1">
        <w:t>an</w:t>
      </w:r>
      <w:proofErr w:type="gramEnd"/>
      <w:r w:rsidRPr="000349C1">
        <w:t xml:space="preserve"> increase to Australia’s GDP per capita of around 0.5%, equivalent to around $8.7 billion in GDP for 2014.</w:t>
      </w:r>
    </w:p>
    <w:p w14:paraId="42CA2B02" w14:textId="22D1A9CD" w:rsidR="00DD614D" w:rsidRDefault="00C33EE5" w:rsidP="00C33EE5">
      <w:pPr>
        <w:pStyle w:val="BodyText"/>
        <w:pBdr>
          <w:top w:val="single" w:sz="4" w:space="1" w:color="auto"/>
          <w:left w:val="single" w:sz="4" w:space="4" w:color="auto"/>
          <w:bottom w:val="single" w:sz="4" w:space="1" w:color="auto"/>
          <w:right w:val="single" w:sz="4" w:space="4" w:color="auto"/>
        </w:pBdr>
        <w:shd w:val="clear" w:color="auto" w:fill="B0CAFF" w:themeFill="text2" w:themeFillTint="33"/>
      </w:pPr>
      <w:r>
        <w:rPr>
          <w:lang w:eastAsia="en-AU"/>
        </w:rPr>
        <w:t>Even if international student migrants do displace other skilled migrants, recent studies suggest that 30% of the total value added from international students migrants is driven by the fact that their education was completed in Australia rather than overseas.</w:t>
      </w:r>
    </w:p>
    <w:p w14:paraId="1D2D1D64" w14:textId="77777777" w:rsidR="00154306" w:rsidRPr="004E31BD" w:rsidRDefault="00154306" w:rsidP="00154306">
      <w:pPr>
        <w:pStyle w:val="BodyText"/>
      </w:pPr>
      <w:r>
        <w:t xml:space="preserve">Economic theory posits that skilled migration may have mixed effects on labour productivity. Higher levels of education are associated both with high personal productivity and a contribution to general productivity through research and development; however, on the other hand, there is a loss in productivity from applying a larger labour force to a fixed stock of natural resources, including mineral resources and land. Nonetheless, it has been empirically demonstrated that these productivity gains far outweigh the losses from skill migration (Independent Economics, 2015; PC, </w:t>
      </w:r>
      <w:proofErr w:type="spellStart"/>
      <w:r>
        <w:t>2015b</w:t>
      </w:r>
      <w:proofErr w:type="spellEnd"/>
      <w:r>
        <w:t>).</w:t>
      </w:r>
    </w:p>
    <w:p w14:paraId="66CD5127" w14:textId="77777777" w:rsidR="00154306" w:rsidRDefault="00154306" w:rsidP="00154306">
      <w:pPr>
        <w:pStyle w:val="BodyText"/>
      </w:pPr>
      <w:r>
        <w:lastRenderedPageBreak/>
        <w:t xml:space="preserve">Skilled migrants, including international student graduates, have higher rates of labour force participation and are generally younger than resident Australians. Indeed, forecast increases to net skilled migration over the next 35 years have been estimated to boost labour participation, generating gains to national productivity that are equivalent to those made over the past 35 years by the increased participation in the workforce by women (Independent Economics, 2015; Cully, 2012). </w:t>
      </w:r>
    </w:p>
    <w:p w14:paraId="6DAF3E79" w14:textId="77777777" w:rsidR="00154306" w:rsidRDefault="00154306" w:rsidP="00154306">
      <w:pPr>
        <w:pStyle w:val="BodyText"/>
      </w:pPr>
      <w:r>
        <w:t>This section briefly outlines estimates of the contributions to national income associated with the productivity benefits that international student graduates generate when they migrate permanently to Australia, as well as canvassing the specific value added by Australian education qualifications relative to those earned overseas. Further to these estimates, additional analysis of the benefits that international students make to international industry linkages and trade is considered.</w:t>
      </w:r>
    </w:p>
    <w:p w14:paraId="76FCAB14" w14:textId="77777777" w:rsidR="00154306" w:rsidRDefault="00154306" w:rsidP="00163EA3">
      <w:pPr>
        <w:pStyle w:val="Heading2"/>
      </w:pPr>
      <w:bookmarkStart w:id="362" w:name="_Toc450809248"/>
      <w:r>
        <w:t>The contribution of international students’ human capital to the Australian economy</w:t>
      </w:r>
      <w:bookmarkEnd w:id="362"/>
    </w:p>
    <w:p w14:paraId="563C1986" w14:textId="77777777" w:rsidR="00154306" w:rsidRPr="004E31BD" w:rsidRDefault="00154306" w:rsidP="00154306">
      <w:pPr>
        <w:pStyle w:val="BodyText"/>
      </w:pPr>
      <w:r>
        <w:t xml:space="preserve">International students who graduate from Australian higher education institutions and subsequently migrate to Australia increase the educational attainment rate of Australia’s population and boost the nation’s supply of human capital. </w:t>
      </w:r>
      <w:r w:rsidRPr="004E31BD">
        <w:t xml:space="preserve">The human capital theory of education postulates </w:t>
      </w:r>
      <w:r>
        <w:t xml:space="preserve">that levels of </w:t>
      </w:r>
      <w:r w:rsidRPr="004E31BD">
        <w:t>education</w:t>
      </w:r>
      <w:r>
        <w:t>al attainment</w:t>
      </w:r>
      <w:r w:rsidRPr="004E31BD">
        <w:t xml:space="preserve"> increases the knowledge and skills of workers, which in turn improves productivity in the workforce, labour force participation and employment. As such, it plays a key role in supporting productivity growth for all nations, the primary driver of improved living standards over time (</w:t>
      </w:r>
      <w:proofErr w:type="spellStart"/>
      <w:r w:rsidRPr="004E31BD">
        <w:t>Mankiw</w:t>
      </w:r>
      <w:proofErr w:type="spellEnd"/>
      <w:r w:rsidRPr="004E31BD">
        <w:t xml:space="preserve"> et </w:t>
      </w:r>
      <w:r>
        <w:t>al.</w:t>
      </w:r>
      <w:r w:rsidRPr="004E31BD">
        <w:t>, 1992).</w:t>
      </w:r>
    </w:p>
    <w:p w14:paraId="5AABFBE0" w14:textId="77777777" w:rsidR="00154306" w:rsidRDefault="00154306" w:rsidP="00154306">
      <w:pPr>
        <w:pStyle w:val="BodyText"/>
      </w:pPr>
      <w:r w:rsidRPr="004E31BD">
        <w:t>Improvements in educational outcomes have been widely recognised as a fundamental element in enhancing</w:t>
      </w:r>
      <w:r>
        <w:t xml:space="preserve"> Australia’s</w:t>
      </w:r>
      <w:r w:rsidRPr="004E31BD">
        <w:t xml:space="preserve"> economic growth</w:t>
      </w:r>
      <w:r>
        <w:t xml:space="preserve"> and boosting national income</w:t>
      </w:r>
      <w:r w:rsidRPr="004E31BD">
        <w:t>.</w:t>
      </w:r>
      <w:r>
        <w:t xml:space="preserve"> </w:t>
      </w:r>
      <w:r w:rsidRPr="004E31BD">
        <w:t xml:space="preserve">Growth accounting analysis in the UK has indicated that the ongoing accumulation of skilled university graduates contributed to around 20% of all GDP growth in the UK from </w:t>
      </w:r>
      <w:r w:rsidRPr="004E31BD">
        <w:br/>
        <w:t>1982</w:t>
      </w:r>
      <w:r>
        <w:t>–</w:t>
      </w:r>
      <w:r w:rsidRPr="004E31BD">
        <w:t>2005</w:t>
      </w:r>
      <w:r>
        <w:t>,</w:t>
      </w:r>
      <w:r w:rsidRPr="004E31BD">
        <w:t xml:space="preserve"> a highly significant contribution. This same analysis found that a 1% increase in the share of the workforce with a university degree raises long run productivity by </w:t>
      </w:r>
      <w:r w:rsidRPr="004E31BD">
        <w:br/>
        <w:t>0.2</w:t>
      </w:r>
      <w:r>
        <w:t>–</w:t>
      </w:r>
      <w:r w:rsidRPr="004E31BD">
        <w:t>0.5%. This means that at least one</w:t>
      </w:r>
      <w:r>
        <w:t xml:space="preserve"> </w:t>
      </w:r>
      <w:r w:rsidRPr="004E31BD">
        <w:t>third of the 34% increase in the labour productivity growth that occurred between 1994 and 2005 can be attributed to the accumulation of skilled university graduates in the labour force (</w:t>
      </w:r>
      <w:r>
        <w:t>Holland et al., 2013).</w:t>
      </w:r>
    </w:p>
    <w:p w14:paraId="12EAA42F" w14:textId="77777777" w:rsidR="00154306" w:rsidRDefault="00154306" w:rsidP="00154306">
      <w:pPr>
        <w:pStyle w:val="BodyText"/>
      </w:pPr>
      <w:r>
        <w:t>In Australia, a recent study by Deloitte Access Economics found</w:t>
      </w:r>
      <w:r w:rsidRPr="005B1328">
        <w:t xml:space="preserve"> </w:t>
      </w:r>
      <w:r>
        <w:t xml:space="preserve">that a </w:t>
      </w:r>
      <w:r w:rsidRPr="005B1328">
        <w:t>permanent 10% increase in the tertiary education attainment rate in Australia would increase labour productivity</w:t>
      </w:r>
      <w:r>
        <w:t xml:space="preserve"> (measured as GDP per capita)</w:t>
      </w:r>
      <w:r w:rsidRPr="005B1328">
        <w:t xml:space="preserve"> in Australia by 1.5-2.0 percentage points.</w:t>
      </w:r>
      <w:r>
        <w:t xml:space="preserve"> This same analysis estimated that the</w:t>
      </w:r>
      <w:r w:rsidRPr="0031381A">
        <w:t xml:space="preserve"> value that </w:t>
      </w:r>
      <w:r>
        <w:t>tertiary education human capital added</w:t>
      </w:r>
      <w:r w:rsidRPr="0031381A">
        <w:t xml:space="preserve"> to the producti</w:t>
      </w:r>
      <w:r>
        <w:t xml:space="preserve">ve capacity of Australia was around 12% of Australia’s GDP or around $200 billion in 2014 (Deloitte Access Economics, </w:t>
      </w:r>
      <w:proofErr w:type="spellStart"/>
      <w:r>
        <w:t>2015a</w:t>
      </w:r>
      <w:proofErr w:type="spellEnd"/>
      <w:r>
        <w:t>).</w:t>
      </w:r>
    </w:p>
    <w:p w14:paraId="4EA95074" w14:textId="77777777" w:rsidR="00154306" w:rsidRDefault="00154306" w:rsidP="00154306">
      <w:pPr>
        <w:pStyle w:val="BodyText"/>
      </w:pPr>
      <w:r w:rsidRPr="009B7C8E">
        <w:t xml:space="preserve">The Australian economy’s demand for </w:t>
      </w:r>
      <w:r>
        <w:t>highly skilled tertiary</w:t>
      </w:r>
      <w:r w:rsidRPr="009B7C8E">
        <w:t xml:space="preserve"> graduates is increasing and so too is the calibre of education they require in the 21st century knowledge economy</w:t>
      </w:r>
      <w:r>
        <w:t xml:space="preserve">. Deloitte Access Economics has estimated that </w:t>
      </w:r>
      <w:r w:rsidRPr="004E31BD">
        <w:t>the demand for higher education qualification</w:t>
      </w:r>
      <w:r>
        <w:t>s</w:t>
      </w:r>
      <w:r w:rsidRPr="004E31BD">
        <w:t xml:space="preserve"> will increase by 34% by the year 2025, equivalent to 2.1 million more </w:t>
      </w:r>
      <w:r>
        <w:t>university qualifications</w:t>
      </w:r>
      <w:r w:rsidRPr="004E31BD">
        <w:t xml:space="preserve"> compared to current levels. In net terms, this means that Australia </w:t>
      </w:r>
      <w:r w:rsidRPr="004E31BD">
        <w:lastRenderedPageBreak/>
        <w:t xml:space="preserve">will require an additional 3.8 million </w:t>
      </w:r>
      <w:r>
        <w:t xml:space="preserve">university qualifications </w:t>
      </w:r>
      <w:r w:rsidRPr="004E31BD">
        <w:t xml:space="preserve">by </w:t>
      </w:r>
      <w:r w:rsidRPr="004E31BD">
        <w:rPr>
          <w:szCs w:val="22"/>
        </w:rPr>
        <w:t xml:space="preserve">2025, which will result in an increase in the proportion of the working age population with a higher education qualification from </w:t>
      </w:r>
      <w:r>
        <w:rPr>
          <w:szCs w:val="22"/>
        </w:rPr>
        <w:t>23</w:t>
      </w:r>
      <w:r w:rsidRPr="004E31BD">
        <w:rPr>
          <w:szCs w:val="22"/>
        </w:rPr>
        <w:t>% in 2015 to</w:t>
      </w:r>
      <w:r>
        <w:rPr>
          <w:szCs w:val="22"/>
        </w:rPr>
        <w:t xml:space="preserve"> over</w:t>
      </w:r>
      <w:r w:rsidRPr="004E31BD">
        <w:rPr>
          <w:szCs w:val="22"/>
        </w:rPr>
        <w:t xml:space="preserve"> </w:t>
      </w:r>
      <w:r>
        <w:rPr>
          <w:szCs w:val="22"/>
        </w:rPr>
        <w:t>26</w:t>
      </w:r>
      <w:r w:rsidRPr="004E31BD">
        <w:rPr>
          <w:szCs w:val="22"/>
        </w:rPr>
        <w:t>% in 2025</w:t>
      </w:r>
      <w:r>
        <w:rPr>
          <w:szCs w:val="22"/>
        </w:rPr>
        <w:t xml:space="preserve"> </w:t>
      </w:r>
      <w:r>
        <w:t xml:space="preserve">(Deloitte Access Economics, </w:t>
      </w:r>
      <w:proofErr w:type="spellStart"/>
      <w:r>
        <w:t>2015a</w:t>
      </w:r>
      <w:proofErr w:type="spellEnd"/>
      <w:r>
        <w:t>)</w:t>
      </w:r>
      <w:r w:rsidRPr="004E31BD">
        <w:rPr>
          <w:szCs w:val="22"/>
        </w:rPr>
        <w:t>.</w:t>
      </w:r>
      <w:r>
        <w:rPr>
          <w:szCs w:val="22"/>
        </w:rPr>
        <w:t xml:space="preserve"> </w:t>
      </w:r>
    </w:p>
    <w:p w14:paraId="50804084" w14:textId="77777777" w:rsidR="00154306" w:rsidRDefault="00154306" w:rsidP="00154306">
      <w:pPr>
        <w:pStyle w:val="BodyText"/>
      </w:pPr>
      <w:r>
        <w:t>While domestic education opportunities and related policies will play a primary role in supporting the required growth in Australia’s human capital stock necessary to sustain economic growth, skilled migrants, including international student graduates from Australian universities, continue to be an invaluable source of skills, knowledge and expertise for Australia’s skilled workforce.</w:t>
      </w:r>
    </w:p>
    <w:p w14:paraId="6337E1A4" w14:textId="77777777" w:rsidR="00154306" w:rsidRDefault="00154306" w:rsidP="00154306">
      <w:pPr>
        <w:pStyle w:val="BodyText"/>
      </w:pPr>
      <w:r>
        <w:t xml:space="preserve">A recent report from the Productivity Commission found that, as of August 2015, just under one third of those international student graduates with a student visa expiring between 1 July 2006 and 30 June 2011 had gone on to get a permanent or provisional visa and subsequently reside and are afforded work rights in Australia. Over this five year period, a total of around 290,000 persons were granted a permanent or provisional visa following the expiration of their student visa. From 2001 to 2011 the equivalent figure was just over 400,000 (PC </w:t>
      </w:r>
      <w:proofErr w:type="spellStart"/>
      <w:r>
        <w:t>2015c</w:t>
      </w:r>
      <w:proofErr w:type="spellEnd"/>
      <w:r>
        <w:t>).</w:t>
      </w:r>
    </w:p>
    <w:p w14:paraId="71D83AAD" w14:textId="77777777" w:rsidR="00154306" w:rsidRDefault="00154306" w:rsidP="00154306">
      <w:pPr>
        <w:pStyle w:val="BodyText"/>
      </w:pPr>
      <w:r>
        <w:t>In 2014, there were a total of almost 400,000 international students enrolled on student visas in higher education and VET programs in Australia. Following the historical average from 2006 to 2011, if one third of these students received a permanent o</w:t>
      </w:r>
      <w:r w:rsidR="00A903B8">
        <w:t>r</w:t>
      </w:r>
      <w:r>
        <w:t xml:space="preserve"> provisional work visa following the completion of their studies there would be, approximately, 130,000 additional tertiary educated persons available to the Australian workforce over the coming years.</w:t>
      </w:r>
      <w:r>
        <w:rPr>
          <w:rStyle w:val="FootnoteReference"/>
        </w:rPr>
        <w:footnoteReference w:id="17"/>
      </w:r>
    </w:p>
    <w:p w14:paraId="0F4FE07C" w14:textId="77777777" w:rsidR="00154306" w:rsidRDefault="00154306" w:rsidP="00154306">
      <w:pPr>
        <w:pStyle w:val="BodyText"/>
      </w:pPr>
      <w:r>
        <w:t>These 130,000 graduates represent almost 3% of the current population with a tertiary education in Australia. Applying the above cited elasticity from Deloitte Access Economics (</w:t>
      </w:r>
      <w:proofErr w:type="spellStart"/>
      <w:r>
        <w:t>2015a</w:t>
      </w:r>
      <w:proofErr w:type="spellEnd"/>
      <w:r>
        <w:t xml:space="preserve">), </w:t>
      </w:r>
      <w:r w:rsidRPr="00C5568F">
        <w:t xml:space="preserve">a 3% increase in the share of Australia’s workforce with a tertiary education </w:t>
      </w:r>
      <w:r>
        <w:t xml:space="preserve">is estimated to result in an increase to Australia’s GDP per capita of around 0.5%, equivalent to around </w:t>
      </w:r>
      <w:r w:rsidRPr="00535110">
        <w:rPr>
          <w:rStyle w:val="Boldword"/>
        </w:rPr>
        <w:t xml:space="preserve">$8.7 billion in </w:t>
      </w:r>
      <w:r>
        <w:rPr>
          <w:rStyle w:val="Boldword"/>
        </w:rPr>
        <w:t xml:space="preserve">GDP for </w:t>
      </w:r>
      <w:r w:rsidRPr="00535110">
        <w:rPr>
          <w:rStyle w:val="Boldword"/>
        </w:rPr>
        <w:t>2014</w:t>
      </w:r>
      <w:r>
        <w:t>.</w:t>
      </w:r>
    </w:p>
    <w:p w14:paraId="06639C3D" w14:textId="77777777" w:rsidR="00154306" w:rsidRDefault="00154306" w:rsidP="00154306">
      <w:pPr>
        <w:pStyle w:val="BodyText"/>
      </w:pPr>
      <w:r>
        <w:t>Given that these 130,000 students will graduate in subsequent years to 2014, this figure should be interpreted as an illustration of the value that the current stock of enrolled international students will make to the Australia economy in the future (i.e. after they graduate); in other words, this figure should not be interpreted as the annual contribution that international student graduates make to the productive capacity of the Australian economy given not all of these students will graduate in a given year.</w:t>
      </w:r>
    </w:p>
    <w:p w14:paraId="366D8390" w14:textId="77777777" w:rsidR="005B44C7" w:rsidRDefault="00154306" w:rsidP="00154306">
      <w:pPr>
        <w:pStyle w:val="BodyText"/>
      </w:pPr>
      <w:r>
        <w:t xml:space="preserve">Further, this estimate should be interpreted as an illustration of the impact that international students have on national income through their contribution to Australia’s skilled workforce. It likely represents an overestimate of the impact that these graduates will have on Australia’s national income, as these graduates will only enter the workforce upon the completion of their studies, whereupon the proportional effect on Australia’s tertiary education attainment rate would be slightly lower. Further, the nature of </w:t>
      </w:r>
      <w:r>
        <w:lastRenderedPageBreak/>
        <w:t>permanent or provisional visas held by these graduates may mean that some students leave Australia several years after graduation, and are therefore not permanent additions to Australia’s skilled workforce.</w:t>
      </w:r>
      <w:r w:rsidR="005B44C7">
        <w:t xml:space="preserve"> </w:t>
      </w:r>
    </w:p>
    <w:p w14:paraId="225CF605" w14:textId="77777777" w:rsidR="00154306" w:rsidRDefault="005B44C7" w:rsidP="00154306">
      <w:pPr>
        <w:pStyle w:val="BodyText"/>
      </w:pPr>
      <w:r>
        <w:t xml:space="preserve">On the other hand, it is worth noting that these estimates are based on the current stock of international students and that Australia’s stock of tertiary educated graduates would include many former international students so the total impact of all international students in increasing Australia’s human capital would be much larger. </w:t>
      </w:r>
    </w:p>
    <w:p w14:paraId="6356D4F6" w14:textId="77777777" w:rsidR="00154306" w:rsidRDefault="00154306" w:rsidP="00154306">
      <w:pPr>
        <w:pStyle w:val="BodyText"/>
      </w:pPr>
      <w:r>
        <w:t xml:space="preserve">Importantly, while the above analysis illustrates the significant contribution made by tertiary education human capital to Australia’s skilled workforce and national income (GDP) it does not consider the value created by international student graduates specifically. In broad terms, Australia may grow its tertiary education attainment rates through (1) the further education of current residents, (2) permanent and provisional migration of international student graduates in Australia, or (3) permanent and provisional migration of skilled workers who obtain their educational qualification overseas. </w:t>
      </w:r>
    </w:p>
    <w:p w14:paraId="1534D595" w14:textId="77777777" w:rsidR="00154306" w:rsidRDefault="00154306" w:rsidP="00154306">
      <w:pPr>
        <w:pStyle w:val="BodyText"/>
      </w:pPr>
      <w:r>
        <w:t>While it is generally understood that international students do not displace education opportunities for domestic residents, the latter two of these sources may not be mutually exclusive in practice, which has implications for the estimation of the counterfactual contribution made by international student graduates who migrate to Australia.</w:t>
      </w:r>
    </w:p>
    <w:p w14:paraId="26F28468" w14:textId="77777777" w:rsidR="00154306" w:rsidRDefault="00154306" w:rsidP="00154306">
      <w:pPr>
        <w:pStyle w:val="BodyText"/>
      </w:pPr>
      <w:r>
        <w:t>To understand the counterfactual contribution made by international student graduates in particular, it is important to note that these skilled migrants may displace other skilled migrants who had earned their degree overseas, and would also have added to Australia’s skill base. The following section considers in further detail the relative value-added contributed by skilled migrants who complete their higher education in Australia.</w:t>
      </w:r>
    </w:p>
    <w:p w14:paraId="40CE4400" w14:textId="77777777" w:rsidR="00154306" w:rsidRDefault="00154306" w:rsidP="00163EA3">
      <w:pPr>
        <w:pStyle w:val="Heading2"/>
      </w:pPr>
      <w:bookmarkStart w:id="363" w:name="_Toc450809249"/>
      <w:r>
        <w:t>The relative value of Australian international education</w:t>
      </w:r>
      <w:bookmarkEnd w:id="363"/>
    </w:p>
    <w:p w14:paraId="44139302" w14:textId="77777777" w:rsidR="00154306" w:rsidRPr="001C2564" w:rsidRDefault="00154306" w:rsidP="00154306">
      <w:pPr>
        <w:pStyle w:val="BodyText"/>
      </w:pPr>
      <w:r w:rsidRPr="001C2564">
        <w:t>Australia</w:t>
      </w:r>
      <w:r>
        <w:t>’s skilled migration program allows for individuals to apply for permanent or provisional residency and work rights based on a range of criteria and under a variety of visa classes. In general, it is not possible to determine the extent to which international students displace skilled migrants who attain their education qualifications overseas, as there is no strict limit or quota on the number of skilled migration places that are generally made available over time. Further, there is no restriction currently in place on the number temporary post-study work visas (485 class visas) that are made available to international students.</w:t>
      </w:r>
    </w:p>
    <w:p w14:paraId="3DFB99DB" w14:textId="77777777" w:rsidR="00154306" w:rsidRDefault="00154306" w:rsidP="00154306">
      <w:pPr>
        <w:pStyle w:val="BodyText"/>
      </w:pPr>
      <w:r>
        <w:t>International students are granted permanent and provisional residency rights on the basis of criteria relating to the nature and level of their educational qualifications, the industry that they are employed in (e.g. based on the skilled occupation list) and their English language proficiency, among other factors. Due to the select nature in which permanent migration rights are made available to international student graduates and other potential workers, it is not generally feasible to measure the counterfactual value generated by any given instance of migration (indeed, this value is endogenous to the design of the preferential migration system itself).</w:t>
      </w:r>
    </w:p>
    <w:p w14:paraId="784A3023" w14:textId="77777777" w:rsidR="00154306" w:rsidRDefault="00154306" w:rsidP="00154306">
      <w:pPr>
        <w:pStyle w:val="BodyText"/>
      </w:pPr>
      <w:r>
        <w:lastRenderedPageBreak/>
        <w:t xml:space="preserve">Nonetheless, it is possible to consider the value added from an Australian onshore education relative to higher education qualifications obtained overseas by considering the relative wage premiums that these respective qualification sources attract. This relative wage premium provides an indication of the additional value that international students bring by virtue of having obtained their education in Australia, compared to a similarly skilled migrant who earned their education qualification overseas. </w:t>
      </w:r>
    </w:p>
    <w:p w14:paraId="512596CA" w14:textId="77777777" w:rsidR="00154306" w:rsidRDefault="00154306" w:rsidP="00154306">
      <w:pPr>
        <w:pStyle w:val="BodyText"/>
      </w:pPr>
      <w:r>
        <w:t xml:space="preserve">Based on data from the </w:t>
      </w:r>
      <w:r w:rsidRPr="003D5B7E">
        <w:t>Longitudinal Surveys of Immigrants to Australia</w:t>
      </w:r>
      <w:r>
        <w:t xml:space="preserve">, it has been estimated that immigrants who obtained their bachelor degree in Australia received a 6.1% wage premium relative to those who obtained their degree overseas </w:t>
      </w:r>
      <w:r w:rsidRPr="00FB7887">
        <w:t>(Chan et al, 2012).</w:t>
      </w:r>
      <w:r>
        <w:t xml:space="preserve"> This 6.1% premium is on top of the 14.1% wage premium earned by all immigrants with a bachelor degree (representing a total premium from an Australian bachelor degree of 20.2% - relative to no post-schooling education).</w:t>
      </w:r>
      <w:r>
        <w:rPr>
          <w:rStyle w:val="FootnoteReference"/>
        </w:rPr>
        <w:footnoteReference w:id="18"/>
      </w:r>
    </w:p>
    <w:p w14:paraId="2A16A8C3" w14:textId="77777777" w:rsidR="00154306" w:rsidRDefault="00154306" w:rsidP="00154306">
      <w:pPr>
        <w:pStyle w:val="BodyText"/>
      </w:pPr>
      <w:r>
        <w:t>These results show that, for bachelor degree graduates, around 30% of the total value generated by the attainment of a bachelor degree qualification by international student graduates who migrate to Australia can be attributed to the specific value added by the fact that they obtained this bachelor degree in Australia, rather than overseas.</w:t>
      </w:r>
      <w:r>
        <w:rPr>
          <w:rStyle w:val="FootnoteReference"/>
        </w:rPr>
        <w:footnoteReference w:id="19"/>
      </w:r>
      <w:r>
        <w:t xml:space="preserve"> </w:t>
      </w:r>
    </w:p>
    <w:p w14:paraId="42551176" w14:textId="77777777" w:rsidR="00154306" w:rsidRDefault="00154306" w:rsidP="00154306">
      <w:pPr>
        <w:pStyle w:val="BodyText"/>
      </w:pPr>
      <w:r>
        <w:t>As such, this 30% contribution can be considered as a lower bound estimate of the total value added by these international student graduates upon migrating to Australia.</w:t>
      </w:r>
      <w:r>
        <w:rPr>
          <w:rStyle w:val="FootnoteReference"/>
        </w:rPr>
        <w:footnoteReference w:id="20"/>
      </w:r>
      <w:r>
        <w:t xml:space="preserve"> That is, in the conservative scenario where international students who migrate to Australia displace equally skilled migrants who obtain their qualifications overseas, the counterfactual contribution of their human capital to the Australian economy is around 30% of the total value of their contribution to GDP as illustrated in section 6.1 above (for students graduating with a bachelor degree).</w:t>
      </w:r>
    </w:p>
    <w:p w14:paraId="548BC6CA" w14:textId="77777777" w:rsidR="00154306" w:rsidRDefault="00154306" w:rsidP="00154306">
      <w:pPr>
        <w:pStyle w:val="BodyText"/>
      </w:pPr>
      <w:r>
        <w:t>This additional value generated by Australian education qualifications arises from the relatively high quality and standards of Australian education providers and the linkages that Australian education qualifications have with local industry. It should be noted that this estimated premium controls for other factors like English proficiency, marital status and work experience, thereby isolating the specific effect that an Australian qualification has on the effect of higher education on immigrants wage earnings.</w:t>
      </w:r>
    </w:p>
    <w:p w14:paraId="115614F1" w14:textId="77777777" w:rsidR="00154306" w:rsidRDefault="00154306" w:rsidP="00163EA3">
      <w:pPr>
        <w:pStyle w:val="Heading2"/>
        <w:rPr>
          <w:lang w:eastAsia="en-AU"/>
        </w:rPr>
      </w:pPr>
      <w:bookmarkStart w:id="364" w:name="_Toc450809250"/>
      <w:r>
        <w:rPr>
          <w:lang w:eastAsia="en-AU"/>
        </w:rPr>
        <w:t>Building industry links and opening up new markets for Australian businesses</w:t>
      </w:r>
      <w:bookmarkEnd w:id="364"/>
    </w:p>
    <w:p w14:paraId="2E6E280F" w14:textId="77777777" w:rsidR="00154306" w:rsidRDefault="00154306" w:rsidP="00154306">
      <w:pPr>
        <w:pStyle w:val="BodyText"/>
      </w:pPr>
      <w:r>
        <w:t xml:space="preserve">As noted in section </w:t>
      </w:r>
      <w:r w:rsidR="00A903B8">
        <w:fldChar w:fldCharType="begin"/>
      </w:r>
      <w:r w:rsidR="00A903B8">
        <w:instrText xml:space="preserve"> REF _Ref437352912 \r \h </w:instrText>
      </w:r>
      <w:r w:rsidR="00A903B8">
        <w:fldChar w:fldCharType="separate"/>
      </w:r>
      <w:r w:rsidR="00F03FA0">
        <w:t>3.3</w:t>
      </w:r>
      <w:r w:rsidR="00A903B8">
        <w:fldChar w:fldCharType="end"/>
      </w:r>
      <w:r>
        <w:t xml:space="preserve"> of this report a number of Australian industries are well placed to benefit significantly from continued growth in international education in Australia. Through </w:t>
      </w:r>
      <w:r>
        <w:lastRenderedPageBreak/>
        <w:t>consultations with stakeholders, the value of international students, as employees of local businesses, was found to often encompass more than the human capital and educational skills that they possess.</w:t>
      </w:r>
    </w:p>
    <w:p w14:paraId="53039E5D" w14:textId="77777777" w:rsidR="00154306" w:rsidRDefault="00154306" w:rsidP="00154306">
      <w:pPr>
        <w:pStyle w:val="BodyText"/>
      </w:pPr>
      <w:r>
        <w:t xml:space="preserve">In particular, international student graduates can bring unique cultural and language skills and experience to Australian industry that allows them to build and enhance existing markets and trade opportunities. These students are known to play key roles in facilitating relationships with trading partners, suppliers and customers in their home country and elsewhere. </w:t>
      </w:r>
    </w:p>
    <w:p w14:paraId="4CDF4A99" w14:textId="77777777" w:rsidR="00154306" w:rsidRDefault="00154306" w:rsidP="00154306">
      <w:pPr>
        <w:pStyle w:val="BodyText"/>
      </w:pPr>
      <w:r>
        <w:t xml:space="preserve">International student graduates need not remain in Australia to play a role in facilitating these trade and industry linkages. Graduates who return to their home country are known to continue to maintain connections with Australian peers, university academics and other teaching staff, as well as employers with whom they have undertaken work experience. These connections have often proved invaluable in facilitating access to overseas markets for Australian businesses and providing opportunities for Australian industry to expand their footprint overseas. </w:t>
      </w:r>
    </w:p>
    <w:p w14:paraId="2D3DB03E" w14:textId="77777777" w:rsidR="000E327E" w:rsidRDefault="00154306" w:rsidP="000E327E">
      <w:pPr>
        <w:pStyle w:val="BodyText"/>
        <w:rPr>
          <w:lang w:eastAsia="en-AU"/>
        </w:rPr>
      </w:pPr>
      <w:r>
        <w:t xml:space="preserve">An emblematic example of these linkages can be found in the graduates of the University of New South Wales’ photovoltaic and solar energy program (i.e. the Master of Engineering Science and Doctoral research program in Engineering). Many graduates of this program hold senior engineering and management positions at solar panel manufacturing and design plants in China which have strong business and trade linkages with researchers and industry in Australia. These linkages that have resulted from the UNSW postgraduate research have played a key role in supporting Australia’s solar panel industry (Deloitte Access Economics, </w:t>
      </w:r>
      <w:proofErr w:type="spellStart"/>
      <w:r>
        <w:t>2015b</w:t>
      </w:r>
      <w:proofErr w:type="spellEnd"/>
      <w:r>
        <w:t>).</w:t>
      </w:r>
    </w:p>
    <w:p w14:paraId="329EFA24" w14:textId="77777777" w:rsidR="000E327E" w:rsidRDefault="000E327E" w:rsidP="000E327E">
      <w:pPr>
        <w:pStyle w:val="BodyText"/>
        <w:rPr>
          <w:lang w:eastAsia="en-AU"/>
        </w:rPr>
      </w:pPr>
    </w:p>
    <w:p w14:paraId="17EEF2B9" w14:textId="77777777" w:rsidR="000E327E" w:rsidRPr="000E327E" w:rsidRDefault="000D6FC2" w:rsidP="000E327E">
      <w:pPr>
        <w:pStyle w:val="Heading1"/>
        <w:rPr>
          <w:lang w:eastAsia="en-AU"/>
        </w:rPr>
      </w:pPr>
      <w:bookmarkStart w:id="365" w:name="_Toc450809251"/>
      <w:r>
        <w:rPr>
          <w:lang w:eastAsia="en-AU"/>
        </w:rPr>
        <w:lastRenderedPageBreak/>
        <w:t>The broader benefits of international education to Australian communities</w:t>
      </w:r>
      <w:bookmarkEnd w:id="365"/>
    </w:p>
    <w:p w14:paraId="44E26D29" w14:textId="77777777" w:rsidR="000D6FC2" w:rsidRDefault="000D6FC2" w:rsidP="00EE4F8C">
      <w:pPr>
        <w:pStyle w:val="BodyText"/>
        <w:rPr>
          <w:lang w:eastAsia="en-AU"/>
        </w:rPr>
      </w:pPr>
      <w:r>
        <w:rPr>
          <w:lang w:eastAsia="en-AU"/>
        </w:rPr>
        <w:t>One of the primary objectives of the consultations was to draw on the views of a range of stakeholders to identify some of the broader benefits of international education to Australia as well as strategies that could be used to raise community awareness of these benefits. While the sample of stakeholders consulted was relatively small and was not fully reflective of the sector as a whole, the consultations provide a useful evidence base for considering the sector’s non-economic benefits.</w:t>
      </w:r>
    </w:p>
    <w:p w14:paraId="3D82A273" w14:textId="77777777" w:rsidR="00EE64FC" w:rsidRDefault="000D6FC2" w:rsidP="00EE4F8C">
      <w:pPr>
        <w:pStyle w:val="BodyText"/>
        <w:rPr>
          <w:lang w:eastAsia="en-AU"/>
        </w:rPr>
      </w:pPr>
      <w:r>
        <w:rPr>
          <w:lang w:eastAsia="en-AU"/>
        </w:rPr>
        <w:t xml:space="preserve">Section </w:t>
      </w:r>
      <w:r>
        <w:rPr>
          <w:lang w:eastAsia="en-AU"/>
        </w:rPr>
        <w:fldChar w:fldCharType="begin"/>
      </w:r>
      <w:r>
        <w:rPr>
          <w:lang w:eastAsia="en-AU"/>
        </w:rPr>
        <w:instrText xml:space="preserve"> REF _Ref438724250 \r \h </w:instrText>
      </w:r>
      <w:r>
        <w:rPr>
          <w:lang w:eastAsia="en-AU"/>
        </w:rPr>
      </w:r>
      <w:r>
        <w:rPr>
          <w:lang w:eastAsia="en-AU"/>
        </w:rPr>
        <w:fldChar w:fldCharType="separate"/>
      </w:r>
      <w:r w:rsidR="00F03FA0">
        <w:rPr>
          <w:lang w:eastAsia="en-AU"/>
        </w:rPr>
        <w:t>7.1</w:t>
      </w:r>
      <w:r>
        <w:rPr>
          <w:lang w:eastAsia="en-AU"/>
        </w:rPr>
        <w:fldChar w:fldCharType="end"/>
      </w:r>
      <w:r>
        <w:rPr>
          <w:lang w:eastAsia="en-AU"/>
        </w:rPr>
        <w:t xml:space="preserve"> discusses some of the broader economic and social benefits to Australia based on the findings of the consultations and a literature review. Section </w:t>
      </w:r>
      <w:r>
        <w:rPr>
          <w:lang w:eastAsia="en-AU"/>
        </w:rPr>
        <w:fldChar w:fldCharType="begin"/>
      </w:r>
      <w:r>
        <w:rPr>
          <w:lang w:eastAsia="en-AU"/>
        </w:rPr>
        <w:instrText xml:space="preserve"> REF _Ref438724307 \r \h </w:instrText>
      </w:r>
      <w:r>
        <w:rPr>
          <w:lang w:eastAsia="en-AU"/>
        </w:rPr>
      </w:r>
      <w:r>
        <w:rPr>
          <w:lang w:eastAsia="en-AU"/>
        </w:rPr>
        <w:fldChar w:fldCharType="separate"/>
      </w:r>
      <w:r w:rsidR="00F03FA0">
        <w:rPr>
          <w:lang w:eastAsia="en-AU"/>
        </w:rPr>
        <w:t>7.2</w:t>
      </w:r>
      <w:r>
        <w:rPr>
          <w:lang w:eastAsia="en-AU"/>
        </w:rPr>
        <w:fldChar w:fldCharType="end"/>
      </w:r>
      <w:r>
        <w:rPr>
          <w:lang w:eastAsia="en-AU"/>
        </w:rPr>
        <w:t xml:space="preserve"> concludes by discussing a range of strategies identified in the stakeholder consultations to improve community awareness of the benefits of international education to Australia.</w:t>
      </w:r>
    </w:p>
    <w:p w14:paraId="579EE679" w14:textId="77777777" w:rsidR="00EE64FC" w:rsidRDefault="00EE64FC" w:rsidP="005678FF">
      <w:pPr>
        <w:pStyle w:val="Heading2"/>
        <w:rPr>
          <w:lang w:eastAsia="en-AU"/>
        </w:rPr>
      </w:pPr>
      <w:bookmarkStart w:id="366" w:name="_Ref438724250"/>
      <w:bookmarkStart w:id="367" w:name="_Toc450809252"/>
      <w:r>
        <w:rPr>
          <w:lang w:eastAsia="en-AU"/>
        </w:rPr>
        <w:t>Broader economic and social benefits</w:t>
      </w:r>
      <w:bookmarkEnd w:id="366"/>
      <w:bookmarkEnd w:id="367"/>
      <w:r>
        <w:rPr>
          <w:lang w:eastAsia="en-AU"/>
        </w:rPr>
        <w:t xml:space="preserve"> </w:t>
      </w:r>
    </w:p>
    <w:p w14:paraId="05FCA1DA" w14:textId="77777777" w:rsidR="00EE4F8C" w:rsidRDefault="00EE4F8C" w:rsidP="00EE4F8C">
      <w:pPr>
        <w:pStyle w:val="BodyText"/>
        <w:rPr>
          <w:lang w:eastAsia="en-AU"/>
        </w:rPr>
      </w:pPr>
      <w:r>
        <w:rPr>
          <w:lang w:eastAsia="en-AU"/>
        </w:rPr>
        <w:t xml:space="preserve">In addition to the economic </w:t>
      </w:r>
      <w:r w:rsidRPr="002032E6">
        <w:rPr>
          <w:lang w:eastAsia="en-AU"/>
        </w:rPr>
        <w:t xml:space="preserve">benefits described above, industry stakeholders also identified a host of other economic and non-economic benefits from international education. </w:t>
      </w:r>
      <w:r>
        <w:rPr>
          <w:lang w:eastAsia="en-AU"/>
        </w:rPr>
        <w:t xml:space="preserve">These benefits can be broadly classified into economic benefits at home and abroad and social/cultural benefits at home and abroad. Some examples of each of the benefits under each of these categories are provided in </w:t>
      </w:r>
      <w:r>
        <w:rPr>
          <w:lang w:eastAsia="en-AU"/>
        </w:rPr>
        <w:fldChar w:fldCharType="begin"/>
      </w:r>
      <w:r>
        <w:rPr>
          <w:lang w:eastAsia="en-AU"/>
        </w:rPr>
        <w:instrText xml:space="preserve"> REF _Ref438476295 \r \h </w:instrText>
      </w:r>
      <w:r>
        <w:rPr>
          <w:lang w:eastAsia="en-AU"/>
        </w:rPr>
      </w:r>
      <w:r>
        <w:rPr>
          <w:lang w:eastAsia="en-AU"/>
        </w:rPr>
        <w:fldChar w:fldCharType="separate"/>
      </w:r>
      <w:r w:rsidR="00F03FA0">
        <w:rPr>
          <w:lang w:eastAsia="en-AU"/>
        </w:rPr>
        <w:t>Figure 7.1</w:t>
      </w:r>
      <w:r>
        <w:rPr>
          <w:lang w:eastAsia="en-AU"/>
        </w:rPr>
        <w:fldChar w:fldCharType="end"/>
      </w:r>
      <w:r>
        <w:rPr>
          <w:lang w:eastAsia="en-AU"/>
        </w:rPr>
        <w:t xml:space="preserve"> below. </w:t>
      </w:r>
    </w:p>
    <w:p w14:paraId="47D9DF44" w14:textId="77777777" w:rsidR="00EE4F8C" w:rsidRDefault="00EE4F8C" w:rsidP="00EE4F8C">
      <w:pPr>
        <w:pStyle w:val="CaptionFigure"/>
        <w:rPr>
          <w:lang w:eastAsia="en-AU"/>
        </w:rPr>
      </w:pPr>
      <w:bookmarkStart w:id="368" w:name="_Ref438476295"/>
      <w:bookmarkStart w:id="369" w:name="_Toc450809299"/>
      <w:r>
        <w:rPr>
          <w:lang w:eastAsia="en-AU"/>
        </w:rPr>
        <w:t>: Broader economic and social benefits of international education</w:t>
      </w:r>
      <w:bookmarkEnd w:id="368"/>
      <w:bookmarkEnd w:id="369"/>
    </w:p>
    <w:p w14:paraId="0C5720F4" w14:textId="77777777" w:rsidR="00EE4F8C" w:rsidRDefault="007B264C" w:rsidP="00EE4F8C">
      <w:pPr>
        <w:pStyle w:val="BodyText"/>
        <w:ind w:firstLine="567"/>
        <w:rPr>
          <w:lang w:eastAsia="en-AU"/>
        </w:rPr>
      </w:pPr>
      <w:r w:rsidRPr="007B264C">
        <w:rPr>
          <w:lang w:eastAsia="en-AU"/>
        </w:rPr>
        <w:t xml:space="preserve"> </w:t>
      </w:r>
      <w:r w:rsidR="007B20B2" w:rsidRPr="007B20B2">
        <w:rPr>
          <w:noProof/>
          <w:lang w:eastAsia="en-AU"/>
        </w:rPr>
        <w:drawing>
          <wp:inline distT="0" distB="0" distL="0" distR="0" wp14:anchorId="32B08165" wp14:editId="2EF6F261">
            <wp:extent cx="4702629" cy="2875624"/>
            <wp:effectExtent l="0" t="0" r="0" b="0"/>
            <wp:docPr id="16" name="Picture 16" descr="The figure shows the broader economic and social benefits of international education.&#10;" title="Figure 7.1: Broader economic and social benefits of international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703064" cy="2875890"/>
                    </a:xfrm>
                    <a:prstGeom prst="rect">
                      <a:avLst/>
                    </a:prstGeom>
                    <a:noFill/>
                    <a:ln>
                      <a:noFill/>
                    </a:ln>
                  </pic:spPr>
                </pic:pic>
              </a:graphicData>
            </a:graphic>
          </wp:inline>
        </w:drawing>
      </w:r>
    </w:p>
    <w:p w14:paraId="0597DDAD" w14:textId="77777777" w:rsidR="00EE4F8C" w:rsidRDefault="00EE4F8C" w:rsidP="00163EA3">
      <w:pPr>
        <w:pStyle w:val="Source"/>
        <w:outlineLvl w:val="0"/>
        <w:rPr>
          <w:lang w:eastAsia="en-AU"/>
        </w:rPr>
      </w:pPr>
      <w:r>
        <w:rPr>
          <w:lang w:eastAsia="en-AU"/>
        </w:rPr>
        <w:t>Source: Deloitte Access Economics</w:t>
      </w:r>
    </w:p>
    <w:p w14:paraId="2E1FEFB2" w14:textId="77777777" w:rsidR="00EE4F8C" w:rsidRDefault="00EE4F8C" w:rsidP="00EE4F8C">
      <w:pPr>
        <w:pStyle w:val="BodyText"/>
        <w:rPr>
          <w:lang w:eastAsia="en-AU"/>
        </w:rPr>
      </w:pPr>
      <w:r>
        <w:rPr>
          <w:lang w:eastAsia="en-AU"/>
        </w:rPr>
        <w:lastRenderedPageBreak/>
        <w:t xml:space="preserve">While it is difficult to precisely quantify these broader benefits, their value to Australia is likely to be substantial and long-lasting. To illustrate the potential scale of these benefits, the following sections examine in greater detail the nature of benefits flowing from:  </w:t>
      </w:r>
    </w:p>
    <w:p w14:paraId="1A3B3BD6" w14:textId="77777777" w:rsidR="00EE4F8C" w:rsidRDefault="00EE4F8C" w:rsidP="00EE4F8C">
      <w:pPr>
        <w:pStyle w:val="Bullet1"/>
      </w:pPr>
      <w:r>
        <w:t xml:space="preserve">cultural </w:t>
      </w:r>
      <w:r w:rsidR="000D6FC2">
        <w:t>capital</w:t>
      </w:r>
      <w:r>
        <w:t>;</w:t>
      </w:r>
    </w:p>
    <w:p w14:paraId="6D732EBF" w14:textId="77777777" w:rsidR="00EE4F8C" w:rsidRDefault="00EE4F8C" w:rsidP="00EE4F8C">
      <w:pPr>
        <w:pStyle w:val="Bullet1"/>
      </w:pPr>
      <w:r>
        <w:t>soft diplomacy;</w:t>
      </w:r>
    </w:p>
    <w:p w14:paraId="76D54374" w14:textId="77777777" w:rsidR="00EE4F8C" w:rsidRDefault="00EE4F8C" w:rsidP="00EE4F8C">
      <w:pPr>
        <w:pStyle w:val="Bullet1"/>
      </w:pPr>
      <w:r>
        <w:t xml:space="preserve">entrepreneurship and </w:t>
      </w:r>
      <w:r w:rsidR="007B20B2">
        <w:t xml:space="preserve">knowledge </w:t>
      </w:r>
      <w:r>
        <w:t>sharing; and</w:t>
      </w:r>
    </w:p>
    <w:p w14:paraId="6E89B2E6" w14:textId="77777777" w:rsidR="00EE4F8C" w:rsidRDefault="00EE4F8C" w:rsidP="00EE4F8C">
      <w:pPr>
        <w:pStyle w:val="Bullet1"/>
      </w:pPr>
      <w:proofErr w:type="gramStart"/>
      <w:r>
        <w:t>trade</w:t>
      </w:r>
      <w:proofErr w:type="gramEnd"/>
      <w:r>
        <w:t xml:space="preserve"> and investment.</w:t>
      </w:r>
    </w:p>
    <w:p w14:paraId="33A101D7" w14:textId="77777777" w:rsidR="00EE4F8C" w:rsidRDefault="00EE4F8C" w:rsidP="00163EA3">
      <w:pPr>
        <w:pStyle w:val="Heading3"/>
        <w:numPr>
          <w:ilvl w:val="2"/>
          <w:numId w:val="36"/>
        </w:numPr>
      </w:pPr>
      <w:r>
        <w:t xml:space="preserve">Cultural </w:t>
      </w:r>
      <w:r w:rsidR="000D6FC2">
        <w:t xml:space="preserve">capital </w:t>
      </w:r>
    </w:p>
    <w:p w14:paraId="42D05851" w14:textId="77777777" w:rsidR="00EE4F8C" w:rsidRPr="001834A8" w:rsidRDefault="00EE4F8C" w:rsidP="00EE4F8C">
      <w:pPr>
        <w:pStyle w:val="BodyText"/>
      </w:pPr>
      <w:r w:rsidRPr="001834A8">
        <w:t xml:space="preserve">Stakeholders across all education sectors have </w:t>
      </w:r>
      <w:r w:rsidR="00EE64FC" w:rsidRPr="001834A8">
        <w:t>acknowledged</w:t>
      </w:r>
      <w:r w:rsidRPr="001834A8">
        <w:t xml:space="preserve"> the ability of international education to encourage local students to engage with foreign cultures. Stakeholder</w:t>
      </w:r>
      <w:r w:rsidR="004C3C87" w:rsidRPr="001834A8">
        <w:t>s</w:t>
      </w:r>
      <w:r w:rsidRPr="001834A8">
        <w:t xml:space="preserve"> noted that this engagement occurred at both an institutional level, through the internalisation of the curriculum and professional development for staff, and at a personal level, through individual interactions with students, host families, and the community.</w:t>
      </w:r>
    </w:p>
    <w:p w14:paraId="4DD8F2A4" w14:textId="77777777" w:rsidR="00EE4F8C" w:rsidRPr="001834A8" w:rsidRDefault="00EE4F8C" w:rsidP="00EE4F8C">
      <w:pPr>
        <w:pStyle w:val="BodyText"/>
      </w:pPr>
      <w:r w:rsidRPr="001834A8">
        <w:t>However, multiple stakeholders have also noted that while exposure to international students is important</w:t>
      </w:r>
      <w:r w:rsidR="004F340A">
        <w:t>,</w:t>
      </w:r>
      <w:r w:rsidRPr="001834A8">
        <w:t xml:space="preserve"> there is a need to ensure there is sufficient diversity in the international student population to maximise cultural linkages. These linkages may not occur in institutions which focus on just one or two source countries and have limited domestic student populations.</w:t>
      </w:r>
    </w:p>
    <w:p w14:paraId="16E167E7" w14:textId="77777777" w:rsidR="00EE4F8C" w:rsidRPr="001834A8" w:rsidRDefault="00EE4F8C" w:rsidP="00EE4F8C">
      <w:pPr>
        <w:pStyle w:val="BodyText"/>
      </w:pPr>
      <w:r w:rsidRPr="001834A8">
        <w:t>Global Citizenship Education, which aims to empower learners to be responsible global citizens, is now viewed as an integral part of the education curriculum, and one of the strategic areas of work for UNESCO’s Education Programme (UNESCO, 2014). Recognising the importance of global citizenship, the Programme for International Student Assessment (PISA), a triennial international test of 15-year-old students from 70 countries around the world, will introduce a test for global competency in 2018.</w:t>
      </w:r>
    </w:p>
    <w:p w14:paraId="605BD917" w14:textId="77777777" w:rsidR="00EE4F8C" w:rsidRPr="001834A8" w:rsidRDefault="004F340A" w:rsidP="00EE4F8C">
      <w:pPr>
        <w:pStyle w:val="BodyText"/>
      </w:pPr>
      <w:r>
        <w:t xml:space="preserve">The ability of international education to provide a more multicultural environment is also a significant benefit. </w:t>
      </w:r>
      <w:r w:rsidR="00EE4F8C" w:rsidRPr="001834A8">
        <w:t>Without multiculturalism, migrants could potentially face social marginalisation and be partially excluded from the wider society (Castles and Miller, 2009). Multiculturalism c</w:t>
      </w:r>
      <w:r>
        <w:t>an</w:t>
      </w:r>
      <w:r w:rsidR="00EE4F8C" w:rsidRPr="001834A8">
        <w:t xml:space="preserve"> also remove other barriers to employment, such as vulnerability to exploitation, racism, discrimination and intolerance.</w:t>
      </w:r>
    </w:p>
    <w:p w14:paraId="3EA42ED5" w14:textId="77777777" w:rsidR="004C3C87" w:rsidRPr="001834A8" w:rsidRDefault="004C3C87" w:rsidP="00EE4F8C">
      <w:pPr>
        <w:pStyle w:val="BodyText"/>
      </w:pPr>
      <w:r w:rsidRPr="001834A8">
        <w:t>For Australian students, greater cultural awareness through interactions with international students helps to develop meaningful cultural capital which, like human capital, helps to improve individuals’ productivity in the workplace and their ability to meaningfully contribute to the community. Enhancements in the cultural capital of Australian domestic students can contribute to the development of a generation of globally engaged citizens</w:t>
      </w:r>
      <w:r w:rsidR="006B5447" w:rsidRPr="001834A8">
        <w:t xml:space="preserve"> who will help to enhance trade and investment linkages, international relations and diplomacy, and the overall globalisation of Australia’s economy and broader society. Many of these benefits are discussed in further detail below.</w:t>
      </w:r>
    </w:p>
    <w:p w14:paraId="3BA5754D" w14:textId="77777777" w:rsidR="00EE4F8C" w:rsidRPr="005678FF" w:rsidRDefault="00EE4F8C" w:rsidP="00163EA3">
      <w:pPr>
        <w:pStyle w:val="Heading3"/>
      </w:pPr>
      <w:r w:rsidRPr="005678FF">
        <w:t>Soft diplomacy</w:t>
      </w:r>
    </w:p>
    <w:p w14:paraId="5591CF3B" w14:textId="77777777" w:rsidR="00EE4F8C" w:rsidRPr="001834A8" w:rsidRDefault="00EE4F8C" w:rsidP="00EE4F8C">
      <w:pPr>
        <w:pStyle w:val="BodyText"/>
      </w:pPr>
      <w:r w:rsidRPr="001834A8">
        <w:t xml:space="preserve">Multiple stakeholders highlighted the intangible soft diplomacy benefits of international education (particularly at the tertiary level) which result from having a large population of international student graduates abroad. This creates important opportunities for the </w:t>
      </w:r>
      <w:r w:rsidRPr="001834A8">
        <w:lastRenderedPageBreak/>
        <w:t>exchange of information, interaction and collaboration. This can yield benefits in areas ranging from research to trade and investment to foreign affairs.</w:t>
      </w:r>
    </w:p>
    <w:p w14:paraId="55C7F67B" w14:textId="77777777" w:rsidR="00EE4F8C" w:rsidRPr="001834A8" w:rsidRDefault="00EE4F8C" w:rsidP="00EE4F8C">
      <w:pPr>
        <w:pStyle w:val="BodyText"/>
      </w:pPr>
      <w:r w:rsidRPr="001834A8">
        <w:t>A number of stakeholders mentioned the soft diplomacy benefits to Australia of the Colombo Plan. The Colombo Plan was launched in 1951 and sponsored students from neighbouring Asian countries to study in Australia. By 1985, some 40,000 students had been trained under the Colombo Plan (</w:t>
      </w:r>
      <w:proofErr w:type="spellStart"/>
      <w:r w:rsidR="006A6F8C">
        <w:t>DET</w:t>
      </w:r>
      <w:proofErr w:type="spellEnd"/>
      <w:r w:rsidR="006A6F8C">
        <w:t xml:space="preserve">, </w:t>
      </w:r>
      <w:proofErr w:type="spellStart"/>
      <w:r w:rsidR="006A6F8C">
        <w:t>2015f</w:t>
      </w:r>
      <w:proofErr w:type="spellEnd"/>
      <w:r w:rsidRPr="001834A8">
        <w:t>). Many of these alumni have consequently held leadership positions in both industry and Government, particularly in Malaysia, Singapore and Indonesia, and continue to maintain both professional and personal connections to Australia.</w:t>
      </w:r>
    </w:p>
    <w:p w14:paraId="7347A3AC" w14:textId="77777777" w:rsidR="00EE4F8C" w:rsidRPr="001834A8" w:rsidRDefault="00EE4F8C" w:rsidP="00EE4F8C">
      <w:pPr>
        <w:pStyle w:val="BodyText"/>
      </w:pPr>
      <w:r w:rsidRPr="001834A8">
        <w:t>Conversely, the Indian student crisis of 2009 showed that negative publicity in international education can have a damaging effect, impacting not only on the immediate commercial viability of the international education sector, but also on the longer term reputation o</w:t>
      </w:r>
      <w:r w:rsidR="009C0383">
        <w:t>f Australia (Byrne and Hall 2013</w:t>
      </w:r>
      <w:r w:rsidRPr="001834A8">
        <w:t>).</w:t>
      </w:r>
    </w:p>
    <w:p w14:paraId="1E5EF945" w14:textId="77777777" w:rsidR="00EE4F8C" w:rsidRPr="001834A8" w:rsidRDefault="00EE4F8C" w:rsidP="00163EA3">
      <w:pPr>
        <w:pStyle w:val="IndentParaGreySource"/>
        <w:outlineLvl w:val="0"/>
        <w:rPr>
          <w:b/>
          <w:color w:val="002776"/>
          <w:sz w:val="22"/>
          <w:szCs w:val="22"/>
          <w:lang w:eastAsia="en-AU"/>
        </w:rPr>
      </w:pPr>
      <w:r w:rsidRPr="001834A8">
        <w:rPr>
          <w:b/>
          <w:color w:val="002776"/>
          <w:sz w:val="22"/>
          <w:szCs w:val="22"/>
          <w:lang w:eastAsia="en-AU"/>
        </w:rPr>
        <w:t>Soft diplomacy benefits: alumni</w:t>
      </w:r>
    </w:p>
    <w:p w14:paraId="3C8D823D" w14:textId="4281D917" w:rsidR="00EE4F8C" w:rsidRPr="001834A8" w:rsidRDefault="00EE4F8C" w:rsidP="00EE4F8C">
      <w:pPr>
        <w:pStyle w:val="IndentParaGreySource"/>
        <w:rPr>
          <w:color w:val="auto"/>
          <w:sz w:val="22"/>
          <w:szCs w:val="22"/>
          <w:lang w:eastAsia="en-AU"/>
        </w:rPr>
      </w:pPr>
      <w:r w:rsidRPr="001834A8">
        <w:rPr>
          <w:color w:val="auto"/>
          <w:sz w:val="22"/>
          <w:szCs w:val="22"/>
          <w:lang w:eastAsia="en-AU"/>
        </w:rPr>
        <w:t>Given Australia’s long history of providing international education, starting with the Colombo Plan (Universities Australia, 2011), there is now a network of</w:t>
      </w:r>
      <w:r w:rsidRPr="001834A8">
        <w:rPr>
          <w:sz w:val="22"/>
          <w:szCs w:val="22"/>
        </w:rPr>
        <w:t xml:space="preserve"> 2.5 million international alumni from the Australian higher education sector (</w:t>
      </w:r>
      <w:r w:rsidR="006A6F8C">
        <w:rPr>
          <w:sz w:val="22"/>
          <w:szCs w:val="22"/>
        </w:rPr>
        <w:t>B</w:t>
      </w:r>
      <w:r w:rsidR="009C0383">
        <w:rPr>
          <w:sz w:val="22"/>
          <w:szCs w:val="22"/>
        </w:rPr>
        <w:t>yrne</w:t>
      </w:r>
      <w:r w:rsidR="006A6F8C">
        <w:rPr>
          <w:sz w:val="22"/>
          <w:szCs w:val="22"/>
        </w:rPr>
        <w:t xml:space="preserve"> and Hall</w:t>
      </w:r>
      <w:r w:rsidR="006A6F8C" w:rsidRPr="00355B34">
        <w:rPr>
          <w:sz w:val="22"/>
          <w:szCs w:val="22"/>
        </w:rPr>
        <w:t xml:space="preserve">, </w:t>
      </w:r>
      <w:r w:rsidR="006A6F8C">
        <w:rPr>
          <w:sz w:val="22"/>
          <w:szCs w:val="22"/>
        </w:rPr>
        <w:t>2014</w:t>
      </w:r>
      <w:r w:rsidRPr="001834A8">
        <w:rPr>
          <w:sz w:val="22"/>
          <w:szCs w:val="22"/>
        </w:rPr>
        <w:t xml:space="preserve">). As they have risen to leadership positions in government and industry, they have become important </w:t>
      </w:r>
      <w:r w:rsidRPr="001834A8">
        <w:rPr>
          <w:color w:val="auto"/>
          <w:sz w:val="22"/>
          <w:szCs w:val="22"/>
          <w:lang w:eastAsia="en-AU"/>
        </w:rPr>
        <w:t>long-term advocates for Australia.</w:t>
      </w:r>
    </w:p>
    <w:p w14:paraId="1BCA4484" w14:textId="77777777" w:rsidR="00EE4F8C" w:rsidRPr="001834A8" w:rsidRDefault="00EE4F8C" w:rsidP="00EE4F8C">
      <w:pPr>
        <w:pStyle w:val="IndentParaGreySource"/>
        <w:rPr>
          <w:sz w:val="22"/>
          <w:szCs w:val="22"/>
        </w:rPr>
      </w:pPr>
      <w:r w:rsidRPr="001834A8">
        <w:rPr>
          <w:color w:val="auto"/>
          <w:sz w:val="22"/>
          <w:szCs w:val="22"/>
          <w:lang w:eastAsia="en-AU"/>
        </w:rPr>
        <w:t xml:space="preserve">For instance, the </w:t>
      </w:r>
      <w:r w:rsidRPr="001834A8">
        <w:rPr>
          <w:sz w:val="22"/>
          <w:szCs w:val="22"/>
        </w:rPr>
        <w:t xml:space="preserve">President of Singapore, Tony Tan, is an </w:t>
      </w:r>
      <w:proofErr w:type="gramStart"/>
      <w:r w:rsidRPr="001834A8">
        <w:rPr>
          <w:sz w:val="22"/>
          <w:szCs w:val="22"/>
        </w:rPr>
        <w:t>alumni</w:t>
      </w:r>
      <w:proofErr w:type="gramEnd"/>
      <w:r w:rsidRPr="001834A8">
        <w:rPr>
          <w:sz w:val="22"/>
          <w:szCs w:val="22"/>
        </w:rPr>
        <w:t xml:space="preserve"> of Adelaide University and has spoken publicly in Australia on the value of the Colombo Plan. </w:t>
      </w:r>
      <w:r w:rsidRPr="001834A8">
        <w:rPr>
          <w:color w:val="auto"/>
          <w:sz w:val="22"/>
          <w:szCs w:val="22"/>
          <w:lang w:eastAsia="en-AU"/>
        </w:rPr>
        <w:t xml:space="preserve">Other notable Singaporean alumni have included former Prime Minister, Ong </w:t>
      </w:r>
      <w:proofErr w:type="spellStart"/>
      <w:r w:rsidRPr="001834A8">
        <w:rPr>
          <w:color w:val="auto"/>
          <w:sz w:val="22"/>
          <w:szCs w:val="22"/>
          <w:lang w:eastAsia="en-AU"/>
        </w:rPr>
        <w:t>Teng</w:t>
      </w:r>
      <w:proofErr w:type="spellEnd"/>
      <w:r w:rsidRPr="001834A8">
        <w:rPr>
          <w:color w:val="auto"/>
          <w:sz w:val="22"/>
          <w:szCs w:val="22"/>
          <w:lang w:eastAsia="en-AU"/>
        </w:rPr>
        <w:t xml:space="preserve"> Cheong, and the </w:t>
      </w:r>
      <w:r w:rsidRPr="001834A8">
        <w:rPr>
          <w:sz w:val="22"/>
          <w:szCs w:val="22"/>
        </w:rPr>
        <w:t xml:space="preserve">current Group President of the Government of Singapore Investment Corporation, Lim </w:t>
      </w:r>
      <w:proofErr w:type="spellStart"/>
      <w:r w:rsidRPr="001834A8">
        <w:rPr>
          <w:sz w:val="22"/>
          <w:szCs w:val="22"/>
        </w:rPr>
        <w:t>Siong</w:t>
      </w:r>
      <w:proofErr w:type="spellEnd"/>
      <w:r w:rsidRPr="001834A8">
        <w:rPr>
          <w:sz w:val="22"/>
          <w:szCs w:val="22"/>
        </w:rPr>
        <w:t xml:space="preserve"> Guan.</w:t>
      </w:r>
    </w:p>
    <w:p w14:paraId="39B33413" w14:textId="77777777" w:rsidR="00EE4F8C" w:rsidRPr="001834A8" w:rsidRDefault="00EE4F8C" w:rsidP="00EE4F8C">
      <w:pPr>
        <w:pStyle w:val="IndentParaGreySource"/>
        <w:rPr>
          <w:sz w:val="22"/>
          <w:szCs w:val="22"/>
        </w:rPr>
      </w:pPr>
      <w:r w:rsidRPr="001834A8">
        <w:rPr>
          <w:sz w:val="22"/>
          <w:szCs w:val="22"/>
        </w:rPr>
        <w:t xml:space="preserve">One stakeholder noted that at times more than half of the Indonesian Cabinet has been educated within Australia. </w:t>
      </w:r>
    </w:p>
    <w:p w14:paraId="2AE1989E" w14:textId="77777777" w:rsidR="00EE4F8C" w:rsidRPr="001834A8" w:rsidRDefault="00EE4F8C" w:rsidP="00EE4F8C">
      <w:pPr>
        <w:pStyle w:val="IndentParaGreySource"/>
        <w:rPr>
          <w:sz w:val="22"/>
          <w:szCs w:val="22"/>
        </w:rPr>
      </w:pPr>
      <w:r w:rsidRPr="001834A8">
        <w:rPr>
          <w:sz w:val="22"/>
          <w:szCs w:val="22"/>
        </w:rPr>
        <w:t>Other high profile examples have included the Australian National University building a network of influence among senior economists of the Asian region – in particular I</w:t>
      </w:r>
      <w:r w:rsidR="006A6F8C">
        <w:rPr>
          <w:sz w:val="22"/>
          <w:szCs w:val="22"/>
        </w:rPr>
        <w:t xml:space="preserve">ndonesia, China, and Vietnam – </w:t>
      </w:r>
      <w:r w:rsidRPr="001834A8">
        <w:rPr>
          <w:sz w:val="22"/>
          <w:szCs w:val="22"/>
        </w:rPr>
        <w:t>that reaches into high levels of government decision-making (</w:t>
      </w:r>
      <w:r w:rsidR="006A6F8C">
        <w:rPr>
          <w:sz w:val="22"/>
          <w:szCs w:val="22"/>
        </w:rPr>
        <w:t>Davis and Mackintosh, 2011</w:t>
      </w:r>
      <w:r w:rsidRPr="001834A8">
        <w:rPr>
          <w:sz w:val="22"/>
          <w:szCs w:val="22"/>
        </w:rPr>
        <w:t xml:space="preserve">). </w:t>
      </w:r>
    </w:p>
    <w:p w14:paraId="2BA8A577" w14:textId="77777777" w:rsidR="00EE4F8C" w:rsidRPr="001834A8" w:rsidRDefault="00EE4F8C" w:rsidP="00EE4F8C">
      <w:pPr>
        <w:pStyle w:val="BodyText"/>
      </w:pPr>
      <w:r w:rsidRPr="001834A8">
        <w:t xml:space="preserve">In order to maximise these soft diplomacy benefits it is also important that Australian students are encouraged to study abroad, particularly in source countries in our region. Recognising this, the Australian government has recently created the New Colombo Plan initiative to fund Australians to study overseas and undertake shore term internships, mentorships, practicums and research. </w:t>
      </w:r>
    </w:p>
    <w:p w14:paraId="7FE08551" w14:textId="77777777" w:rsidR="00EE4F8C" w:rsidRPr="001834A8" w:rsidRDefault="00EE4F8C" w:rsidP="00EE4F8C">
      <w:pPr>
        <w:pStyle w:val="BodyText"/>
      </w:pPr>
      <w:r w:rsidRPr="001834A8">
        <w:t>The potential benefits of outbound study have been recognised by other countries, with the United States committed to doubling the number of outbound students from 290,000 to 600,000 by 2018, with a particular focus on China (</w:t>
      </w:r>
      <w:proofErr w:type="spellStart"/>
      <w:r w:rsidRPr="001834A8">
        <w:t>ICEF</w:t>
      </w:r>
      <w:proofErr w:type="spellEnd"/>
      <w:r w:rsidRPr="001834A8">
        <w:t xml:space="preserve"> Monitor, 2015).</w:t>
      </w:r>
    </w:p>
    <w:p w14:paraId="63677261" w14:textId="77777777" w:rsidR="00EE4F8C" w:rsidRPr="005678FF" w:rsidRDefault="00EE4F8C" w:rsidP="00163EA3">
      <w:pPr>
        <w:pStyle w:val="Heading3"/>
      </w:pPr>
      <w:r w:rsidRPr="005678FF">
        <w:lastRenderedPageBreak/>
        <w:t>Entrepreneur</w:t>
      </w:r>
      <w:r w:rsidR="004F340A">
        <w:t>ship</w:t>
      </w:r>
      <w:r w:rsidRPr="005678FF">
        <w:t xml:space="preserve"> and i</w:t>
      </w:r>
      <w:r w:rsidR="004F340A">
        <w:t>nt</w:t>
      </w:r>
      <w:r w:rsidRPr="005678FF">
        <w:t>e</w:t>
      </w:r>
      <w:r w:rsidR="004F340A">
        <w:t>rnational collaboration</w:t>
      </w:r>
    </w:p>
    <w:p w14:paraId="129BDA1E" w14:textId="77777777" w:rsidR="00EE4F8C" w:rsidRPr="001834A8" w:rsidRDefault="00EE4F8C" w:rsidP="00EE4F8C">
      <w:pPr>
        <w:pStyle w:val="BodyText"/>
      </w:pPr>
      <w:r w:rsidRPr="001834A8">
        <w:t xml:space="preserve">A number of stakeholders noted that international education can help produce a bilingual workforce that can create greater opportunities for international economic cooperation as well as increase international research collaboration. Given the unprecedented opportunities available in the Asia Pacific region as the Trans-Pacific Partnership with the Pacific Rim countries, and North Asia Free Trade Agreements with Korea, Japan, and China, </w:t>
      </w:r>
      <w:proofErr w:type="gramStart"/>
      <w:r w:rsidRPr="001834A8">
        <w:t>have</w:t>
      </w:r>
      <w:proofErr w:type="gramEnd"/>
      <w:r w:rsidRPr="001834A8">
        <w:t xml:space="preserve"> been signed, Australia will need individuals with a cultural understanding of the region to best release the potential gains associated with recent agreements. </w:t>
      </w:r>
    </w:p>
    <w:p w14:paraId="000B7370" w14:textId="77777777" w:rsidR="00EE4F8C" w:rsidRPr="001834A8" w:rsidRDefault="00EE4F8C" w:rsidP="00EE4F8C">
      <w:pPr>
        <w:pStyle w:val="BodyText"/>
      </w:pPr>
      <w:r w:rsidRPr="001834A8">
        <w:t xml:space="preserve">Stakeholders have also noted the ability of international students to engage in </w:t>
      </w:r>
      <w:r w:rsidR="005B44C7" w:rsidRPr="001834A8">
        <w:t>entrepreneur</w:t>
      </w:r>
      <w:r w:rsidR="005B44C7">
        <w:t>ial activities</w:t>
      </w:r>
      <w:r w:rsidRPr="001834A8">
        <w:t>. For instance, research has shown that migrants in Australia are more entrepreneurial than native-born counterparts, with the OECD estimating that in 2007-08, 11.5% of foreign-born workers are self-employed (a proxy for business ownership) compared to just 10.0% for native-born workers.</w:t>
      </w:r>
      <w:r w:rsidRPr="001834A8">
        <w:rPr>
          <w:rStyle w:val="FootnoteReference"/>
        </w:rPr>
        <w:footnoteReference w:id="21"/>
      </w:r>
      <w:r w:rsidRPr="001834A8">
        <w:t xml:space="preserve"> Even when accounting for differences in background and education, </w:t>
      </w:r>
      <w:proofErr w:type="gramStart"/>
      <w:r w:rsidRPr="001834A8">
        <w:t>migrants</w:t>
      </w:r>
      <w:proofErr w:type="gramEnd"/>
      <w:r w:rsidRPr="001834A8">
        <w:t xml:space="preserve"> skill</w:t>
      </w:r>
      <w:r w:rsidR="00AD562C">
        <w:t>s make them</w:t>
      </w:r>
      <w:r w:rsidRPr="001834A8">
        <w:t xml:space="preserve"> more likely to become entrepreneurs. While most self-employed migrants only employ themselves, they have been increasingly contributing to total employment over the 1998 to 2008 period. In the OECD, this contribution to employment is equivalent to between 1.5-3% of the total employed labour force in most OECD countries (OECD, 2011).</w:t>
      </w:r>
    </w:p>
    <w:p w14:paraId="52584E8D" w14:textId="77777777" w:rsidR="00EE4F8C" w:rsidRPr="001834A8" w:rsidRDefault="00EE4F8C" w:rsidP="00EE4F8C">
      <w:pPr>
        <w:pStyle w:val="BodyText"/>
      </w:pPr>
      <w:r w:rsidRPr="001834A8">
        <w:t>Stakeholders also noted the importance of</w:t>
      </w:r>
      <w:r w:rsidRPr="001834A8">
        <w:rPr>
          <w:b/>
        </w:rPr>
        <w:t xml:space="preserve"> </w:t>
      </w:r>
      <w:r w:rsidRPr="005678FF">
        <w:t xml:space="preserve">international education in creating lasting research relationships, particularly between researchers and their supervisors. </w:t>
      </w:r>
    </w:p>
    <w:p w14:paraId="20CA6047" w14:textId="77777777" w:rsidR="00EE4F8C" w:rsidRPr="001834A8" w:rsidRDefault="00EE4F8C" w:rsidP="00EE4F8C">
      <w:pPr>
        <w:pStyle w:val="BodyText"/>
      </w:pPr>
      <w:proofErr w:type="spellStart"/>
      <w:r w:rsidRPr="005678FF">
        <w:t>Jeong</w:t>
      </w:r>
      <w:proofErr w:type="spellEnd"/>
      <w:r w:rsidRPr="005678FF">
        <w:t xml:space="preserve"> et al</w:t>
      </w:r>
      <w:r w:rsidR="006A6F8C">
        <w:t>.</w:t>
      </w:r>
      <w:r w:rsidRPr="005678FF">
        <w:t xml:space="preserve"> (2013) finds that informal communication networks are significant in accomplishing international collaborations. International collaborative research produces research with greater impact than both domestically co-authored papers and single-authored papers (Oh et al, 2010), with the British Council (2012) suggesting that 80% of countries’ research impact, as measured by average citations per document, is determined by their research collaboration rate. Consequently, international students in Australia, particularly postgraduate research students, can be important for generating better research.</w:t>
      </w:r>
    </w:p>
    <w:p w14:paraId="0EDC37DF" w14:textId="77777777" w:rsidR="00EE4F8C" w:rsidRPr="001834A8" w:rsidRDefault="00EE4F8C" w:rsidP="00EE4F8C">
      <w:pPr>
        <w:pStyle w:val="BodyText"/>
        <w:tabs>
          <w:tab w:val="left" w:pos="2193"/>
        </w:tabs>
      </w:pPr>
      <w:r w:rsidRPr="001834A8">
        <w:t>In 2010, 43.8% of research articles by Australia were produced in collaboration with an international partner (</w:t>
      </w:r>
      <w:r w:rsidR="001834A8">
        <w:t>British Council</w:t>
      </w:r>
      <w:r w:rsidRPr="005678FF">
        <w:t>, 2012). While historically most of these collaborations would have been with other developed countries (</w:t>
      </w:r>
      <w:proofErr w:type="spellStart"/>
      <w:r w:rsidR="006A6F8C">
        <w:t>Nadarajah</w:t>
      </w:r>
      <w:proofErr w:type="spellEnd"/>
      <w:r w:rsidR="006A6F8C">
        <w:t>, 2014</w:t>
      </w:r>
      <w:r w:rsidRPr="001834A8">
        <w:t>), it is possible that as the research capabilities of Australia’s key source markets increase over time, there will be future opportunities for collaboration. Investment in research and development is shifting towards Asia, with research and development expenditure in China, Australia’s biggest source market for higher education international students, doubling from 2008 to 2012, and projected to become the largest in the world by 2019 (OECD, 2014).</w:t>
      </w:r>
    </w:p>
    <w:p w14:paraId="315822B4" w14:textId="77777777" w:rsidR="00EE4F8C" w:rsidRPr="005678FF" w:rsidRDefault="00EE4F8C" w:rsidP="00163EA3">
      <w:pPr>
        <w:pStyle w:val="Heading3"/>
      </w:pPr>
      <w:r w:rsidRPr="005678FF">
        <w:lastRenderedPageBreak/>
        <w:t>Trade and investment</w:t>
      </w:r>
    </w:p>
    <w:p w14:paraId="1D38322D" w14:textId="77777777" w:rsidR="00EE4F8C" w:rsidRPr="001834A8" w:rsidRDefault="00EE4F8C" w:rsidP="00EE4F8C">
      <w:pPr>
        <w:pStyle w:val="BodyText"/>
      </w:pPr>
      <w:r w:rsidRPr="001834A8">
        <w:t>Multiple stakeholders have noted the positive impact of international education on trade and investment. This occurs both directly, through international students investing in Australia (or vice versa), and indirectly, through consumer preferences.</w:t>
      </w:r>
    </w:p>
    <w:p w14:paraId="0FE9B993" w14:textId="77777777" w:rsidR="00EE4F8C" w:rsidRPr="001834A8" w:rsidRDefault="00EE4F8C" w:rsidP="00EE4F8C">
      <w:pPr>
        <w:pStyle w:val="BodyText"/>
      </w:pPr>
      <w:r w:rsidRPr="001834A8">
        <w:t xml:space="preserve">An </w:t>
      </w:r>
      <w:proofErr w:type="spellStart"/>
      <w:r w:rsidRPr="001834A8">
        <w:t>IDP</w:t>
      </w:r>
      <w:proofErr w:type="spellEnd"/>
      <w:r w:rsidRPr="001834A8">
        <w:t xml:space="preserve"> Education study (2008) of international graduates of the five Australian Technology Network universities found that over one fifth of graduates said that they managed or controlled an international supply chain involving an Australian business or industry.  International education can also have positive trade and investment impacts for the source countries. Kim and Park (2010) found a positive relationship between country-specific bilateral foreign direct investment (</w:t>
      </w:r>
      <w:proofErr w:type="spellStart"/>
      <w:r w:rsidRPr="001834A8">
        <w:t>FDI</w:t>
      </w:r>
      <w:proofErr w:type="spellEnd"/>
      <w:r w:rsidRPr="001834A8">
        <w:t>) and foreign-educated human capital using bilateral foreign direct investment (</w:t>
      </w:r>
      <w:proofErr w:type="spellStart"/>
      <w:r w:rsidRPr="001834A8">
        <w:t>FDI</w:t>
      </w:r>
      <w:proofErr w:type="spellEnd"/>
      <w:r w:rsidRPr="001834A8">
        <w:t xml:space="preserve">) and foreign student data for 67 developed and developing countries over the period of 1963-1998. It is hypothesised that individuals educated in a particular country are more familiar with that country’s language, business culture, and industry needs, and able to attract more </w:t>
      </w:r>
      <w:proofErr w:type="spellStart"/>
      <w:r w:rsidRPr="001834A8">
        <w:t>FDI</w:t>
      </w:r>
      <w:proofErr w:type="spellEnd"/>
      <w:r w:rsidRPr="001834A8">
        <w:t xml:space="preserve"> from that particular country.</w:t>
      </w:r>
    </w:p>
    <w:p w14:paraId="1480EBFC" w14:textId="77777777" w:rsidR="00EE4F8C" w:rsidRPr="001834A8" w:rsidRDefault="00EE4F8C" w:rsidP="00EE4F8C">
      <w:pPr>
        <w:pStyle w:val="BodyText"/>
      </w:pPr>
      <w:r w:rsidRPr="001834A8">
        <w:t xml:space="preserve">At the indirect level, research by Oxford Economics (2007) has found that international students studying in London were likely to develop a preference for UK products. This has been supported both by stakeholder </w:t>
      </w:r>
      <w:proofErr w:type="gramStart"/>
      <w:r w:rsidRPr="001834A8">
        <w:t>commentary,</w:t>
      </w:r>
      <w:proofErr w:type="gramEnd"/>
      <w:r w:rsidRPr="001834A8">
        <w:t xml:space="preserve"> and the first-hand account of the then Austrade’s Senior Trade Commissioner in Jakarta, Michael Abrahams to a parliamentary committee (</w:t>
      </w:r>
      <w:r w:rsidR="001834A8">
        <w:t>Davis and Mackintosh, 2011</w:t>
      </w:r>
      <w:r w:rsidRPr="001834A8">
        <w:t>):</w:t>
      </w:r>
    </w:p>
    <w:p w14:paraId="30E9E323" w14:textId="77777777" w:rsidR="00EE4F8C" w:rsidRPr="001834A8" w:rsidRDefault="00EE4F8C" w:rsidP="00D72A59">
      <w:pPr>
        <w:pStyle w:val="BodyText"/>
      </w:pPr>
      <w:r w:rsidRPr="001834A8">
        <w:t xml:space="preserve">The largest retailer in Indonesia has something like 70 stores across the archipelago and 2,500 Australian lines in their flagship supermarkets. That influence has not come from us to a large extent; it has come from the students who have come back and want their violet crumble bars and their cherry </w:t>
      </w:r>
      <w:proofErr w:type="spellStart"/>
      <w:r w:rsidRPr="001834A8">
        <w:t>ripes</w:t>
      </w:r>
      <w:proofErr w:type="spellEnd"/>
      <w:r w:rsidRPr="001834A8">
        <w:t xml:space="preserve"> and all those sorts of things. </w:t>
      </w:r>
    </w:p>
    <w:p w14:paraId="17BB7F39" w14:textId="77777777" w:rsidR="00EE4F8C" w:rsidRPr="001834A8" w:rsidRDefault="00EE4F8C" w:rsidP="00EE4F8C">
      <w:pPr>
        <w:pStyle w:val="BodyText"/>
      </w:pPr>
      <w:r w:rsidRPr="001834A8">
        <w:t xml:space="preserve">This is consistent with the empirical literature on the relationship between immigration and trade. As noted in Chapter 4, </w:t>
      </w:r>
      <w:proofErr w:type="spellStart"/>
      <w:r w:rsidRPr="001834A8">
        <w:t>Genc</w:t>
      </w:r>
      <w:proofErr w:type="spellEnd"/>
      <w:r w:rsidRPr="001834A8">
        <w:t xml:space="preserve"> et al (2011) undertake a meta-analysis of studies looking at the relationship between immigration and trade, finding that on average a 10% increase in immigrants increases the volume of trade between countries by 1.5%. </w:t>
      </w:r>
    </w:p>
    <w:p w14:paraId="0F0C6874" w14:textId="77777777" w:rsidR="00EE4F8C" w:rsidRPr="001834A8" w:rsidRDefault="00EE64FC" w:rsidP="00EE4F8C">
      <w:pPr>
        <w:pStyle w:val="Heading2"/>
        <w:rPr>
          <w:lang w:eastAsia="en-AU"/>
        </w:rPr>
      </w:pPr>
      <w:bookmarkStart w:id="370" w:name="_Ref438724307"/>
      <w:bookmarkStart w:id="371" w:name="_Toc450809253"/>
      <w:r w:rsidRPr="001834A8">
        <w:rPr>
          <w:lang w:eastAsia="en-AU"/>
        </w:rPr>
        <w:t>Raising community awareness</w:t>
      </w:r>
      <w:bookmarkEnd w:id="370"/>
      <w:bookmarkEnd w:id="371"/>
      <w:r w:rsidRPr="001834A8">
        <w:rPr>
          <w:lang w:eastAsia="en-AU"/>
        </w:rPr>
        <w:t xml:space="preserve"> </w:t>
      </w:r>
    </w:p>
    <w:p w14:paraId="6A0FED33" w14:textId="77777777" w:rsidR="00EE4F8C" w:rsidRPr="001834A8" w:rsidRDefault="00EE4F8C" w:rsidP="00EE4F8C">
      <w:pPr>
        <w:pStyle w:val="BodyText"/>
        <w:rPr>
          <w:lang w:eastAsia="en-AU"/>
        </w:rPr>
      </w:pPr>
      <w:r w:rsidRPr="001834A8">
        <w:rPr>
          <w:lang w:eastAsia="en-AU"/>
        </w:rPr>
        <w:t xml:space="preserve">Another objective of the consultations was to identify common community concerns about international education and strategies that could be used to raise community awareness of the broader benefits that international education provides. </w:t>
      </w:r>
    </w:p>
    <w:p w14:paraId="000BAD2D" w14:textId="77777777" w:rsidR="00EE4F8C" w:rsidRDefault="00EE4F8C" w:rsidP="00EE4F8C">
      <w:pPr>
        <w:pStyle w:val="BodyText"/>
        <w:rPr>
          <w:lang w:eastAsia="en-AU"/>
        </w:rPr>
      </w:pPr>
      <w:r w:rsidRPr="001834A8">
        <w:rPr>
          <w:lang w:eastAsia="en-AU"/>
        </w:rPr>
        <w:t>On the whole, stakeholders did not feel there were substantial community concerns about international education in Australia. One community concern that was cited by three stakeholders was that some international graduates were not developing sufficient English language skills and that limited their scope to both succeed academically and interact with</w:t>
      </w:r>
      <w:r>
        <w:rPr>
          <w:lang w:eastAsia="en-AU"/>
        </w:rPr>
        <w:t xml:space="preserve"> the broader community. </w:t>
      </w:r>
    </w:p>
    <w:p w14:paraId="5AFF3D2F" w14:textId="77777777" w:rsidR="00EE4F8C" w:rsidRDefault="00EE4F8C" w:rsidP="00EE4F8C">
      <w:pPr>
        <w:pStyle w:val="BodyText"/>
        <w:rPr>
          <w:lang w:eastAsia="en-AU"/>
        </w:rPr>
      </w:pPr>
      <w:r>
        <w:rPr>
          <w:lang w:eastAsia="en-AU"/>
        </w:rPr>
        <w:t xml:space="preserve">A couple of stakeholders noted that there were community concerns that international students may take places from domestic students and that it was important for information campaigns to help dispel this myth. Others noted there was a degree of concern about </w:t>
      </w:r>
      <w:r>
        <w:rPr>
          <w:lang w:eastAsia="en-AU"/>
        </w:rPr>
        <w:lastRenderedPageBreak/>
        <w:t xml:space="preserve">international students taking jobs from local students or creating accommodation shortages but did not see these concerns as particularly widespread. </w:t>
      </w:r>
    </w:p>
    <w:p w14:paraId="0CDB29DE" w14:textId="77777777" w:rsidR="00EE4F8C" w:rsidRDefault="00EE4F8C" w:rsidP="00EE4F8C">
      <w:pPr>
        <w:pStyle w:val="BodyText"/>
        <w:rPr>
          <w:lang w:eastAsia="en-AU"/>
        </w:rPr>
      </w:pPr>
      <w:r>
        <w:rPr>
          <w:lang w:eastAsia="en-AU"/>
        </w:rPr>
        <w:t>A range of strategies to lift community awareness of the benefits of international education were identified through the consultations. These strategies can be broadly grouped under f</w:t>
      </w:r>
      <w:r w:rsidR="00F063CC">
        <w:rPr>
          <w:lang w:eastAsia="en-AU"/>
        </w:rPr>
        <w:t>ive</w:t>
      </w:r>
      <w:r>
        <w:rPr>
          <w:lang w:eastAsia="en-AU"/>
        </w:rPr>
        <w:t xml:space="preserve"> themes: </w:t>
      </w:r>
    </w:p>
    <w:p w14:paraId="4EE1D914" w14:textId="77777777" w:rsidR="00EE4F8C" w:rsidRDefault="00EE4F8C" w:rsidP="00EE4F8C">
      <w:pPr>
        <w:pStyle w:val="Bullet1"/>
      </w:pPr>
      <w:r>
        <w:t>The sector’s messaging should focus on the social and cultural benefits of international education rather than its role as one of Australia’s largest exports</w:t>
      </w:r>
    </w:p>
    <w:p w14:paraId="4951AD48" w14:textId="77777777" w:rsidR="00EE4F8C" w:rsidRDefault="00EE4F8C" w:rsidP="00EE4F8C">
      <w:pPr>
        <w:pStyle w:val="Bullet1"/>
      </w:pPr>
      <w:r>
        <w:t>Information and media campaigns should seek to highlight the positive stories and achievements of former international students</w:t>
      </w:r>
    </w:p>
    <w:p w14:paraId="5D7174E7" w14:textId="77777777" w:rsidR="00EE4F8C" w:rsidRDefault="00EE4F8C" w:rsidP="00EE4F8C">
      <w:pPr>
        <w:pStyle w:val="Bullet1"/>
      </w:pPr>
      <w:r>
        <w:t>Emphasising the deep international linkages that can arise from initiatives such as homestay for international students</w:t>
      </w:r>
    </w:p>
    <w:p w14:paraId="649EA246" w14:textId="77777777" w:rsidR="00EE4F8C" w:rsidRDefault="00EE4F8C" w:rsidP="00EE4F8C">
      <w:pPr>
        <w:pStyle w:val="Bullet1"/>
      </w:pPr>
      <w:r>
        <w:t>Community awareness campaigns should promote the role of international students in creating a more diverse community</w:t>
      </w:r>
    </w:p>
    <w:p w14:paraId="34C447E6" w14:textId="77777777" w:rsidR="00EE4F8C" w:rsidRDefault="00EE4F8C" w:rsidP="00EE4F8C">
      <w:pPr>
        <w:pStyle w:val="Bullet1"/>
      </w:pPr>
      <w:r>
        <w:t xml:space="preserve">Education providers should look to forge stronger connections between international students and local communities. </w:t>
      </w:r>
    </w:p>
    <w:p w14:paraId="69070EAE" w14:textId="77777777" w:rsidR="00EE4F8C" w:rsidRDefault="00EE4F8C" w:rsidP="00EE4F8C">
      <w:pPr>
        <w:pStyle w:val="Bullet1"/>
        <w:numPr>
          <w:ilvl w:val="0"/>
          <w:numId w:val="0"/>
        </w:numPr>
      </w:pPr>
      <w:r>
        <w:t xml:space="preserve">Each of these themes is discussed in greater detail below. </w:t>
      </w:r>
    </w:p>
    <w:p w14:paraId="4ECB1808" w14:textId="77777777" w:rsidR="00EE4F8C" w:rsidRDefault="00EE4F8C" w:rsidP="005678FF">
      <w:pPr>
        <w:pStyle w:val="BoldPara"/>
      </w:pPr>
      <w:r>
        <w:t>The sector’s messaging should focus on the social and cultural benefits of international education rather than its role as one of our largest exports</w:t>
      </w:r>
    </w:p>
    <w:p w14:paraId="6065B72E" w14:textId="77777777" w:rsidR="00EE4F8C" w:rsidRDefault="00EE4F8C" w:rsidP="00EE4F8C">
      <w:pPr>
        <w:pStyle w:val="BodyText"/>
      </w:pPr>
      <w:r>
        <w:t>The analysis in sections 7.1 to 7.4 highlighted the extent to which international education yielded a number of broader benefits to Australia beyond expenditure by students themselves. This was universally acknowledged by stakeholders and while a few stakeholders noted that not enough was being made of the fact that international education was Australia’s third largest export, the majority felt this was coming through and that there was a need for the sector’s messaging to focus on the social and cultural benefits of international education which were not coming across as clearly.</w:t>
      </w:r>
    </w:p>
    <w:p w14:paraId="39315C78" w14:textId="77777777" w:rsidR="00EE4F8C" w:rsidRDefault="00EE4F8C" w:rsidP="00EE4F8C">
      <w:pPr>
        <w:pStyle w:val="BodyText"/>
      </w:pPr>
      <w:r>
        <w:t xml:space="preserve">A number of stakeholders noted that linking international education to the $18.8 billion in exports risked treating international students as a commodity and that placing a dollar value on education would not play well in some Asian markets. In general, stakeholders took the view that the sector’s messaging should seek to demonstrate the social and cultural benefits to the community of higher education such as the value of having a more  international outlook and building greater cultural awareness to avoid the perception that international students were solely an export industry. It was felt that this would not only build community awareness of the sector but encourage greater interaction between the sector and the Australian community. </w:t>
      </w:r>
    </w:p>
    <w:p w14:paraId="35B52BA1" w14:textId="77777777" w:rsidR="00EE4F8C" w:rsidRDefault="00EE4F8C" w:rsidP="005678FF">
      <w:pPr>
        <w:pStyle w:val="BoldPara"/>
      </w:pPr>
      <w:r>
        <w:t>Information and media campaigns should seek to highlight the positive stories and achievements of former international students</w:t>
      </w:r>
      <w:r w:rsidDel="00EA44A7">
        <w:t xml:space="preserve"> </w:t>
      </w:r>
    </w:p>
    <w:p w14:paraId="025796A2" w14:textId="77777777" w:rsidR="00EE4F8C" w:rsidRDefault="00EE4F8C" w:rsidP="00EE4F8C">
      <w:pPr>
        <w:pStyle w:val="BodyText"/>
      </w:pPr>
      <w:r>
        <w:t xml:space="preserve">A large number of stakeholders noted that campaigns to raise community awareness of international education should focus on highlighting positive stories of former and current international students. Stakeholders felt that this would help the community better relate to the sector and its achievements. </w:t>
      </w:r>
    </w:p>
    <w:p w14:paraId="753A81D7" w14:textId="77777777" w:rsidR="00EE4F8C" w:rsidRDefault="00EE4F8C" w:rsidP="00EE4F8C">
      <w:pPr>
        <w:pStyle w:val="BodyText"/>
      </w:pPr>
      <w:r>
        <w:t xml:space="preserve">For example, one stakeholder noted that similar to recent media campaigns in relation to refugees, the government or educational providers could provide case studies of successful </w:t>
      </w:r>
      <w:r>
        <w:lastRenderedPageBreak/>
        <w:t xml:space="preserve">international students who had been involved in community activities or in starting up businesses employing local workers. Another stakeholder highlighted the You Tube clip ‘I’m not Australian, but I have an Australian story’ developed by the Council of International Students in Australia as an example of the type of media that could be used to raise community awareness of international students in Australia, noting that it also covered some of the challenges facing international students. </w:t>
      </w:r>
    </w:p>
    <w:p w14:paraId="60940FC4" w14:textId="77777777" w:rsidR="00EE4F8C" w:rsidRDefault="00EE4F8C" w:rsidP="00EE4F8C">
      <w:pPr>
        <w:pStyle w:val="BodyText"/>
      </w:pPr>
      <w:r>
        <w:t xml:space="preserve">A number of stakeholders also pointed to the prominence of former Colombo Plan alumni such as the President of Singapore and the fact that many Indonesian cabinet members had been educated in Australia to highlight the importance of alumni in promoting Australia to the world. There was also view that Australian institutions could do more to strategically engage with alumni who were generally the best advocates for Australia. </w:t>
      </w:r>
    </w:p>
    <w:p w14:paraId="2B2DA9F2" w14:textId="77777777" w:rsidR="00EE4F8C" w:rsidRDefault="00EE4F8C" w:rsidP="00EE4F8C">
      <w:pPr>
        <w:pStyle w:val="BodyText"/>
      </w:pPr>
      <w:r>
        <w:t xml:space="preserve">Other stakeholders pointed to the initiative undertaken by </w:t>
      </w:r>
      <w:proofErr w:type="spellStart"/>
      <w:r>
        <w:t>StudyNSW</w:t>
      </w:r>
      <w:proofErr w:type="spellEnd"/>
      <w:r>
        <w:t xml:space="preserve"> to provide annual international student awards to highlight particular international students who have contributed in a significant way to their local communities. </w:t>
      </w:r>
    </w:p>
    <w:p w14:paraId="11DD774B" w14:textId="77777777" w:rsidR="00EE4F8C" w:rsidRDefault="00EE4F8C" w:rsidP="005678FF">
      <w:pPr>
        <w:pStyle w:val="BoldPara"/>
      </w:pPr>
      <w:r>
        <w:t>Emphasising the deep international linkages that can arise from initiatives such as homestay for international students</w:t>
      </w:r>
    </w:p>
    <w:p w14:paraId="78362B92" w14:textId="77777777" w:rsidR="00EE4F8C" w:rsidRPr="00EA44A7" w:rsidRDefault="00EE4F8C" w:rsidP="00EE4F8C">
      <w:pPr>
        <w:pStyle w:val="BodyText"/>
      </w:pPr>
      <w:r>
        <w:t>A number of stakeholders representing the school sector noted the benefits of homestay in helping to forge deeper cultural connections between local communities and international students. They noted that media campaigns could also highlight the positive stories of home stay parents who often form a deep connection with students and their families, in some cases travelling to the student’s home country to attend their wedding and other family events.</w:t>
      </w:r>
    </w:p>
    <w:p w14:paraId="51326A23" w14:textId="77777777" w:rsidR="00EE4F8C" w:rsidRDefault="00EE4F8C" w:rsidP="005678FF">
      <w:pPr>
        <w:pStyle w:val="BoldPara"/>
      </w:pPr>
      <w:r>
        <w:t>Community awareness campaigns should promote the role of international students in creating a more diverse community</w:t>
      </w:r>
    </w:p>
    <w:p w14:paraId="161EA259" w14:textId="77777777" w:rsidR="00EE4F8C" w:rsidRDefault="00EE4F8C" w:rsidP="00EE4F8C">
      <w:pPr>
        <w:pStyle w:val="BodyText"/>
      </w:pPr>
      <w:r>
        <w:t xml:space="preserve">A number of stakeholders noted that more could be done to highlight to the community the value that international students played in creating a more diverse community. Stakeholders noted that community awareness could potentially be improved through initiatives such as holding an International Student Day and inviting local communities to events on university campuses. </w:t>
      </w:r>
    </w:p>
    <w:p w14:paraId="3046FDCF" w14:textId="77777777" w:rsidR="00EE4F8C" w:rsidRDefault="00EE4F8C" w:rsidP="00EE4F8C">
      <w:pPr>
        <w:pStyle w:val="BodyText"/>
      </w:pPr>
      <w:r>
        <w:t xml:space="preserve">Many stakeholders noted that the benefits of international education in terms of cultural diversity could be embedded or linked to existing government marketing campaigns focusing on related areas such as the benefits of multiculturalism to Australia. </w:t>
      </w:r>
    </w:p>
    <w:p w14:paraId="2E83C0FF" w14:textId="77777777" w:rsidR="00EE4F8C" w:rsidRDefault="00EE4F8C" w:rsidP="00EE4F8C">
      <w:pPr>
        <w:pStyle w:val="BodyText"/>
      </w:pPr>
      <w:r>
        <w:t xml:space="preserve">Stakeholders also pointed to the importance of involving international students in local events to highlight their contribution to the community. In Armidale, international students are involved in Harmony Day and the Autumn Festival while international students helped set up the popular Regional Indian Festival in Townsville. </w:t>
      </w:r>
    </w:p>
    <w:p w14:paraId="0F8FC577" w14:textId="77777777" w:rsidR="00EE4F8C" w:rsidRDefault="00EE4F8C" w:rsidP="005678FF">
      <w:pPr>
        <w:pStyle w:val="BoldPara"/>
      </w:pPr>
      <w:r>
        <w:t>Education providers should seek to forge closer connections between international students and local communities</w:t>
      </w:r>
    </w:p>
    <w:p w14:paraId="19971D01" w14:textId="77777777" w:rsidR="00EE4F8C" w:rsidRDefault="00EE4F8C" w:rsidP="00EE4F8C">
      <w:pPr>
        <w:pStyle w:val="BodyText"/>
      </w:pPr>
      <w:r>
        <w:t xml:space="preserve">A number of stakeholders noted the importance of forging closer connections between international students and local communities to lift community awareness of the sector. </w:t>
      </w:r>
      <w:r>
        <w:lastRenderedPageBreak/>
        <w:t xml:space="preserve">For example, stakeholders noted that there was a need for universities to continually try and increase interaction between domestic and international students (as many events were simply organised for international students), and also to hold events linking international students to unions, chambers of commerce or employer associations to highlight the potential to hire international students after graduation. </w:t>
      </w:r>
    </w:p>
    <w:p w14:paraId="554080BC" w14:textId="77777777" w:rsidR="00EE4F8C" w:rsidRDefault="00EE4F8C" w:rsidP="00EE4F8C">
      <w:pPr>
        <w:pStyle w:val="BodyText"/>
      </w:pPr>
      <w:r>
        <w:t xml:space="preserve">Some stakeholders noted that trying to maintain a diverse international student population (in terms of source countries) would help achieve a greater level of integration with the local community.  </w:t>
      </w:r>
    </w:p>
    <w:p w14:paraId="2697902E" w14:textId="77777777" w:rsidR="00EE4F8C" w:rsidRDefault="00EE4F8C" w:rsidP="00EE4F8C">
      <w:pPr>
        <w:pStyle w:val="BodyText"/>
      </w:pPr>
      <w:r>
        <w:t xml:space="preserve">Other stakeholders noted the success of sporting events at creating connections between international students and local communities such as membership arrangements with football clubs or beach soccer or cricket tournaments. Others noted the importance of informal connections such as homestay arrangements in both helping international students adjust to life in Australia but also lifting community awareness of the presence of international students in Australia. In particular, homestay was seen as playing an important role in providing exposure to other cultures for children in host families. </w:t>
      </w:r>
    </w:p>
    <w:p w14:paraId="0EA7265D" w14:textId="4F7E04D9" w:rsidR="00EE4F8C" w:rsidRDefault="00EE4F8C" w:rsidP="00EE4F8C">
      <w:pPr>
        <w:pStyle w:val="BodyText"/>
        <w:rPr>
          <w:lang w:eastAsia="en-AU"/>
        </w:rPr>
      </w:pPr>
      <w:r>
        <w:t xml:space="preserve">On the whole, stakeholders indicated that forging closer connections would benefit both the international student experience and local community awareness of the sector. </w:t>
      </w:r>
    </w:p>
    <w:p w14:paraId="3D777EF9" w14:textId="77777777" w:rsidR="00DC5205" w:rsidRDefault="00DC5205" w:rsidP="00DC5205">
      <w:pPr>
        <w:rPr>
          <w:lang w:eastAsia="en-AU"/>
        </w:rPr>
      </w:pPr>
      <w:r>
        <w:rPr>
          <w:lang w:eastAsia="en-AU"/>
        </w:rPr>
        <w:br w:type="page"/>
      </w:r>
    </w:p>
    <w:p w14:paraId="2C4EF159" w14:textId="77777777" w:rsidR="00797287" w:rsidRDefault="00797287" w:rsidP="00163EA3">
      <w:pPr>
        <w:pStyle w:val="MajorHeading"/>
        <w:outlineLvl w:val="0"/>
      </w:pPr>
      <w:bookmarkStart w:id="372" w:name="_Toc450809254"/>
      <w:r>
        <w:lastRenderedPageBreak/>
        <w:t>References</w:t>
      </w:r>
      <w:bookmarkEnd w:id="372"/>
    </w:p>
    <w:p w14:paraId="6B8DA378" w14:textId="0A722D56" w:rsidR="006F5CF3" w:rsidRDefault="006F5CF3" w:rsidP="006F5CF3">
      <w:pPr>
        <w:pStyle w:val="Reference"/>
      </w:pPr>
      <w:proofErr w:type="gramStart"/>
      <w:r>
        <w:t xml:space="preserve">Australian Broadcasting Corporation (ABC) (2015), ‘Armidale International Student Recognised for Helping Arabic Speaking Community’, </w:t>
      </w:r>
      <w:hyperlink r:id="rId50" w:history="1">
        <w:r w:rsidRPr="00D62CDA">
          <w:rPr>
            <w:rStyle w:val="Hyperlink"/>
          </w:rPr>
          <w:t>http://www.abc.net.au/local/audio/2015/09/23/4318339.htm</w:t>
        </w:r>
      </w:hyperlink>
      <w:r>
        <w:t>.</w:t>
      </w:r>
      <w:proofErr w:type="gramEnd"/>
    </w:p>
    <w:p w14:paraId="33C51F04" w14:textId="77777777" w:rsidR="006F5CF3" w:rsidRDefault="006F5CF3" w:rsidP="006F5CF3">
      <w:pPr>
        <w:pStyle w:val="Reference"/>
        <w:rPr>
          <w:shd w:val="clear" w:color="auto" w:fill="FFFFFF"/>
        </w:rPr>
      </w:pPr>
      <w:proofErr w:type="gramStart"/>
      <w:r>
        <w:t>Australian Bureau of Statistics (2004), ‘</w:t>
      </w:r>
      <w:r>
        <w:rPr>
          <w:shd w:val="clear" w:color="auto" w:fill="FFFFFF"/>
        </w:rPr>
        <w:t>Australian Outward Foreign Affiliates Trade, 2002-03’, Cat.</w:t>
      </w:r>
      <w:proofErr w:type="gramEnd"/>
      <w:r>
        <w:rPr>
          <w:shd w:val="clear" w:color="auto" w:fill="FFFFFF"/>
        </w:rPr>
        <w:t xml:space="preserve"> </w:t>
      </w:r>
      <w:proofErr w:type="gramStart"/>
      <w:r>
        <w:rPr>
          <w:shd w:val="clear" w:color="auto" w:fill="FFFFFF"/>
        </w:rPr>
        <w:t>No. 5495.0.</w:t>
      </w:r>
      <w:proofErr w:type="gramEnd"/>
      <w:r>
        <w:rPr>
          <w:shd w:val="clear" w:color="auto" w:fill="FFFFFF"/>
        </w:rPr>
        <w:t xml:space="preserve"> </w:t>
      </w:r>
    </w:p>
    <w:p w14:paraId="2C43B000" w14:textId="77777777" w:rsidR="006F5CF3" w:rsidRDefault="006F5CF3" w:rsidP="006F5CF3">
      <w:pPr>
        <w:pStyle w:val="Reference"/>
        <w:rPr>
          <w:shd w:val="clear" w:color="auto" w:fill="FFFFFF"/>
        </w:rPr>
      </w:pPr>
      <w:r>
        <w:rPr>
          <w:shd w:val="clear" w:color="auto" w:fill="FFFFFF"/>
        </w:rPr>
        <w:tab/>
        <w:t>- (2013), ‘Australian National Accounts: Tourism Satellite Account, 2011-12’, Cat No. 5249.0.</w:t>
      </w:r>
    </w:p>
    <w:p w14:paraId="3BC3B7C8" w14:textId="77777777" w:rsidR="006F5CF3" w:rsidRDefault="006F5CF3" w:rsidP="006F5CF3">
      <w:pPr>
        <w:pStyle w:val="Reference"/>
        <w:ind w:firstLine="0"/>
        <w:rPr>
          <w:shd w:val="clear" w:color="auto" w:fill="FFFFFF"/>
        </w:rPr>
      </w:pPr>
      <w:r>
        <w:rPr>
          <w:shd w:val="clear" w:color="auto" w:fill="FFFFFF"/>
        </w:rPr>
        <w:t>- (2014), ‘Australian National Accounts: Tourism Satellite Account, 2013-14’, Cat No. 5249.0.</w:t>
      </w:r>
    </w:p>
    <w:p w14:paraId="5E6E4DF1" w14:textId="77777777" w:rsidR="006F5CF3" w:rsidRDefault="006F5CF3" w:rsidP="006F5CF3">
      <w:pPr>
        <w:pStyle w:val="Reference"/>
        <w:ind w:firstLine="0"/>
        <w:rPr>
          <w:shd w:val="clear" w:color="auto" w:fill="FFFFFF"/>
        </w:rPr>
      </w:pPr>
      <w:r>
        <w:rPr>
          <w:shd w:val="clear" w:color="auto" w:fill="FFFFFF"/>
        </w:rPr>
        <w:t>- (</w:t>
      </w:r>
      <w:proofErr w:type="spellStart"/>
      <w:r>
        <w:rPr>
          <w:shd w:val="clear" w:color="auto" w:fill="FFFFFF"/>
        </w:rPr>
        <w:t>2015a</w:t>
      </w:r>
      <w:proofErr w:type="spellEnd"/>
      <w:r>
        <w:rPr>
          <w:shd w:val="clear" w:color="auto" w:fill="FFFFFF"/>
        </w:rPr>
        <w:t xml:space="preserve">), ‘International Trade in Goods and Services’, Cat. </w:t>
      </w:r>
      <w:proofErr w:type="gramStart"/>
      <w:r>
        <w:rPr>
          <w:shd w:val="clear" w:color="auto" w:fill="FFFFFF"/>
        </w:rPr>
        <w:t>No. 5368.0.</w:t>
      </w:r>
      <w:proofErr w:type="gramEnd"/>
    </w:p>
    <w:p w14:paraId="48B11208" w14:textId="77777777" w:rsidR="006F5CF3" w:rsidRDefault="006F5CF3" w:rsidP="006F5CF3">
      <w:pPr>
        <w:pStyle w:val="Reference"/>
      </w:pPr>
      <w:r>
        <w:rPr>
          <w:shd w:val="clear" w:color="auto" w:fill="FFFFFF"/>
        </w:rPr>
        <w:tab/>
        <w:t>- (</w:t>
      </w:r>
      <w:proofErr w:type="spellStart"/>
      <w:r>
        <w:rPr>
          <w:shd w:val="clear" w:color="auto" w:fill="FFFFFF"/>
        </w:rPr>
        <w:t>2015b</w:t>
      </w:r>
      <w:proofErr w:type="spellEnd"/>
      <w:r>
        <w:rPr>
          <w:shd w:val="clear" w:color="auto" w:fill="FFFFFF"/>
        </w:rPr>
        <w:t xml:space="preserve">), </w:t>
      </w:r>
      <w:r>
        <w:t>‘Australian National Accounts: Input-Output Tables, 2012-13’, Cat No. 5209.0.55.001.</w:t>
      </w:r>
    </w:p>
    <w:p w14:paraId="4C0DA3EF" w14:textId="77777777" w:rsidR="00783B4D" w:rsidRDefault="00783B4D" w:rsidP="00783B4D">
      <w:pPr>
        <w:pStyle w:val="Reference"/>
        <w:ind w:firstLine="0"/>
        <w:rPr>
          <w:shd w:val="clear" w:color="auto" w:fill="FFFFFF"/>
        </w:rPr>
      </w:pPr>
      <w:proofErr w:type="gramStart"/>
      <w:r>
        <w:t>-(</w:t>
      </w:r>
      <w:proofErr w:type="spellStart"/>
      <w:proofErr w:type="gramEnd"/>
      <w:r>
        <w:t>2015c</w:t>
      </w:r>
      <w:proofErr w:type="spellEnd"/>
      <w:r>
        <w:t>), ‘Australian National Accounts: National Income, Expenditure and Product’, Cat. No. 5206.0</w:t>
      </w:r>
    </w:p>
    <w:p w14:paraId="4256D84C" w14:textId="5941F7E2" w:rsidR="006F5CF3" w:rsidRPr="00055DCA" w:rsidRDefault="006F5CF3" w:rsidP="006F5CF3">
      <w:pPr>
        <w:pStyle w:val="Reference"/>
      </w:pPr>
      <w:r w:rsidRPr="008E0F8B">
        <w:t>Australian</w:t>
      </w:r>
      <w:r>
        <w:t xml:space="preserve"> Education International (AEI)</w:t>
      </w:r>
      <w:r w:rsidR="009C0383">
        <w:t xml:space="preserve"> </w:t>
      </w:r>
      <w:r>
        <w:t>(2012), ‘</w:t>
      </w:r>
      <w:r w:rsidRPr="008E0F8B">
        <w:t>Research Snapshot: Transnational Education in the Public and Private VET Sector</w:t>
      </w:r>
      <w:r>
        <w:t>’</w:t>
      </w:r>
      <w:r w:rsidRPr="008E0F8B">
        <w:t>.</w:t>
      </w:r>
    </w:p>
    <w:p w14:paraId="18B4B899" w14:textId="52CF896B" w:rsidR="006F5CF3" w:rsidRDefault="006F5CF3" w:rsidP="006F5CF3">
      <w:pPr>
        <w:pStyle w:val="Reference"/>
      </w:pPr>
      <w:r>
        <w:t>Australian T</w:t>
      </w:r>
      <w:r w:rsidR="003D689E">
        <w:t>rade Commission (Austrade) (201</w:t>
      </w:r>
      <w:r w:rsidR="009C0383">
        <w:t>4</w:t>
      </w:r>
      <w:r>
        <w:t xml:space="preserve">), ‘Student Visa Holders Who Last Held a Visitor or </w:t>
      </w:r>
      <w:proofErr w:type="spellStart"/>
      <w:r>
        <w:t>WHM</w:t>
      </w:r>
      <w:proofErr w:type="spellEnd"/>
      <w:r>
        <w:t xml:space="preserve"> Visa: 2013-14 Student Visa Grant Data’.</w:t>
      </w:r>
    </w:p>
    <w:p w14:paraId="681A8904" w14:textId="77777777" w:rsidR="006F5CF3" w:rsidRDefault="006F5CF3" w:rsidP="006F5CF3">
      <w:pPr>
        <w:pStyle w:val="Reference"/>
      </w:pPr>
      <w:r>
        <w:t xml:space="preserve">British Council (2012), </w:t>
      </w:r>
      <w:proofErr w:type="gramStart"/>
      <w:r>
        <w:t>The</w:t>
      </w:r>
      <w:proofErr w:type="gramEnd"/>
      <w:r>
        <w:t xml:space="preserve"> Shape of Things to Come: Higher Education Global Trends and Emerging Opportunities to 2020, Global Edition.</w:t>
      </w:r>
    </w:p>
    <w:p w14:paraId="5D074A93" w14:textId="77777777" w:rsidR="006F5CF3" w:rsidRDefault="009C0383" w:rsidP="006F5CF3">
      <w:pPr>
        <w:pStyle w:val="Reference"/>
      </w:pPr>
      <w:proofErr w:type="spellStart"/>
      <w:proofErr w:type="gramStart"/>
      <w:r>
        <w:t>Bryne</w:t>
      </w:r>
      <w:proofErr w:type="spellEnd"/>
      <w:r>
        <w:t>, C. and Hall, R. (2014</w:t>
      </w:r>
      <w:r w:rsidR="006F5CF3">
        <w:t xml:space="preserve">), ‘International education as public Diplomacy’, </w:t>
      </w:r>
      <w:proofErr w:type="spellStart"/>
      <w:r w:rsidR="006F5CF3">
        <w:t>IEAA</w:t>
      </w:r>
      <w:proofErr w:type="spellEnd"/>
      <w:r w:rsidR="006F5CF3">
        <w:t xml:space="preserve"> Research Digest 3.</w:t>
      </w:r>
      <w:proofErr w:type="gramEnd"/>
    </w:p>
    <w:p w14:paraId="7BC4C75C" w14:textId="77777777" w:rsidR="009C0383" w:rsidRDefault="009C0383" w:rsidP="009C0383">
      <w:pPr>
        <w:pStyle w:val="Reference"/>
      </w:pPr>
      <w:r>
        <w:tab/>
        <w:t xml:space="preserve">- (2013), ‘Realising Australia’s International Education as Public Diplomacy, </w:t>
      </w:r>
      <w:r>
        <w:rPr>
          <w:i/>
        </w:rPr>
        <w:t xml:space="preserve">The Australian Journal of International Affairs, </w:t>
      </w:r>
      <w:r>
        <w:t xml:space="preserve">64(4): 419-438. </w:t>
      </w:r>
    </w:p>
    <w:p w14:paraId="47210C15" w14:textId="77777777" w:rsidR="000007D3" w:rsidRPr="009C0383" w:rsidRDefault="000007D3" w:rsidP="000007D3">
      <w:pPr>
        <w:autoSpaceDE w:val="0"/>
        <w:autoSpaceDN w:val="0"/>
      </w:pPr>
      <w:r>
        <w:t xml:space="preserve">Castles S. and Miller, </w:t>
      </w:r>
      <w:proofErr w:type="spellStart"/>
      <w:r>
        <w:t>M.J</w:t>
      </w:r>
      <w:proofErr w:type="spellEnd"/>
      <w:r>
        <w:t xml:space="preserve">. (2009), </w:t>
      </w:r>
      <w:proofErr w:type="gramStart"/>
      <w:r>
        <w:rPr>
          <w:i/>
          <w:iCs/>
        </w:rPr>
        <w:t>The</w:t>
      </w:r>
      <w:proofErr w:type="gramEnd"/>
      <w:r>
        <w:rPr>
          <w:i/>
          <w:iCs/>
        </w:rPr>
        <w:t xml:space="preserve"> Age of Migration: International Population Movements in the Modern World, </w:t>
      </w:r>
      <w:r>
        <w:t>Basingstoke: Palgrave MacMillan.</w:t>
      </w:r>
    </w:p>
    <w:p w14:paraId="59D95E9D" w14:textId="77777777" w:rsidR="006F5CF3" w:rsidRDefault="006F5CF3" w:rsidP="006F5CF3">
      <w:pPr>
        <w:pStyle w:val="Reference"/>
      </w:pPr>
      <w:r>
        <w:t xml:space="preserve">Chan, G., Heaton, C. and </w:t>
      </w:r>
      <w:proofErr w:type="spellStart"/>
      <w:r>
        <w:t>Tani</w:t>
      </w:r>
      <w:proofErr w:type="spellEnd"/>
      <w:r>
        <w:t>, M. (2012), ‘</w:t>
      </w:r>
      <w:proofErr w:type="gramStart"/>
      <w:r>
        <w:t>The</w:t>
      </w:r>
      <w:proofErr w:type="gramEnd"/>
      <w:r>
        <w:t xml:space="preserve"> Wage Premium of Foreign Education: New Evidence from Australia’, </w:t>
      </w:r>
      <w:proofErr w:type="spellStart"/>
      <w:r>
        <w:t>IZA</w:t>
      </w:r>
      <w:proofErr w:type="spellEnd"/>
      <w:r>
        <w:t xml:space="preserve"> Discussion Paper No. 6578. </w:t>
      </w:r>
    </w:p>
    <w:p w14:paraId="030F96D7" w14:textId="77777777" w:rsidR="006F5CF3" w:rsidRDefault="006F5CF3" w:rsidP="006F5CF3">
      <w:pPr>
        <w:pStyle w:val="Reference"/>
      </w:pPr>
      <w:r>
        <w:t>City of Melbourne (2012), ‘Knowledge Melbourne: International Student Strategy Discussion Paper’.</w:t>
      </w:r>
    </w:p>
    <w:p w14:paraId="081A5581" w14:textId="77777777" w:rsidR="006F5CF3" w:rsidRPr="00B44328" w:rsidRDefault="006F5CF3" w:rsidP="006F5CF3">
      <w:pPr>
        <w:pStyle w:val="Reference"/>
      </w:pPr>
      <w:r w:rsidRPr="00B44328">
        <w:t xml:space="preserve">Cully, Mark (2012), </w:t>
      </w:r>
      <w:r w:rsidR="002577BE">
        <w:t>‘</w:t>
      </w:r>
      <w:r w:rsidRPr="00B44328">
        <w:t>More than Additions to Population: The Economic and Fiscal Impact of Immigration</w:t>
      </w:r>
      <w:r w:rsidR="002577BE">
        <w:t>’</w:t>
      </w:r>
      <w:r w:rsidRPr="00B44328">
        <w:t>, Australian Economic Review, 45(3), 344-9.</w:t>
      </w:r>
    </w:p>
    <w:p w14:paraId="754EED76" w14:textId="63A00021" w:rsidR="006F5CF3" w:rsidRPr="00F50931" w:rsidRDefault="006F5CF3" w:rsidP="006F5CF3">
      <w:pPr>
        <w:pStyle w:val="Reference"/>
      </w:pPr>
      <w:r>
        <w:lastRenderedPageBreak/>
        <w:t>Davidson, M., Wilkins, H., King, B., Hobson, P. Craig-Smith, S. and Gardiner, S. (2010),</w:t>
      </w:r>
      <w:r w:rsidR="009C0383">
        <w:t xml:space="preserve"> ‘</w:t>
      </w:r>
      <w:r>
        <w:t xml:space="preserve">International Education Visitation – Tourism Opportunities’, CRC for Sustainable Tourism Pty. Ltd. </w:t>
      </w:r>
    </w:p>
    <w:p w14:paraId="6FF8B028" w14:textId="77777777" w:rsidR="006F5CF3" w:rsidRDefault="006F5CF3" w:rsidP="006F5CF3">
      <w:pPr>
        <w:pStyle w:val="Reference"/>
      </w:pPr>
      <w:r>
        <w:t>Davis, D. and Mackintosh B. (Ed) (2011), Making a Difference: Australian International Education, Sydney: UNSW Press.</w:t>
      </w:r>
    </w:p>
    <w:p w14:paraId="328AD974" w14:textId="77777777" w:rsidR="006F5CF3" w:rsidRDefault="006F5CF3" w:rsidP="006F5CF3">
      <w:pPr>
        <w:pStyle w:val="Reference"/>
      </w:pPr>
      <w:r w:rsidRPr="00B44328">
        <w:t>Deloitte Access Economics (</w:t>
      </w:r>
      <w:proofErr w:type="spellStart"/>
      <w:r w:rsidRPr="00B44328">
        <w:t>2015</w:t>
      </w:r>
      <w:r>
        <w:t>a</w:t>
      </w:r>
      <w:proofErr w:type="spellEnd"/>
      <w:r w:rsidRPr="00B44328">
        <w:t>)</w:t>
      </w:r>
      <w:r>
        <w:t>,</w:t>
      </w:r>
      <w:r w:rsidRPr="00B44328">
        <w:t xml:space="preserve"> </w:t>
      </w:r>
      <w:r>
        <w:t>‘T</w:t>
      </w:r>
      <w:r w:rsidRPr="00B44328">
        <w:t>he importance of universities to Australia’s prosperity</w:t>
      </w:r>
      <w:r>
        <w:t>’</w:t>
      </w:r>
      <w:r w:rsidRPr="00B44328">
        <w:t>, report prepared for Universities Australia.</w:t>
      </w:r>
    </w:p>
    <w:p w14:paraId="13C518C6" w14:textId="77777777" w:rsidR="006F5CF3" w:rsidRDefault="006F5CF3" w:rsidP="006F5CF3">
      <w:pPr>
        <w:pStyle w:val="Reference"/>
        <w:ind w:firstLine="0"/>
      </w:pPr>
      <w:r>
        <w:t>- (</w:t>
      </w:r>
      <w:proofErr w:type="spellStart"/>
      <w:r>
        <w:t>2015b</w:t>
      </w:r>
      <w:proofErr w:type="spellEnd"/>
      <w:r>
        <w:t>), ‘The Economic Contributions of Australia’s Research Universities – the UNSW Example’, report prepared for the University of New South Wales, Australia.</w:t>
      </w:r>
    </w:p>
    <w:p w14:paraId="0B543169" w14:textId="0C31E083" w:rsidR="006F5CF3" w:rsidRDefault="006F5CF3" w:rsidP="006F5CF3">
      <w:pPr>
        <w:pStyle w:val="Reference"/>
        <w:rPr>
          <w:shd w:val="clear" w:color="auto" w:fill="FFFFFF"/>
        </w:rPr>
      </w:pPr>
      <w:r w:rsidRPr="009A5C22">
        <w:t>Department of Education and Training (</w:t>
      </w:r>
      <w:proofErr w:type="spellStart"/>
      <w:r w:rsidRPr="009A5C22">
        <w:t>DET</w:t>
      </w:r>
      <w:proofErr w:type="spellEnd"/>
      <w:r w:rsidRPr="009A5C22">
        <w:t>)</w:t>
      </w:r>
      <w:r>
        <w:t xml:space="preserve"> </w:t>
      </w:r>
      <w:r>
        <w:rPr>
          <w:shd w:val="clear" w:color="auto" w:fill="FFFFFF"/>
        </w:rPr>
        <w:t>(</w:t>
      </w:r>
      <w:proofErr w:type="spellStart"/>
      <w:r>
        <w:rPr>
          <w:shd w:val="clear" w:color="auto" w:fill="FFFFFF"/>
        </w:rPr>
        <w:t>2015a</w:t>
      </w:r>
      <w:proofErr w:type="spellEnd"/>
      <w:r>
        <w:rPr>
          <w:shd w:val="clear" w:color="auto" w:fill="FFFFFF"/>
        </w:rPr>
        <w:t>), ‘International Student Data 2014, Pivot Table</w:t>
      </w:r>
      <w:r w:rsidR="0003092F">
        <w:rPr>
          <w:shd w:val="clear" w:color="auto" w:fill="FFFFFF"/>
        </w:rPr>
        <w:t>’</w:t>
      </w:r>
      <w:r>
        <w:rPr>
          <w:shd w:val="clear" w:color="auto" w:fill="FFFFFF"/>
        </w:rPr>
        <w:t>.</w:t>
      </w:r>
    </w:p>
    <w:p w14:paraId="37F83594" w14:textId="77777777" w:rsidR="006F5CF3" w:rsidRDefault="006F5CF3" w:rsidP="006F5CF3">
      <w:pPr>
        <w:pStyle w:val="Reference"/>
        <w:ind w:firstLine="0"/>
        <w:rPr>
          <w:shd w:val="clear" w:color="auto" w:fill="FFFFFF"/>
        </w:rPr>
      </w:pPr>
      <w:r>
        <w:rPr>
          <w:shd w:val="clear" w:color="auto" w:fill="FFFFFF"/>
        </w:rPr>
        <w:t>- (</w:t>
      </w:r>
      <w:proofErr w:type="spellStart"/>
      <w:r>
        <w:rPr>
          <w:shd w:val="clear" w:color="auto" w:fill="FFFFFF"/>
        </w:rPr>
        <w:t>2015b</w:t>
      </w:r>
      <w:proofErr w:type="spellEnd"/>
      <w:r>
        <w:rPr>
          <w:shd w:val="clear" w:color="auto" w:fill="FFFFFF"/>
        </w:rPr>
        <w:t>), ‘Research Snapshot: Study Pathways of International Students in Australia, 2013-14’.</w:t>
      </w:r>
    </w:p>
    <w:p w14:paraId="482C3D97" w14:textId="77777777" w:rsidR="006F5CF3" w:rsidRDefault="006F5CF3" w:rsidP="006F5CF3">
      <w:pPr>
        <w:pStyle w:val="Reference"/>
        <w:ind w:firstLine="0"/>
        <w:rPr>
          <w:shd w:val="clear" w:color="auto" w:fill="FFFFFF"/>
        </w:rPr>
      </w:pPr>
      <w:r>
        <w:rPr>
          <w:shd w:val="clear" w:color="auto" w:fill="FFFFFF"/>
        </w:rPr>
        <w:t>- (</w:t>
      </w:r>
      <w:proofErr w:type="spellStart"/>
      <w:r>
        <w:rPr>
          <w:shd w:val="clear" w:color="auto" w:fill="FFFFFF"/>
        </w:rPr>
        <w:t>2015c</w:t>
      </w:r>
      <w:proofErr w:type="spellEnd"/>
      <w:r>
        <w:rPr>
          <w:shd w:val="clear" w:color="auto" w:fill="FFFFFF"/>
        </w:rPr>
        <w:t xml:space="preserve">), ‘Finance 2014: Financial Reports of Higher Education Providers’. </w:t>
      </w:r>
    </w:p>
    <w:p w14:paraId="6443A6FD" w14:textId="77777777" w:rsidR="006F5CF3" w:rsidRDefault="006F5CF3" w:rsidP="006F5CF3">
      <w:pPr>
        <w:pStyle w:val="Reference"/>
        <w:ind w:firstLine="0"/>
        <w:rPr>
          <w:shd w:val="clear" w:color="auto" w:fill="FFFFFF"/>
        </w:rPr>
      </w:pPr>
      <w:proofErr w:type="gramStart"/>
      <w:r>
        <w:rPr>
          <w:shd w:val="clear" w:color="auto" w:fill="FFFFFF"/>
        </w:rPr>
        <w:t>- (</w:t>
      </w:r>
      <w:proofErr w:type="spellStart"/>
      <w:r>
        <w:rPr>
          <w:shd w:val="clear" w:color="auto" w:fill="FFFFFF"/>
        </w:rPr>
        <w:t>2015d</w:t>
      </w:r>
      <w:proofErr w:type="spellEnd"/>
      <w:r>
        <w:rPr>
          <w:shd w:val="clear" w:color="auto" w:fill="FFFFFF"/>
        </w:rPr>
        <w:t>), ‘Selected Higher Education Statistics – 2014 Student Data’.</w:t>
      </w:r>
      <w:proofErr w:type="gramEnd"/>
    </w:p>
    <w:p w14:paraId="126A2FA6" w14:textId="77777777" w:rsidR="006F5CF3" w:rsidRDefault="006F5CF3" w:rsidP="006F5CF3">
      <w:pPr>
        <w:pStyle w:val="Reference"/>
        <w:ind w:firstLine="0"/>
        <w:rPr>
          <w:lang w:eastAsia="en-AU"/>
        </w:rPr>
      </w:pPr>
      <w:r>
        <w:rPr>
          <w:shd w:val="clear" w:color="auto" w:fill="FFFFFF"/>
        </w:rPr>
        <w:t>- (</w:t>
      </w:r>
      <w:proofErr w:type="spellStart"/>
      <w:r>
        <w:rPr>
          <w:shd w:val="clear" w:color="auto" w:fill="FFFFFF"/>
        </w:rPr>
        <w:t>2015e</w:t>
      </w:r>
      <w:proofErr w:type="spellEnd"/>
      <w:r>
        <w:rPr>
          <w:shd w:val="clear" w:color="auto" w:fill="FFFFFF"/>
        </w:rPr>
        <w:t>), ‘</w:t>
      </w:r>
      <w:r>
        <w:rPr>
          <w:lang w:eastAsia="en-AU"/>
        </w:rPr>
        <w:t>Research Snapshot: Transnational Education in the Higher Education Sector’.</w:t>
      </w:r>
    </w:p>
    <w:p w14:paraId="0EB2B0D3" w14:textId="77777777" w:rsidR="006F5CF3" w:rsidRDefault="006F5CF3" w:rsidP="006F5CF3">
      <w:pPr>
        <w:pStyle w:val="Reference"/>
        <w:ind w:firstLine="0"/>
      </w:pPr>
      <w:r>
        <w:rPr>
          <w:lang w:eastAsia="en-AU"/>
        </w:rPr>
        <w:t>- (</w:t>
      </w:r>
      <w:proofErr w:type="spellStart"/>
      <w:r>
        <w:rPr>
          <w:lang w:eastAsia="en-AU"/>
        </w:rPr>
        <w:t>2015f</w:t>
      </w:r>
      <w:proofErr w:type="spellEnd"/>
      <w:r>
        <w:rPr>
          <w:lang w:eastAsia="en-AU"/>
        </w:rPr>
        <w:t>), ‘</w:t>
      </w:r>
      <w:r>
        <w:t>Research Snapshot: International Students in Australia up to 2014.’</w:t>
      </w:r>
    </w:p>
    <w:p w14:paraId="783646FF" w14:textId="707EB1FE" w:rsidR="006F5CF3" w:rsidRPr="009D03FE" w:rsidRDefault="006F5CF3" w:rsidP="006F5CF3">
      <w:pPr>
        <w:pStyle w:val="Reference"/>
        <w:ind w:firstLine="0"/>
      </w:pPr>
      <w:r>
        <w:rPr>
          <w:lang w:eastAsia="en-AU"/>
        </w:rPr>
        <w:t>-</w:t>
      </w:r>
      <w:r w:rsidR="000007D3">
        <w:rPr>
          <w:lang w:eastAsia="en-AU"/>
        </w:rPr>
        <w:t xml:space="preserve"> </w:t>
      </w:r>
      <w:r>
        <w:rPr>
          <w:lang w:eastAsia="en-AU"/>
        </w:rPr>
        <w:t>(</w:t>
      </w:r>
      <w:proofErr w:type="spellStart"/>
      <w:r>
        <w:rPr>
          <w:lang w:eastAsia="en-AU"/>
        </w:rPr>
        <w:t>2014</w:t>
      </w:r>
      <w:r w:rsidR="000007D3">
        <w:rPr>
          <w:lang w:eastAsia="en-AU"/>
        </w:rPr>
        <w:t>a</w:t>
      </w:r>
      <w:proofErr w:type="spellEnd"/>
      <w:r>
        <w:rPr>
          <w:lang w:eastAsia="en-AU"/>
        </w:rPr>
        <w:t>), ‘</w:t>
      </w:r>
      <w:r w:rsidRPr="005E4A2B">
        <w:t>Delivery of VET offshore by public providers 2013</w:t>
      </w:r>
      <w:r>
        <w:t>’</w:t>
      </w:r>
      <w:r>
        <w:rPr>
          <w:i/>
        </w:rPr>
        <w:t xml:space="preserve">, </w:t>
      </w:r>
      <w:r>
        <w:t>National</w:t>
      </w:r>
      <w:r>
        <w:rPr>
          <w:i/>
        </w:rPr>
        <w:t xml:space="preserve"> </w:t>
      </w:r>
      <w:r>
        <w:t>Centre for Vocational Education Research report for the Department of Education and Training, 2014.</w:t>
      </w:r>
    </w:p>
    <w:p w14:paraId="554E9541" w14:textId="77777777" w:rsidR="000007D3" w:rsidRDefault="000007D3" w:rsidP="006F5CF3">
      <w:pPr>
        <w:pStyle w:val="Reference"/>
        <w:ind w:firstLine="0"/>
        <w:rPr>
          <w:shd w:val="clear" w:color="auto" w:fill="FFFFFF"/>
        </w:rPr>
      </w:pPr>
      <w:r>
        <w:t>- (</w:t>
      </w:r>
      <w:proofErr w:type="spellStart"/>
      <w:r>
        <w:t>2015b</w:t>
      </w:r>
      <w:proofErr w:type="spellEnd"/>
      <w:r>
        <w:t>), ‘2014 sample stocktake of international student accommodation in Australia’.</w:t>
      </w:r>
    </w:p>
    <w:p w14:paraId="42C0B8C1" w14:textId="477F4426" w:rsidR="006F5CF3" w:rsidRDefault="006F5CF3" w:rsidP="006F5CF3">
      <w:pPr>
        <w:pStyle w:val="Reference"/>
      </w:pPr>
      <w:proofErr w:type="gramStart"/>
      <w:r>
        <w:t>Department of Immigration and Border Protection (</w:t>
      </w:r>
      <w:proofErr w:type="spellStart"/>
      <w:r>
        <w:t>DIBP</w:t>
      </w:r>
      <w:proofErr w:type="spellEnd"/>
      <w:r>
        <w:t xml:space="preserve">) (2015), ‘Regional Australia/Low Population Growth Metropolitan Areas’, </w:t>
      </w:r>
      <w:hyperlink r:id="rId51" w:history="1">
        <w:r w:rsidRPr="00D62CDA">
          <w:rPr>
            <w:rStyle w:val="Hyperlink"/>
          </w:rPr>
          <w:t>https://www.border.gov.au/Trav/Work/Work/Allocation-dates-for-General-Skilled-Migration-applications/regional-growth</w:t>
        </w:r>
      </w:hyperlink>
      <w:r>
        <w:t>.</w:t>
      </w:r>
      <w:proofErr w:type="gramEnd"/>
    </w:p>
    <w:p w14:paraId="767C8B4B" w14:textId="77777777" w:rsidR="006F5CF3" w:rsidRDefault="006F5CF3" w:rsidP="006F5CF3">
      <w:pPr>
        <w:pStyle w:val="Reference"/>
      </w:pPr>
      <w:r>
        <w:t xml:space="preserve">English Australia (2012), ‘Maximising the </w:t>
      </w:r>
      <w:proofErr w:type="spellStart"/>
      <w:r>
        <w:t>ELICOS</w:t>
      </w:r>
      <w:proofErr w:type="spellEnd"/>
      <w:r>
        <w:t xml:space="preserve"> Student Experience’.</w:t>
      </w:r>
    </w:p>
    <w:p w14:paraId="22F8AB84" w14:textId="77777777" w:rsidR="006F5CF3" w:rsidRDefault="006F5CF3" w:rsidP="006F5CF3">
      <w:pPr>
        <w:pStyle w:val="Reference"/>
      </w:pPr>
      <w:r>
        <w:tab/>
      </w:r>
      <w:proofErr w:type="gramStart"/>
      <w:r>
        <w:t xml:space="preserve">- (2015), ‘Survey of Major </w:t>
      </w:r>
      <w:proofErr w:type="spellStart"/>
      <w:r>
        <w:t>ELICOS</w:t>
      </w:r>
      <w:proofErr w:type="spellEnd"/>
      <w:r>
        <w:t xml:space="preserve"> Regional Markets in 2014’.</w:t>
      </w:r>
      <w:proofErr w:type="gramEnd"/>
    </w:p>
    <w:p w14:paraId="38D8B6C1" w14:textId="77777777" w:rsidR="006F5CF3" w:rsidRDefault="006F5CF3" w:rsidP="006F5CF3">
      <w:pPr>
        <w:pStyle w:val="Reference"/>
      </w:pPr>
      <w:proofErr w:type="spellStart"/>
      <w:r>
        <w:t>Genc</w:t>
      </w:r>
      <w:proofErr w:type="spellEnd"/>
      <w:r>
        <w:t xml:space="preserve">, M., </w:t>
      </w:r>
      <w:proofErr w:type="spellStart"/>
      <w:r>
        <w:t>Gheasi</w:t>
      </w:r>
      <w:proofErr w:type="spellEnd"/>
      <w:r>
        <w:t xml:space="preserve">, M., </w:t>
      </w:r>
      <w:proofErr w:type="spellStart"/>
      <w:r>
        <w:t>Nijkamp</w:t>
      </w:r>
      <w:proofErr w:type="spellEnd"/>
      <w:r>
        <w:t xml:space="preserve">, P. and </w:t>
      </w:r>
      <w:proofErr w:type="spellStart"/>
      <w:r>
        <w:t>Poot</w:t>
      </w:r>
      <w:proofErr w:type="spellEnd"/>
      <w:r>
        <w:t>, J. (2011), ‘</w:t>
      </w:r>
      <w:proofErr w:type="gramStart"/>
      <w:r>
        <w:t>The</w:t>
      </w:r>
      <w:proofErr w:type="gramEnd"/>
      <w:r>
        <w:t xml:space="preserve"> Impact of Immigration on International Trade: A Meta-Analysis’, </w:t>
      </w:r>
      <w:proofErr w:type="spellStart"/>
      <w:r>
        <w:t>IZA</w:t>
      </w:r>
      <w:proofErr w:type="spellEnd"/>
      <w:r>
        <w:t xml:space="preserve"> Discussion Paper No. 6145. </w:t>
      </w:r>
    </w:p>
    <w:p w14:paraId="6CE7CEBF" w14:textId="77777777" w:rsidR="006F5CF3" w:rsidRDefault="006F5CF3" w:rsidP="006F5CF3">
      <w:pPr>
        <w:pStyle w:val="Reference"/>
      </w:pPr>
      <w:proofErr w:type="gramStart"/>
      <w:r>
        <w:t>Greenhill Research and Planning (2013), ‘ACT International Student Research’.</w:t>
      </w:r>
      <w:proofErr w:type="gramEnd"/>
    </w:p>
    <w:p w14:paraId="13F35DEA" w14:textId="77777777" w:rsidR="006F5CF3" w:rsidRDefault="006F5CF3" w:rsidP="006F5CF3">
      <w:pPr>
        <w:pStyle w:val="Reference"/>
      </w:pPr>
      <w:proofErr w:type="spellStart"/>
      <w:r>
        <w:t>Hobsons</w:t>
      </w:r>
      <w:proofErr w:type="spellEnd"/>
      <w:r>
        <w:t xml:space="preserve"> (2014), ‘Beyond the Data: Influencing International Student Decision Making’.</w:t>
      </w:r>
    </w:p>
    <w:p w14:paraId="7A669C77" w14:textId="77777777" w:rsidR="006F5CF3" w:rsidRDefault="006F5CF3" w:rsidP="006F5CF3">
      <w:pPr>
        <w:pStyle w:val="Reference"/>
      </w:pPr>
      <w:r w:rsidRPr="00B44328">
        <w:lastRenderedPageBreak/>
        <w:t xml:space="preserve">Holland, D, </w:t>
      </w:r>
      <w:proofErr w:type="spellStart"/>
      <w:r w:rsidRPr="00B44328">
        <w:t>Liadze</w:t>
      </w:r>
      <w:proofErr w:type="spellEnd"/>
      <w:r w:rsidRPr="00B44328">
        <w:t xml:space="preserve">, I, </w:t>
      </w:r>
      <w:proofErr w:type="spellStart"/>
      <w:r w:rsidRPr="00B44328">
        <w:t>Rienzo</w:t>
      </w:r>
      <w:proofErr w:type="spellEnd"/>
      <w:r w:rsidRPr="00B44328">
        <w:t xml:space="preserve">, C and Wilkinson, D (2013) </w:t>
      </w:r>
      <w:r>
        <w:t>‘</w:t>
      </w:r>
      <w:proofErr w:type="spellStart"/>
      <w:r w:rsidRPr="00B44328">
        <w:t>BIS</w:t>
      </w:r>
      <w:proofErr w:type="spellEnd"/>
      <w:r w:rsidRPr="00B44328">
        <w:t xml:space="preserve"> Research Paper No. 110: The relationship between graduates and economic growth across countries</w:t>
      </w:r>
      <w:r>
        <w:t>’</w:t>
      </w:r>
      <w:r w:rsidRPr="00B44328">
        <w:t>, Department for Business Innovation and Skills, The Crown, London.</w:t>
      </w:r>
    </w:p>
    <w:p w14:paraId="4D8D85DA" w14:textId="78664EC7" w:rsidR="006F5CF3" w:rsidRPr="009D03FE" w:rsidRDefault="006F5CF3" w:rsidP="006F5CF3">
      <w:pPr>
        <w:pStyle w:val="Reference"/>
        <w:rPr>
          <w:color w:val="000000" w:themeColor="text1"/>
        </w:rPr>
      </w:pPr>
      <w:proofErr w:type="spellStart"/>
      <w:r>
        <w:t>ICEF</w:t>
      </w:r>
      <w:proofErr w:type="spellEnd"/>
      <w:r>
        <w:t xml:space="preserve"> Monitor (</w:t>
      </w:r>
      <w:r w:rsidRPr="009D03FE">
        <w:rPr>
          <w:color w:val="000000" w:themeColor="text1"/>
        </w:rPr>
        <w:t xml:space="preserve">2015), ‘US </w:t>
      </w:r>
      <w:proofErr w:type="gramStart"/>
      <w:r w:rsidRPr="009D03FE">
        <w:rPr>
          <w:color w:val="000000" w:themeColor="text1"/>
        </w:rPr>
        <w:t>moves</w:t>
      </w:r>
      <w:proofErr w:type="gramEnd"/>
      <w:r w:rsidRPr="009D03FE">
        <w:rPr>
          <w:color w:val="000000" w:themeColor="text1"/>
        </w:rPr>
        <w:t xml:space="preserve"> to double its number of outbound students by 2018’, </w:t>
      </w:r>
      <w:hyperlink r:id="rId52" w:history="1">
        <w:r w:rsidRPr="009D03FE">
          <w:rPr>
            <w:rStyle w:val="Hyperlink"/>
            <w:color w:val="000000" w:themeColor="text1"/>
          </w:rPr>
          <w:t>http://monitor.icef.com/2015/01/us-moves-double-number-outbound-students-2018/</w:t>
        </w:r>
      </w:hyperlink>
      <w:r w:rsidRPr="009D03FE">
        <w:rPr>
          <w:color w:val="000000" w:themeColor="text1"/>
        </w:rPr>
        <w:t>.</w:t>
      </w:r>
    </w:p>
    <w:p w14:paraId="4954E95E" w14:textId="77777777" w:rsidR="00862F0A" w:rsidRPr="009D03FE" w:rsidRDefault="00862F0A" w:rsidP="006F5CF3">
      <w:pPr>
        <w:pStyle w:val="Reference"/>
        <w:rPr>
          <w:color w:val="000000" w:themeColor="text1"/>
        </w:rPr>
      </w:pPr>
      <w:proofErr w:type="spellStart"/>
      <w:r w:rsidRPr="009D03FE">
        <w:rPr>
          <w:color w:val="000000" w:themeColor="text1"/>
        </w:rPr>
        <w:t>IDP</w:t>
      </w:r>
      <w:proofErr w:type="spellEnd"/>
      <w:r w:rsidRPr="009D03FE">
        <w:rPr>
          <w:color w:val="000000" w:themeColor="text1"/>
        </w:rPr>
        <w:t xml:space="preserve"> Education (2008), ‘Outcomes and impacts of international education: from international student to Australian graduate, the journey of a lifetime’. </w:t>
      </w:r>
    </w:p>
    <w:p w14:paraId="59898793" w14:textId="77777777" w:rsidR="006F5CF3" w:rsidRPr="009D03FE" w:rsidRDefault="006F5CF3" w:rsidP="006F5CF3">
      <w:pPr>
        <w:pStyle w:val="Reference"/>
        <w:rPr>
          <w:color w:val="000000" w:themeColor="text1"/>
        </w:rPr>
      </w:pPr>
      <w:r w:rsidRPr="009D03FE">
        <w:rPr>
          <w:color w:val="000000" w:themeColor="text1"/>
        </w:rPr>
        <w:t>Independent Economics (2015), ‘The economic impact of migration’, prepared for the Migration Council of Australia by Independent Economics.</w:t>
      </w:r>
    </w:p>
    <w:p w14:paraId="0C22F6BC" w14:textId="77777777" w:rsidR="006F5CF3" w:rsidRPr="009D03FE" w:rsidRDefault="006F5CF3" w:rsidP="006F5CF3">
      <w:pPr>
        <w:pStyle w:val="SubHeading"/>
        <w:ind w:left="567" w:hanging="567"/>
        <w:rPr>
          <w:rFonts w:asciiTheme="minorHAnsi" w:hAnsiTheme="minorHAnsi"/>
          <w:b w:val="0"/>
          <w:color w:val="000000" w:themeColor="text1"/>
          <w:szCs w:val="22"/>
        </w:rPr>
      </w:pPr>
      <w:proofErr w:type="gramStart"/>
      <w:r w:rsidRPr="009D03FE">
        <w:rPr>
          <w:rFonts w:asciiTheme="minorHAnsi" w:hAnsiTheme="minorHAnsi"/>
          <w:b w:val="0"/>
          <w:color w:val="000000" w:themeColor="text1"/>
          <w:szCs w:val="22"/>
        </w:rPr>
        <w:t>International Monetary Fund (2009), ‘Balance of Payments and International Investment Position Manual’.</w:t>
      </w:r>
      <w:proofErr w:type="gramEnd"/>
    </w:p>
    <w:p w14:paraId="34604617" w14:textId="07E9147E" w:rsidR="006F5CF3" w:rsidRPr="009D03FE" w:rsidRDefault="006F5CF3" w:rsidP="006F5CF3">
      <w:pPr>
        <w:pStyle w:val="Reference"/>
        <w:rPr>
          <w:b/>
          <w:color w:val="000000" w:themeColor="text1"/>
        </w:rPr>
      </w:pPr>
      <w:proofErr w:type="spellStart"/>
      <w:r w:rsidRPr="009D03FE">
        <w:rPr>
          <w:color w:val="000000" w:themeColor="text1"/>
        </w:rPr>
        <w:t>Jeong</w:t>
      </w:r>
      <w:proofErr w:type="spellEnd"/>
      <w:r w:rsidRPr="009D03FE">
        <w:rPr>
          <w:color w:val="000000" w:themeColor="text1"/>
        </w:rPr>
        <w:t xml:space="preserve">, </w:t>
      </w:r>
      <w:r w:rsidR="007517D0" w:rsidRPr="009D03FE">
        <w:rPr>
          <w:color w:val="000000" w:themeColor="text1"/>
        </w:rPr>
        <w:t xml:space="preserve">S., Choi, </w:t>
      </w:r>
      <w:proofErr w:type="spellStart"/>
      <w:r w:rsidR="007517D0" w:rsidRPr="009D03FE">
        <w:rPr>
          <w:color w:val="000000" w:themeColor="text1"/>
        </w:rPr>
        <w:t>J.Y</w:t>
      </w:r>
      <w:proofErr w:type="spellEnd"/>
      <w:r w:rsidR="007517D0" w:rsidRPr="009D03FE">
        <w:rPr>
          <w:color w:val="000000" w:themeColor="text1"/>
        </w:rPr>
        <w:t>. and Kim, J. (2013</w:t>
      </w:r>
      <w:r w:rsidRPr="009D03FE">
        <w:rPr>
          <w:color w:val="000000" w:themeColor="text1"/>
        </w:rPr>
        <w:t>), ‘</w:t>
      </w:r>
      <w:proofErr w:type="gramStart"/>
      <w:r w:rsidRPr="009D03FE">
        <w:rPr>
          <w:color w:val="000000" w:themeColor="text1"/>
        </w:rPr>
        <w:t>On</w:t>
      </w:r>
      <w:proofErr w:type="gramEnd"/>
      <w:r w:rsidRPr="009D03FE">
        <w:rPr>
          <w:color w:val="000000" w:themeColor="text1"/>
        </w:rPr>
        <w:t xml:space="preserve"> the drivers of international collaboration: the impact of informal communication, motivation, and research resources’, </w:t>
      </w:r>
      <w:r w:rsidRPr="009D03FE">
        <w:rPr>
          <w:i/>
          <w:color w:val="000000" w:themeColor="text1"/>
        </w:rPr>
        <w:t>Science and Public Policy</w:t>
      </w:r>
      <w:r w:rsidRPr="009D03FE">
        <w:rPr>
          <w:color w:val="000000" w:themeColor="text1"/>
        </w:rPr>
        <w:t>, 41(4): 520-531.</w:t>
      </w:r>
    </w:p>
    <w:p w14:paraId="6C6DB83E" w14:textId="77777777" w:rsidR="006F5CF3" w:rsidRPr="009D03FE" w:rsidRDefault="006F5CF3" w:rsidP="006F5CF3">
      <w:pPr>
        <w:pStyle w:val="SubHeading"/>
        <w:ind w:left="567" w:hanging="567"/>
        <w:rPr>
          <w:rFonts w:asciiTheme="minorHAnsi" w:hAnsiTheme="minorHAnsi"/>
          <w:b w:val="0"/>
          <w:color w:val="000000" w:themeColor="text1"/>
          <w:szCs w:val="22"/>
        </w:rPr>
      </w:pPr>
      <w:r w:rsidRPr="009D03FE">
        <w:rPr>
          <w:rFonts w:asciiTheme="minorHAnsi" w:hAnsiTheme="minorHAnsi"/>
          <w:b w:val="0"/>
          <w:color w:val="000000" w:themeColor="text1"/>
          <w:szCs w:val="22"/>
        </w:rPr>
        <w:t xml:space="preserve">Leigh, </w:t>
      </w:r>
      <w:proofErr w:type="gramStart"/>
      <w:r w:rsidRPr="009D03FE">
        <w:rPr>
          <w:rFonts w:asciiTheme="minorHAnsi" w:hAnsiTheme="minorHAnsi"/>
          <w:b w:val="0"/>
          <w:color w:val="000000" w:themeColor="text1"/>
          <w:szCs w:val="22"/>
        </w:rPr>
        <w:t>A</w:t>
      </w:r>
      <w:proofErr w:type="gramEnd"/>
      <w:r w:rsidRPr="009D03FE">
        <w:rPr>
          <w:rFonts w:asciiTheme="minorHAnsi" w:hAnsiTheme="minorHAnsi"/>
          <w:b w:val="0"/>
          <w:color w:val="000000" w:themeColor="text1"/>
          <w:szCs w:val="22"/>
        </w:rPr>
        <w:t xml:space="preserve"> (2008) ’Returns to Education in Australia‘, </w:t>
      </w:r>
      <w:r w:rsidRPr="009D03FE">
        <w:rPr>
          <w:rFonts w:asciiTheme="minorHAnsi" w:hAnsiTheme="minorHAnsi"/>
          <w:b w:val="0"/>
          <w:i/>
          <w:color w:val="000000" w:themeColor="text1"/>
          <w:szCs w:val="22"/>
        </w:rPr>
        <w:t>Economic Papers</w:t>
      </w:r>
      <w:r w:rsidRPr="009D03FE">
        <w:rPr>
          <w:rFonts w:asciiTheme="minorHAnsi" w:hAnsiTheme="minorHAnsi"/>
          <w:b w:val="0"/>
          <w:color w:val="000000" w:themeColor="text1"/>
          <w:szCs w:val="22"/>
        </w:rPr>
        <w:t>, 27(3): 233–249.</w:t>
      </w:r>
      <w:r w:rsidRPr="009D03FE" w:rsidDel="00EF0E3B">
        <w:rPr>
          <w:rFonts w:asciiTheme="minorHAnsi" w:hAnsiTheme="minorHAnsi"/>
          <w:b w:val="0"/>
          <w:color w:val="000000" w:themeColor="text1"/>
          <w:szCs w:val="22"/>
        </w:rPr>
        <w:t xml:space="preserve"> </w:t>
      </w:r>
    </w:p>
    <w:p w14:paraId="48422533" w14:textId="77777777" w:rsidR="006F5CF3" w:rsidRPr="009D03FE" w:rsidRDefault="006F5CF3" w:rsidP="006F5CF3">
      <w:pPr>
        <w:pStyle w:val="SubHeading"/>
        <w:ind w:left="567" w:hanging="567"/>
        <w:rPr>
          <w:rFonts w:asciiTheme="minorHAnsi" w:hAnsiTheme="minorHAnsi"/>
          <w:color w:val="000000" w:themeColor="text1"/>
          <w:szCs w:val="22"/>
        </w:rPr>
      </w:pPr>
      <w:proofErr w:type="gramStart"/>
      <w:r w:rsidRPr="009D03FE">
        <w:rPr>
          <w:rFonts w:asciiTheme="minorHAnsi" w:hAnsiTheme="minorHAnsi"/>
          <w:b w:val="0"/>
          <w:color w:val="000000" w:themeColor="text1"/>
          <w:szCs w:val="22"/>
        </w:rPr>
        <w:t>Kim, J. and Park, J. (2010), ‘Foreign direct investment and foreign-educated labour’.</w:t>
      </w:r>
      <w:proofErr w:type="gramEnd"/>
    </w:p>
    <w:p w14:paraId="2C99E6FA" w14:textId="77777777" w:rsidR="006F5CF3" w:rsidRPr="009D03FE" w:rsidRDefault="006F5CF3" w:rsidP="006F5CF3">
      <w:pPr>
        <w:pStyle w:val="Reference"/>
        <w:rPr>
          <w:color w:val="000000" w:themeColor="text1"/>
        </w:rPr>
      </w:pPr>
      <w:r w:rsidRPr="009D03FE">
        <w:rPr>
          <w:color w:val="000000" w:themeColor="text1"/>
        </w:rPr>
        <w:t xml:space="preserve">Macdonald, I, 2006, </w:t>
      </w:r>
      <w:r w:rsidR="00F011FD" w:rsidRPr="009D03FE">
        <w:rPr>
          <w:color w:val="000000" w:themeColor="text1"/>
        </w:rPr>
        <w:t>‘</w:t>
      </w:r>
      <w:r w:rsidRPr="009D03FE">
        <w:rPr>
          <w:color w:val="000000" w:themeColor="text1"/>
        </w:rPr>
        <w:t>Offshore university campuses: Bonus or baggage?</w:t>
      </w:r>
      <w:r w:rsidR="00F011FD" w:rsidRPr="009D03FE">
        <w:rPr>
          <w:color w:val="000000" w:themeColor="text1"/>
        </w:rPr>
        <w:t>’</w:t>
      </w:r>
      <w:r w:rsidRPr="009D03FE">
        <w:rPr>
          <w:color w:val="000000" w:themeColor="text1"/>
        </w:rPr>
        <w:t xml:space="preserve">, </w:t>
      </w:r>
      <w:r w:rsidRPr="009D03FE">
        <w:rPr>
          <w:i/>
          <w:color w:val="000000" w:themeColor="text1"/>
        </w:rPr>
        <w:t xml:space="preserve">Critical visions : thinking, learning and researching in higher education : proceedings of the 2006 annual international conference of the Higher Education Research and Development Society of Australasia </w:t>
      </w:r>
      <w:proofErr w:type="spellStart"/>
      <w:r w:rsidRPr="009D03FE">
        <w:rPr>
          <w:i/>
          <w:color w:val="000000" w:themeColor="text1"/>
        </w:rPr>
        <w:t>Inc</w:t>
      </w:r>
      <w:proofErr w:type="spellEnd"/>
      <w:r w:rsidRPr="009D03FE">
        <w:rPr>
          <w:i/>
          <w:color w:val="000000" w:themeColor="text1"/>
        </w:rPr>
        <w:t xml:space="preserve"> (</w:t>
      </w:r>
      <w:proofErr w:type="spellStart"/>
      <w:r w:rsidRPr="009D03FE">
        <w:rPr>
          <w:i/>
          <w:color w:val="000000" w:themeColor="text1"/>
        </w:rPr>
        <w:t>HERDSA</w:t>
      </w:r>
      <w:proofErr w:type="spellEnd"/>
      <w:r w:rsidRPr="009D03FE">
        <w:rPr>
          <w:i/>
          <w:color w:val="000000" w:themeColor="text1"/>
        </w:rPr>
        <w:t>)</w:t>
      </w:r>
      <w:r w:rsidRPr="009D03FE">
        <w:rPr>
          <w:color w:val="000000" w:themeColor="text1"/>
        </w:rPr>
        <w:t>, 9-13 July 2006, The University of Western Australia, 2006.</w:t>
      </w:r>
    </w:p>
    <w:p w14:paraId="273EC94E" w14:textId="77777777" w:rsidR="006F5CF3" w:rsidRPr="009D03FE" w:rsidRDefault="006F5CF3" w:rsidP="006F5CF3">
      <w:pPr>
        <w:pStyle w:val="Reference"/>
        <w:rPr>
          <w:color w:val="000000" w:themeColor="text1"/>
        </w:rPr>
      </w:pPr>
      <w:proofErr w:type="spellStart"/>
      <w:r w:rsidRPr="009D03FE">
        <w:rPr>
          <w:color w:val="000000" w:themeColor="text1"/>
        </w:rPr>
        <w:t>Mankiw</w:t>
      </w:r>
      <w:proofErr w:type="spellEnd"/>
      <w:r w:rsidRPr="009D03FE">
        <w:rPr>
          <w:color w:val="000000" w:themeColor="text1"/>
        </w:rPr>
        <w:t xml:space="preserve">, NG, </w:t>
      </w:r>
      <w:proofErr w:type="spellStart"/>
      <w:r w:rsidRPr="009D03FE">
        <w:rPr>
          <w:color w:val="000000" w:themeColor="text1"/>
        </w:rPr>
        <w:t>Romer</w:t>
      </w:r>
      <w:proofErr w:type="spellEnd"/>
      <w:r w:rsidRPr="009D03FE">
        <w:rPr>
          <w:color w:val="000000" w:themeColor="text1"/>
        </w:rPr>
        <w:t xml:space="preserve">, D and Weil, </w:t>
      </w:r>
      <w:proofErr w:type="spellStart"/>
      <w:r w:rsidRPr="009D03FE">
        <w:rPr>
          <w:color w:val="000000" w:themeColor="text1"/>
        </w:rPr>
        <w:t>DN</w:t>
      </w:r>
      <w:proofErr w:type="spellEnd"/>
      <w:r w:rsidRPr="009D03FE">
        <w:rPr>
          <w:color w:val="000000" w:themeColor="text1"/>
        </w:rPr>
        <w:t xml:space="preserve"> (1992) ‘A Contribution to the Empirics of Economic Growth’, </w:t>
      </w:r>
      <w:proofErr w:type="gramStart"/>
      <w:r w:rsidRPr="009D03FE">
        <w:rPr>
          <w:i/>
          <w:color w:val="000000" w:themeColor="text1"/>
        </w:rPr>
        <w:t>The</w:t>
      </w:r>
      <w:proofErr w:type="gramEnd"/>
      <w:r w:rsidRPr="009D03FE">
        <w:rPr>
          <w:i/>
          <w:color w:val="000000" w:themeColor="text1"/>
        </w:rPr>
        <w:t xml:space="preserve"> Quarterly Journal of Economics</w:t>
      </w:r>
      <w:r w:rsidRPr="009D03FE">
        <w:rPr>
          <w:color w:val="000000" w:themeColor="text1"/>
        </w:rPr>
        <w:t>, 107(2): 407–437.</w:t>
      </w:r>
    </w:p>
    <w:p w14:paraId="2EBD8FED" w14:textId="77777777" w:rsidR="006F5CF3" w:rsidRPr="009D03FE" w:rsidRDefault="006F5CF3" w:rsidP="006F5CF3">
      <w:pPr>
        <w:pStyle w:val="Reference"/>
        <w:rPr>
          <w:color w:val="000000" w:themeColor="text1"/>
        </w:rPr>
      </w:pPr>
      <w:proofErr w:type="spellStart"/>
      <w:proofErr w:type="gramStart"/>
      <w:r w:rsidRPr="009D03FE">
        <w:rPr>
          <w:color w:val="000000" w:themeColor="text1"/>
        </w:rPr>
        <w:t>Mazzarol</w:t>
      </w:r>
      <w:proofErr w:type="spellEnd"/>
      <w:r w:rsidRPr="009D03FE">
        <w:rPr>
          <w:color w:val="000000" w:themeColor="text1"/>
        </w:rPr>
        <w:t xml:space="preserve">, T. and </w:t>
      </w:r>
      <w:proofErr w:type="spellStart"/>
      <w:r w:rsidRPr="009D03FE">
        <w:rPr>
          <w:color w:val="000000" w:themeColor="text1"/>
        </w:rPr>
        <w:t>Soutar</w:t>
      </w:r>
      <w:proofErr w:type="spellEnd"/>
      <w:r w:rsidRPr="009D03FE">
        <w:rPr>
          <w:color w:val="000000" w:themeColor="text1"/>
        </w:rPr>
        <w:t xml:space="preserve">, </w:t>
      </w:r>
      <w:proofErr w:type="spellStart"/>
      <w:r w:rsidRPr="009D03FE">
        <w:rPr>
          <w:color w:val="000000" w:themeColor="text1"/>
        </w:rPr>
        <w:t>G.N</w:t>
      </w:r>
      <w:proofErr w:type="spellEnd"/>
      <w:r w:rsidRPr="009D03FE">
        <w:rPr>
          <w:color w:val="000000" w:themeColor="text1"/>
        </w:rPr>
        <w:t>. (2002).</w:t>
      </w:r>
      <w:proofErr w:type="gramEnd"/>
      <w:r w:rsidRPr="009D03FE">
        <w:rPr>
          <w:color w:val="000000" w:themeColor="text1"/>
        </w:rPr>
        <w:t xml:space="preserve"> ‘“Push‐pull” factors influencing international student destination choice’, </w:t>
      </w:r>
      <w:r w:rsidRPr="009D03FE">
        <w:rPr>
          <w:i/>
          <w:color w:val="000000" w:themeColor="text1"/>
        </w:rPr>
        <w:t>International Journal of Educational Management</w:t>
      </w:r>
      <w:r w:rsidRPr="009D03FE">
        <w:rPr>
          <w:color w:val="000000" w:themeColor="text1"/>
        </w:rPr>
        <w:t>, 8(2): 82-90.</w:t>
      </w:r>
    </w:p>
    <w:p w14:paraId="394741BA" w14:textId="77777777" w:rsidR="006F5CF3" w:rsidRPr="009D03FE" w:rsidRDefault="006F5CF3" w:rsidP="006F5CF3">
      <w:pPr>
        <w:pStyle w:val="Reference"/>
        <w:rPr>
          <w:rFonts w:asciiTheme="minorHAnsi" w:hAnsiTheme="minorHAnsi"/>
          <w:color w:val="000000" w:themeColor="text1"/>
          <w:szCs w:val="22"/>
        </w:rPr>
      </w:pPr>
      <w:r w:rsidRPr="009D03FE">
        <w:rPr>
          <w:rFonts w:asciiTheme="minorHAnsi" w:hAnsiTheme="minorHAnsi"/>
          <w:color w:val="000000" w:themeColor="text1"/>
          <w:szCs w:val="22"/>
        </w:rPr>
        <w:t xml:space="preserve">McMahon, WW (2009) </w:t>
      </w:r>
      <w:r w:rsidRPr="009D03FE">
        <w:rPr>
          <w:rFonts w:asciiTheme="minorHAnsi" w:hAnsiTheme="minorHAnsi"/>
          <w:i/>
          <w:color w:val="000000" w:themeColor="text1"/>
          <w:szCs w:val="22"/>
        </w:rPr>
        <w:t>Higher learning, greater good: The private and social benefits of higher education</w:t>
      </w:r>
      <w:r w:rsidRPr="009D03FE">
        <w:rPr>
          <w:rFonts w:asciiTheme="minorHAnsi" w:hAnsiTheme="minorHAnsi"/>
          <w:color w:val="000000" w:themeColor="text1"/>
          <w:szCs w:val="22"/>
        </w:rPr>
        <w:t xml:space="preserve">, </w:t>
      </w:r>
      <w:proofErr w:type="spellStart"/>
      <w:r w:rsidRPr="009D03FE">
        <w:rPr>
          <w:rFonts w:asciiTheme="minorHAnsi" w:hAnsiTheme="minorHAnsi"/>
          <w:color w:val="000000" w:themeColor="text1"/>
          <w:szCs w:val="22"/>
        </w:rPr>
        <w:t>JHU</w:t>
      </w:r>
      <w:proofErr w:type="spellEnd"/>
      <w:r w:rsidRPr="009D03FE">
        <w:rPr>
          <w:rFonts w:asciiTheme="minorHAnsi" w:hAnsiTheme="minorHAnsi"/>
          <w:color w:val="000000" w:themeColor="text1"/>
          <w:szCs w:val="22"/>
        </w:rPr>
        <w:t xml:space="preserve"> Press.</w:t>
      </w:r>
    </w:p>
    <w:p w14:paraId="7DB1531C" w14:textId="77777777" w:rsidR="006F5CF3" w:rsidRPr="009D03FE" w:rsidRDefault="006F5CF3" w:rsidP="006F5CF3">
      <w:pPr>
        <w:pStyle w:val="Reference"/>
        <w:rPr>
          <w:color w:val="000000" w:themeColor="text1"/>
        </w:rPr>
      </w:pPr>
      <w:proofErr w:type="spellStart"/>
      <w:r w:rsidRPr="009D03FE">
        <w:rPr>
          <w:color w:val="000000" w:themeColor="text1"/>
        </w:rPr>
        <w:t>Nadarajah</w:t>
      </w:r>
      <w:proofErr w:type="spellEnd"/>
      <w:r w:rsidRPr="009D03FE">
        <w:rPr>
          <w:color w:val="000000" w:themeColor="text1"/>
        </w:rPr>
        <w:t>, R.G. (2014), ‘Transnational research collaboration: foresight and holistic solution?</w:t>
      </w:r>
      <w:proofErr w:type="gramStart"/>
      <w:r w:rsidRPr="009D03FE">
        <w:rPr>
          <w:color w:val="000000" w:themeColor="text1"/>
        </w:rPr>
        <w:t>’,</w:t>
      </w:r>
      <w:proofErr w:type="gramEnd"/>
      <w:r w:rsidRPr="009D03FE">
        <w:rPr>
          <w:color w:val="000000" w:themeColor="text1"/>
        </w:rPr>
        <w:t xml:space="preserve"> </w:t>
      </w:r>
      <w:proofErr w:type="spellStart"/>
      <w:r w:rsidRPr="009D03FE">
        <w:rPr>
          <w:color w:val="000000" w:themeColor="text1"/>
        </w:rPr>
        <w:t>IEAA</w:t>
      </w:r>
      <w:proofErr w:type="spellEnd"/>
      <w:r w:rsidRPr="009D03FE">
        <w:rPr>
          <w:color w:val="000000" w:themeColor="text1"/>
        </w:rPr>
        <w:t xml:space="preserve"> Research Digest 3.</w:t>
      </w:r>
    </w:p>
    <w:p w14:paraId="16CE5182" w14:textId="77777777" w:rsidR="006F5CF3" w:rsidRPr="009D03FE" w:rsidRDefault="006F5CF3" w:rsidP="006F5CF3">
      <w:pPr>
        <w:pStyle w:val="Reference"/>
        <w:rPr>
          <w:color w:val="000000" w:themeColor="text1"/>
        </w:rPr>
      </w:pPr>
      <w:proofErr w:type="gramStart"/>
      <w:r w:rsidRPr="009D03FE">
        <w:rPr>
          <w:color w:val="000000" w:themeColor="text1"/>
        </w:rPr>
        <w:t>National Centre for Vocational Education Research (</w:t>
      </w:r>
      <w:proofErr w:type="spellStart"/>
      <w:r w:rsidRPr="009D03FE">
        <w:rPr>
          <w:color w:val="000000" w:themeColor="text1"/>
        </w:rPr>
        <w:t>NCVER</w:t>
      </w:r>
      <w:proofErr w:type="spellEnd"/>
      <w:r w:rsidRPr="009D03FE">
        <w:rPr>
          <w:color w:val="000000" w:themeColor="text1"/>
        </w:rPr>
        <w:t xml:space="preserve">) (2015), ‘Total VET Activity 2014, </w:t>
      </w:r>
      <w:proofErr w:type="spellStart"/>
      <w:r w:rsidRPr="009D03FE">
        <w:rPr>
          <w:color w:val="000000" w:themeColor="text1"/>
        </w:rPr>
        <w:t>VOCSTATS</w:t>
      </w:r>
      <w:proofErr w:type="spellEnd"/>
      <w:r w:rsidRPr="009D03FE">
        <w:rPr>
          <w:color w:val="000000" w:themeColor="text1"/>
        </w:rPr>
        <w:t xml:space="preserve"> database’.</w:t>
      </w:r>
      <w:proofErr w:type="gramEnd"/>
    </w:p>
    <w:p w14:paraId="0419B721" w14:textId="13C3E457" w:rsidR="006F5CF3" w:rsidRPr="009D03FE" w:rsidRDefault="006F5CF3" w:rsidP="006F5CF3">
      <w:pPr>
        <w:pStyle w:val="Reference"/>
        <w:rPr>
          <w:color w:val="000000" w:themeColor="text1"/>
        </w:rPr>
      </w:pPr>
      <w:r w:rsidRPr="009D03FE">
        <w:rPr>
          <w:color w:val="000000" w:themeColor="text1"/>
        </w:rPr>
        <w:t xml:space="preserve">New South Wales Government (2015), ‘2015 NSW International Student Award Winners’, </w:t>
      </w:r>
      <w:hyperlink r:id="rId53" w:history="1">
        <w:r w:rsidRPr="009D03FE">
          <w:rPr>
            <w:rStyle w:val="Hyperlink"/>
            <w:color w:val="000000" w:themeColor="text1"/>
          </w:rPr>
          <w:t>https://www.nsw.gov.au/news/2015-nsw-international-student-awards-winners</w:t>
        </w:r>
      </w:hyperlink>
      <w:r w:rsidRPr="009D03FE">
        <w:rPr>
          <w:color w:val="000000" w:themeColor="text1"/>
        </w:rPr>
        <w:t>.</w:t>
      </w:r>
    </w:p>
    <w:p w14:paraId="69932ABA" w14:textId="77777777" w:rsidR="006F5CF3" w:rsidRPr="009D03FE" w:rsidRDefault="006F5CF3" w:rsidP="006F5CF3">
      <w:pPr>
        <w:pStyle w:val="Reference"/>
        <w:rPr>
          <w:color w:val="000000" w:themeColor="text1"/>
        </w:rPr>
      </w:pPr>
      <w:r w:rsidRPr="009D03FE">
        <w:rPr>
          <w:color w:val="000000" w:themeColor="text1"/>
        </w:rPr>
        <w:lastRenderedPageBreak/>
        <w:t xml:space="preserve">Oh, D., Kim, Y. and </w:t>
      </w:r>
      <w:proofErr w:type="spellStart"/>
      <w:r w:rsidRPr="009D03FE">
        <w:rPr>
          <w:color w:val="000000" w:themeColor="text1"/>
        </w:rPr>
        <w:t>Ahn</w:t>
      </w:r>
      <w:proofErr w:type="spellEnd"/>
      <w:r w:rsidRPr="009D03FE">
        <w:rPr>
          <w:color w:val="000000" w:themeColor="text1"/>
        </w:rPr>
        <w:t xml:space="preserve">, H. (2010), ‘An analysis of international cooperation in the public research and development programs of Korea’, </w:t>
      </w:r>
      <w:r w:rsidRPr="009D03FE">
        <w:rPr>
          <w:i/>
          <w:color w:val="000000" w:themeColor="text1"/>
        </w:rPr>
        <w:t>Asian Journal of Technology Innovation</w:t>
      </w:r>
      <w:r w:rsidRPr="009D03FE">
        <w:rPr>
          <w:color w:val="000000" w:themeColor="text1"/>
        </w:rPr>
        <w:t> 18(2):43-67.</w:t>
      </w:r>
    </w:p>
    <w:p w14:paraId="4DDB152F" w14:textId="2E1BB847" w:rsidR="006F5CF3" w:rsidRPr="009D03FE" w:rsidRDefault="006F5CF3" w:rsidP="006F5CF3">
      <w:pPr>
        <w:pStyle w:val="Reference"/>
        <w:rPr>
          <w:color w:val="000000" w:themeColor="text1"/>
        </w:rPr>
      </w:pPr>
      <w:r w:rsidRPr="009D03FE">
        <w:rPr>
          <w:color w:val="000000" w:themeColor="text1"/>
        </w:rPr>
        <w:t xml:space="preserve">Organisation for Economic Cooperation and Development (OECD) (2014), ‘China to overtake EU, US in </w:t>
      </w:r>
      <w:r w:rsidR="00F011FD" w:rsidRPr="009D03FE">
        <w:rPr>
          <w:color w:val="000000" w:themeColor="text1"/>
        </w:rPr>
        <w:t>science</w:t>
      </w:r>
      <w:r w:rsidRPr="009D03FE">
        <w:rPr>
          <w:color w:val="000000" w:themeColor="text1"/>
        </w:rPr>
        <w:t xml:space="preserve"> &amp; technology spending, OECD says’, </w:t>
      </w:r>
      <w:hyperlink r:id="rId54" w:history="1">
        <w:r w:rsidR="000007D3" w:rsidRPr="009D03FE">
          <w:rPr>
            <w:rStyle w:val="Hyperlink"/>
            <w:color w:val="000000" w:themeColor="text1"/>
          </w:rPr>
          <w:t>http://www.oecd.org/newsroom/china-headed-to-overtake-eu-us-in-science-technology-spending.htm</w:t>
        </w:r>
      </w:hyperlink>
      <w:r w:rsidRPr="009D03FE">
        <w:rPr>
          <w:color w:val="000000" w:themeColor="text1"/>
        </w:rPr>
        <w:t xml:space="preserve">. </w:t>
      </w:r>
    </w:p>
    <w:p w14:paraId="68C89053" w14:textId="77777777" w:rsidR="000007D3" w:rsidRPr="009D03FE" w:rsidRDefault="000007D3" w:rsidP="006F5CF3">
      <w:pPr>
        <w:pStyle w:val="Reference"/>
        <w:rPr>
          <w:color w:val="000000" w:themeColor="text1"/>
        </w:rPr>
      </w:pPr>
      <w:r w:rsidRPr="009D03FE">
        <w:rPr>
          <w:color w:val="000000" w:themeColor="text1"/>
        </w:rPr>
        <w:tab/>
        <w:t xml:space="preserve">- (2011), ‘International Migration Outlook: Migrant Entrepreneurship in OECD Countries’. </w:t>
      </w:r>
    </w:p>
    <w:p w14:paraId="7155C1B3" w14:textId="77777777" w:rsidR="000007D3" w:rsidRPr="009D03FE" w:rsidRDefault="000007D3" w:rsidP="006F5CF3">
      <w:pPr>
        <w:pStyle w:val="Reference"/>
        <w:rPr>
          <w:color w:val="000000" w:themeColor="text1"/>
        </w:rPr>
      </w:pPr>
      <w:r w:rsidRPr="009D03FE">
        <w:rPr>
          <w:color w:val="000000" w:themeColor="text1"/>
        </w:rPr>
        <w:t xml:space="preserve">Oxford Economics (2007), ‘The Economic Impact of London’s International Students’. </w:t>
      </w:r>
    </w:p>
    <w:p w14:paraId="01F4F268" w14:textId="77777777" w:rsidR="006F5CF3" w:rsidRPr="009D03FE" w:rsidRDefault="006F5CF3" w:rsidP="006F5CF3">
      <w:pPr>
        <w:pStyle w:val="Reference"/>
        <w:rPr>
          <w:color w:val="000000" w:themeColor="text1"/>
        </w:rPr>
      </w:pPr>
      <w:r w:rsidRPr="009D03FE">
        <w:rPr>
          <w:color w:val="000000" w:themeColor="text1"/>
        </w:rPr>
        <w:t>Productivity Commission (PC) (</w:t>
      </w:r>
      <w:proofErr w:type="spellStart"/>
      <w:r w:rsidRPr="009D03FE">
        <w:rPr>
          <w:color w:val="000000" w:themeColor="text1"/>
        </w:rPr>
        <w:t>2015a</w:t>
      </w:r>
      <w:proofErr w:type="spellEnd"/>
      <w:r w:rsidRPr="009D03FE">
        <w:rPr>
          <w:color w:val="000000" w:themeColor="text1"/>
        </w:rPr>
        <w:t>), ‘International Education Services’, Commission Research Paper, Canberra.</w:t>
      </w:r>
    </w:p>
    <w:p w14:paraId="2D04355B" w14:textId="77777777" w:rsidR="006F5CF3" w:rsidRPr="009D03FE" w:rsidRDefault="006F5CF3" w:rsidP="006F5CF3">
      <w:pPr>
        <w:pStyle w:val="Reference"/>
        <w:rPr>
          <w:color w:val="000000" w:themeColor="text1"/>
        </w:rPr>
      </w:pPr>
      <w:r w:rsidRPr="009D03FE">
        <w:rPr>
          <w:color w:val="000000" w:themeColor="text1"/>
        </w:rPr>
        <w:tab/>
      </w:r>
      <w:proofErr w:type="gramStart"/>
      <w:r w:rsidRPr="009D03FE">
        <w:rPr>
          <w:color w:val="000000" w:themeColor="text1"/>
        </w:rPr>
        <w:t>- (</w:t>
      </w:r>
      <w:proofErr w:type="spellStart"/>
      <w:r w:rsidRPr="009D03FE">
        <w:rPr>
          <w:color w:val="000000" w:themeColor="text1"/>
        </w:rPr>
        <w:t>2015b</w:t>
      </w:r>
      <w:proofErr w:type="spellEnd"/>
      <w:r w:rsidRPr="009D03FE">
        <w:rPr>
          <w:color w:val="000000" w:themeColor="text1"/>
        </w:rPr>
        <w:t>), Productivity Commission, ‘Migrant Intake into Australia’, Draft Report.</w:t>
      </w:r>
      <w:proofErr w:type="gramEnd"/>
    </w:p>
    <w:p w14:paraId="157FB908" w14:textId="77777777" w:rsidR="006F5CF3" w:rsidRPr="009D03FE" w:rsidRDefault="006F5CF3" w:rsidP="006F5CF3">
      <w:pPr>
        <w:pStyle w:val="Reference"/>
        <w:rPr>
          <w:color w:val="000000" w:themeColor="text1"/>
        </w:rPr>
      </w:pPr>
      <w:r w:rsidRPr="009D03FE">
        <w:rPr>
          <w:color w:val="000000" w:themeColor="text1"/>
        </w:rPr>
        <w:tab/>
      </w:r>
      <w:proofErr w:type="gramStart"/>
      <w:r w:rsidRPr="009D03FE">
        <w:rPr>
          <w:color w:val="000000" w:themeColor="text1"/>
        </w:rPr>
        <w:t>- (</w:t>
      </w:r>
      <w:proofErr w:type="spellStart"/>
      <w:r w:rsidRPr="009D03FE">
        <w:rPr>
          <w:color w:val="000000" w:themeColor="text1"/>
        </w:rPr>
        <w:t>2015c</w:t>
      </w:r>
      <w:proofErr w:type="spellEnd"/>
      <w:r w:rsidRPr="009D03FE">
        <w:rPr>
          <w:color w:val="000000" w:themeColor="text1"/>
        </w:rPr>
        <w:t>), Productivity Commission, ‘Barriers to Growth in Service Exports’, Research Report, Canberra.</w:t>
      </w:r>
      <w:proofErr w:type="gramEnd"/>
    </w:p>
    <w:p w14:paraId="5FEA31A2" w14:textId="77777777" w:rsidR="006F5CF3" w:rsidRPr="009D03FE" w:rsidRDefault="006F5CF3" w:rsidP="006F5CF3">
      <w:pPr>
        <w:pStyle w:val="Reference"/>
        <w:rPr>
          <w:color w:val="000000" w:themeColor="text1"/>
        </w:rPr>
      </w:pPr>
      <w:proofErr w:type="spellStart"/>
      <w:r w:rsidRPr="009D03FE">
        <w:rPr>
          <w:color w:val="000000" w:themeColor="text1"/>
        </w:rPr>
        <w:t>Pyke</w:t>
      </w:r>
      <w:proofErr w:type="spellEnd"/>
      <w:r w:rsidRPr="009D03FE">
        <w:rPr>
          <w:color w:val="000000" w:themeColor="text1"/>
        </w:rPr>
        <w:t xml:space="preserve">, J., Jiang, </w:t>
      </w:r>
      <w:proofErr w:type="spellStart"/>
      <w:r w:rsidRPr="009D03FE">
        <w:rPr>
          <w:color w:val="000000" w:themeColor="text1"/>
        </w:rPr>
        <w:t>DeLacy</w:t>
      </w:r>
      <w:proofErr w:type="spellEnd"/>
      <w:r w:rsidRPr="009D03FE">
        <w:rPr>
          <w:color w:val="000000" w:themeColor="text1"/>
        </w:rPr>
        <w:t xml:space="preserve">, T., Smith, E., Li, G. and Li, A. (2013), ‘The role and influence of China based Australia alumni on travel and tourism’, Technical Report, Victoria University. </w:t>
      </w:r>
    </w:p>
    <w:p w14:paraId="367F09DD" w14:textId="6AB05197" w:rsidR="006F5CF3" w:rsidRPr="009D03FE" w:rsidRDefault="006F5CF3" w:rsidP="006F5CF3">
      <w:pPr>
        <w:pStyle w:val="Reference"/>
        <w:rPr>
          <w:color w:val="000000" w:themeColor="text1"/>
        </w:rPr>
      </w:pPr>
      <w:r w:rsidRPr="009D03FE">
        <w:rPr>
          <w:color w:val="000000" w:themeColor="text1"/>
        </w:rPr>
        <w:t>Tourism Research Australia (2007), ‘Study Tourism Report: Profile of international visitors who studied in Australia’, Canberra.</w:t>
      </w:r>
    </w:p>
    <w:p w14:paraId="42AA4059" w14:textId="77777777" w:rsidR="006F5CF3" w:rsidRPr="009D03FE" w:rsidRDefault="006F5CF3" w:rsidP="006F5CF3">
      <w:pPr>
        <w:pStyle w:val="Reference"/>
        <w:rPr>
          <w:color w:val="000000" w:themeColor="text1"/>
        </w:rPr>
      </w:pPr>
      <w:r w:rsidRPr="009D03FE">
        <w:rPr>
          <w:color w:val="000000" w:themeColor="text1"/>
        </w:rPr>
        <w:tab/>
        <w:t>- (2015), ‘International Visitors in Australia: June 2015 Quarterly Results of the International Visitor Survey’.</w:t>
      </w:r>
    </w:p>
    <w:p w14:paraId="187360BD" w14:textId="77777777" w:rsidR="00760851" w:rsidRPr="009D03FE" w:rsidRDefault="00760851" w:rsidP="006F5CF3">
      <w:pPr>
        <w:pStyle w:val="Reference"/>
        <w:rPr>
          <w:color w:val="000000" w:themeColor="text1"/>
        </w:rPr>
      </w:pPr>
      <w:r w:rsidRPr="009D03FE">
        <w:rPr>
          <w:color w:val="000000" w:themeColor="text1"/>
        </w:rPr>
        <w:t xml:space="preserve">United Nations Education, Scientific and Cultural Organization (UNESCO) (2014), ‘Global Citizenship Education: Preparing learners for the challenges of the twenty-first century’. </w:t>
      </w:r>
    </w:p>
    <w:p w14:paraId="1D52F44D" w14:textId="77777777" w:rsidR="006F5CF3" w:rsidRPr="009D03FE" w:rsidRDefault="006F5CF3" w:rsidP="006F5CF3">
      <w:pPr>
        <w:pStyle w:val="Reference"/>
        <w:rPr>
          <w:color w:val="000000" w:themeColor="text1"/>
        </w:rPr>
      </w:pPr>
      <w:proofErr w:type="gramStart"/>
      <w:r w:rsidRPr="009D03FE">
        <w:rPr>
          <w:color w:val="000000" w:themeColor="text1"/>
        </w:rPr>
        <w:t>Universities Australia (2009), ‘Submission to Inquiry into Rural and Regional Access to Educational Opportunities’.</w:t>
      </w:r>
      <w:proofErr w:type="gramEnd"/>
      <w:r w:rsidRPr="009D03FE">
        <w:rPr>
          <w:color w:val="000000" w:themeColor="text1"/>
        </w:rPr>
        <w:t xml:space="preserve"> </w:t>
      </w:r>
    </w:p>
    <w:p w14:paraId="1272E5F2" w14:textId="77777777" w:rsidR="006F5CF3" w:rsidRPr="009D03FE" w:rsidRDefault="006F5CF3" w:rsidP="006F5CF3">
      <w:pPr>
        <w:pStyle w:val="Reference"/>
        <w:ind w:left="1134"/>
        <w:rPr>
          <w:color w:val="000000" w:themeColor="text1"/>
        </w:rPr>
      </w:pPr>
      <w:proofErr w:type="gramStart"/>
      <w:r w:rsidRPr="009D03FE">
        <w:rPr>
          <w:color w:val="000000" w:themeColor="text1"/>
        </w:rPr>
        <w:t>- (2010), ‘2010 Survey of International Student Spending’.</w:t>
      </w:r>
      <w:proofErr w:type="gramEnd"/>
    </w:p>
    <w:p w14:paraId="5CEC42B0" w14:textId="77777777" w:rsidR="000007D3" w:rsidRPr="009D03FE" w:rsidRDefault="000007D3" w:rsidP="006F5CF3">
      <w:pPr>
        <w:pStyle w:val="Reference"/>
        <w:ind w:left="1134"/>
        <w:rPr>
          <w:color w:val="000000" w:themeColor="text1"/>
        </w:rPr>
      </w:pPr>
      <w:proofErr w:type="gramStart"/>
      <w:r w:rsidRPr="009D03FE">
        <w:rPr>
          <w:color w:val="000000" w:themeColor="text1"/>
        </w:rPr>
        <w:t>- (2011), ‘The Nature of International Education in Australian Universities and its Benefits’.</w:t>
      </w:r>
      <w:proofErr w:type="gramEnd"/>
    </w:p>
    <w:p w14:paraId="6EC7489B" w14:textId="77777777" w:rsidR="006F5CF3" w:rsidRPr="009D03FE" w:rsidRDefault="006F5CF3" w:rsidP="006F5CF3">
      <w:pPr>
        <w:pStyle w:val="Reference"/>
        <w:ind w:left="1134"/>
        <w:rPr>
          <w:color w:val="000000" w:themeColor="text1"/>
        </w:rPr>
      </w:pPr>
      <w:proofErr w:type="gramStart"/>
      <w:r w:rsidRPr="009D03FE">
        <w:rPr>
          <w:color w:val="000000" w:themeColor="text1"/>
        </w:rPr>
        <w:t>- (2012), ‘Australian University Student Finances in 2012’.</w:t>
      </w:r>
      <w:proofErr w:type="gramEnd"/>
    </w:p>
    <w:p w14:paraId="6E394702" w14:textId="77777777" w:rsidR="006F5CF3" w:rsidRPr="009D03FE" w:rsidRDefault="006F5CF3" w:rsidP="006F5CF3">
      <w:pPr>
        <w:pStyle w:val="Reference"/>
        <w:ind w:left="1134"/>
        <w:rPr>
          <w:color w:val="000000" w:themeColor="text1"/>
        </w:rPr>
      </w:pPr>
      <w:r w:rsidRPr="009D03FE">
        <w:rPr>
          <w:color w:val="000000" w:themeColor="text1"/>
        </w:rPr>
        <w:t>- (2014), ‘Offshore Programs of Australian Universities’, April 2014.</w:t>
      </w:r>
    </w:p>
    <w:p w14:paraId="26661CBA" w14:textId="77777777" w:rsidR="00862F0A" w:rsidRPr="009D03FE" w:rsidRDefault="00862F0A" w:rsidP="00862F0A">
      <w:pPr>
        <w:pStyle w:val="Reference"/>
        <w:rPr>
          <w:color w:val="000000" w:themeColor="text1"/>
        </w:rPr>
      </w:pPr>
      <w:r w:rsidRPr="009D03FE">
        <w:rPr>
          <w:color w:val="000000" w:themeColor="text1"/>
        </w:rPr>
        <w:t xml:space="preserve">Victorian Auditor General 2014, ‘Technical and Further Education Institutes: Results of the 2013 Audits’, available from: </w:t>
      </w:r>
      <w:hyperlink r:id="rId55" w:history="1">
        <w:r w:rsidRPr="009D03FE">
          <w:rPr>
            <w:rStyle w:val="Hyperlink"/>
            <w:color w:val="000000" w:themeColor="text1"/>
          </w:rPr>
          <w:t>http://www.audit.vic.gov.au/publications/20140806-TAFE-Audits/20140806-TAFE-Audits.html (29</w:t>
        </w:r>
      </w:hyperlink>
      <w:r w:rsidRPr="009D03FE">
        <w:rPr>
          <w:rStyle w:val="Hyperlink"/>
          <w:color w:val="000000" w:themeColor="text1"/>
        </w:rPr>
        <w:t xml:space="preserve"> March </w:t>
      </w:r>
      <w:r w:rsidRPr="009D03FE">
        <w:rPr>
          <w:color w:val="000000" w:themeColor="text1"/>
        </w:rPr>
        <w:t>2016).</w:t>
      </w:r>
    </w:p>
    <w:p w14:paraId="3668CEEF" w14:textId="77777777" w:rsidR="006F5CF3" w:rsidRPr="009D03FE" w:rsidRDefault="006F5CF3" w:rsidP="006F5CF3">
      <w:pPr>
        <w:pStyle w:val="Reference"/>
        <w:rPr>
          <w:color w:val="000000" w:themeColor="text1"/>
        </w:rPr>
      </w:pPr>
      <w:r w:rsidRPr="009D03FE">
        <w:rPr>
          <w:color w:val="000000" w:themeColor="text1"/>
        </w:rPr>
        <w:lastRenderedPageBreak/>
        <w:t>Wilkins, R. (2015), ‘</w:t>
      </w:r>
      <w:proofErr w:type="gramStart"/>
      <w:r w:rsidRPr="009D03FE">
        <w:rPr>
          <w:color w:val="000000" w:themeColor="text1"/>
        </w:rPr>
        <w:t>The</w:t>
      </w:r>
      <w:proofErr w:type="gramEnd"/>
      <w:r w:rsidRPr="009D03FE">
        <w:rPr>
          <w:color w:val="000000" w:themeColor="text1"/>
        </w:rPr>
        <w:t xml:space="preserve"> Household, Income and Labour Dynamics in Australia Survey: Selected Findings from Waves 1 to 12’. </w:t>
      </w:r>
    </w:p>
    <w:p w14:paraId="7D90C1E4" w14:textId="77777777" w:rsidR="009052EF" w:rsidRDefault="00B45B5C" w:rsidP="009052EF">
      <w:pPr>
        <w:pStyle w:val="Appendix"/>
      </w:pPr>
      <w:bookmarkStart w:id="373" w:name="_Toc215906321"/>
      <w:bookmarkStart w:id="374" w:name="_Toc227746678"/>
      <w:bookmarkStart w:id="375" w:name="_Toc227746682"/>
      <w:bookmarkStart w:id="376" w:name="_Toc227746686"/>
      <w:bookmarkStart w:id="377" w:name="_Toc227746690"/>
      <w:bookmarkStart w:id="378" w:name="_Toc227748312"/>
      <w:bookmarkStart w:id="379" w:name="_Toc227748330"/>
      <w:bookmarkStart w:id="380" w:name="_Toc227748334"/>
      <w:bookmarkStart w:id="381" w:name="_Toc227748338"/>
      <w:bookmarkStart w:id="382" w:name="_Toc227748377"/>
      <w:bookmarkStart w:id="383" w:name="_Toc227748381"/>
      <w:bookmarkStart w:id="384" w:name="_Toc227748385"/>
      <w:bookmarkStart w:id="385" w:name="_Toc227748497"/>
      <w:bookmarkStart w:id="386" w:name="_Toc227748501"/>
      <w:bookmarkStart w:id="387" w:name="_Toc228005208"/>
      <w:bookmarkStart w:id="388" w:name="_Toc228092499"/>
      <w:bookmarkStart w:id="389" w:name="_Toc228264954"/>
      <w:bookmarkStart w:id="390" w:name="_Toc228264976"/>
      <w:bookmarkStart w:id="391" w:name="_Toc228264980"/>
      <w:bookmarkStart w:id="392" w:name="_Toc228264984"/>
      <w:bookmarkStart w:id="393" w:name="_Toc228264988"/>
      <w:bookmarkStart w:id="394" w:name="_Toc228265218"/>
      <w:bookmarkStart w:id="395" w:name="_Toc288198027"/>
      <w:bookmarkStart w:id="396" w:name="_Ref437346754"/>
      <w:bookmarkStart w:id="397" w:name="_Toc450809255"/>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lastRenderedPageBreak/>
        <w:t xml:space="preserve">: </w:t>
      </w:r>
      <w:r w:rsidR="009052EF">
        <w:t>ABS treatment of international education services</w:t>
      </w:r>
      <w:bookmarkEnd w:id="396"/>
      <w:bookmarkEnd w:id="397"/>
    </w:p>
    <w:p w14:paraId="356B55AB" w14:textId="77777777" w:rsidR="00A54C9F" w:rsidRPr="001B38B0" w:rsidRDefault="00A54C9F" w:rsidP="00A54C9F">
      <w:pPr>
        <w:pStyle w:val="BodyText"/>
      </w:pPr>
      <w:r>
        <w:t xml:space="preserve">The Australian Bureau of Statistics (ABS) captures the provision of international education services under Modes 1, 2, and 4 at the national level in catalogue </w:t>
      </w:r>
      <w:r w:rsidRPr="00524052">
        <w:rPr>
          <w:i/>
        </w:rPr>
        <w:t>5368.0 - International Trade in Goods and Services, Australia</w:t>
      </w:r>
      <w:r>
        <w:rPr>
          <w:i/>
        </w:rPr>
        <w:t xml:space="preserve">. </w:t>
      </w:r>
    </w:p>
    <w:p w14:paraId="71C2551D" w14:textId="77777777" w:rsidR="00A54C9F" w:rsidRDefault="00A54C9F" w:rsidP="00A54C9F">
      <w:pPr>
        <w:pStyle w:val="BodyText"/>
      </w:pPr>
      <w:r>
        <w:t>Mode 1 refers to the cross border supply of education services and includes:</w:t>
      </w:r>
    </w:p>
    <w:p w14:paraId="47482B20" w14:textId="77777777" w:rsidR="00A54C9F" w:rsidRDefault="00A54C9F" w:rsidP="00A54C9F">
      <w:pPr>
        <w:pStyle w:val="Bullet1"/>
      </w:pPr>
      <w:r w:rsidRPr="00154306">
        <w:rPr>
          <w:b/>
          <w:color w:val="002776"/>
        </w:rPr>
        <w:t>royalties on education</w:t>
      </w:r>
      <w:r>
        <w:t xml:space="preserve"> includes the </w:t>
      </w:r>
      <w:r w:rsidRPr="00D912F9">
        <w:t>licence fees, royalty payments, copyrights, and associated fees</w:t>
      </w:r>
      <w:r>
        <w:t xml:space="preserve"> received by Australian education institutions </w:t>
      </w:r>
      <w:r w:rsidRPr="00D912F9">
        <w:t>for the pro</w:t>
      </w:r>
      <w:r>
        <w:t xml:space="preserve">vision of educational material, such as </w:t>
      </w:r>
      <w:r w:rsidRPr="00D912F9">
        <w:t>manuscripts, original works, education co</w:t>
      </w:r>
      <w:r>
        <w:t>urses, and academic materials;</w:t>
      </w:r>
    </w:p>
    <w:p w14:paraId="36AB528D" w14:textId="77777777" w:rsidR="00A54C9F" w:rsidRPr="003F2E4A" w:rsidRDefault="00A54C9F" w:rsidP="00A54C9F">
      <w:pPr>
        <w:pStyle w:val="Bullet1"/>
        <w:rPr>
          <w:b/>
          <w:color w:val="002776" w:themeColor="text2"/>
        </w:rPr>
      </w:pPr>
      <w:r w:rsidRPr="00154306">
        <w:rPr>
          <w:b/>
          <w:color w:val="002776"/>
        </w:rPr>
        <w:t>correspondence courses </w:t>
      </w:r>
      <w:r w:rsidRPr="003F2E4A">
        <w:t>covers transactions relating to the provision of correspondence courses conducted at overseas institutions and courses conducted by non-residents at Australian institutions;</w:t>
      </w:r>
      <w:r>
        <w:t xml:space="preserve"> and</w:t>
      </w:r>
    </w:p>
    <w:p w14:paraId="658AC296" w14:textId="77777777" w:rsidR="00A54C9F" w:rsidRDefault="00A54C9F" w:rsidP="00A54C9F">
      <w:pPr>
        <w:pStyle w:val="Bullet1"/>
      </w:pPr>
      <w:proofErr w:type="gramStart"/>
      <w:r>
        <w:rPr>
          <w:b/>
          <w:color w:val="002776"/>
        </w:rPr>
        <w:t>e</w:t>
      </w:r>
      <w:r w:rsidRPr="00154306">
        <w:rPr>
          <w:b/>
          <w:color w:val="002776"/>
        </w:rPr>
        <w:t>ducation</w:t>
      </w:r>
      <w:proofErr w:type="gramEnd"/>
      <w:r w:rsidRPr="00154306">
        <w:rPr>
          <w:b/>
          <w:color w:val="002776"/>
        </w:rPr>
        <w:t xml:space="preserve"> consultancy services </w:t>
      </w:r>
      <w:r>
        <w:t>include</w:t>
      </w:r>
      <w:r w:rsidRPr="003F2E4A">
        <w:t xml:space="preserve"> transactions relating to the consultancy of education insti</w:t>
      </w:r>
      <w:r>
        <w:t>tutions and material, such as</w:t>
      </w:r>
      <w:r w:rsidRPr="003F2E4A">
        <w:t xml:space="preserve"> management services, professional services</w:t>
      </w:r>
      <w:r w:rsidR="00EC2CC8">
        <w:t xml:space="preserve"> and</w:t>
      </w:r>
      <w:r w:rsidRPr="003F2E4A">
        <w:t xml:space="preserve"> education administration.</w:t>
      </w:r>
    </w:p>
    <w:p w14:paraId="1757ECC1" w14:textId="77777777" w:rsidR="00A54C9F" w:rsidRDefault="00A54C9F" w:rsidP="00A54C9F">
      <w:pPr>
        <w:pStyle w:val="BodyText"/>
      </w:pPr>
      <w:r>
        <w:t xml:space="preserve">The ABS estimates mode 1 export revenue of the education sector through sampling a cross section of Australian education providers for their revenues from the provision of cross border services.  An estimate of the sector total is then arrived at by weighting the surveyed responses. </w:t>
      </w:r>
    </w:p>
    <w:p w14:paraId="2322700C" w14:textId="77777777" w:rsidR="00A54C9F" w:rsidRDefault="00A54C9F" w:rsidP="00A54C9F">
      <w:pPr>
        <w:pStyle w:val="BodyText"/>
        <w:rPr>
          <w:i/>
        </w:rPr>
      </w:pPr>
      <w:r>
        <w:t xml:space="preserve">Mode 2 covers the onshore consumption of education by international students, including both their expenditure on fees and living expenses. The ABS also provides a detailed breakdown of Mode 2 international education services by state and education sector in catalogue </w:t>
      </w:r>
      <w:r w:rsidRPr="00EF4498">
        <w:rPr>
          <w:i/>
        </w:rPr>
        <w:t>5368.0.55.00</w:t>
      </w:r>
      <w:r>
        <w:rPr>
          <w:i/>
        </w:rPr>
        <w:t>4</w:t>
      </w:r>
      <w:r w:rsidRPr="00EF4498">
        <w:rPr>
          <w:i/>
        </w:rPr>
        <w:t xml:space="preserve"> - International Trade in Services by Country, by State and</w:t>
      </w:r>
      <w:r>
        <w:rPr>
          <w:i/>
        </w:rPr>
        <w:t xml:space="preserve"> by Detailed Services Category.</w:t>
      </w:r>
    </w:p>
    <w:p w14:paraId="7B313E38" w14:textId="77777777" w:rsidR="00A54C9F" w:rsidRDefault="00A54C9F" w:rsidP="00A54C9F">
      <w:pPr>
        <w:pStyle w:val="BodyText"/>
      </w:pPr>
      <w:r>
        <w:t>Export revenue under mode 2 is captured under the</w:t>
      </w:r>
      <w:r>
        <w:rPr>
          <w:rFonts w:cs="Arial"/>
          <w:sz w:val="20"/>
        </w:rPr>
        <w:t xml:space="preserve"> </w:t>
      </w:r>
      <w:r w:rsidRPr="00D45BFA">
        <w:t>Education</w:t>
      </w:r>
      <w:r>
        <w:t xml:space="preserve"> </w:t>
      </w:r>
      <w:r w:rsidRPr="00D45BFA">
        <w:t xml:space="preserve">related </w:t>
      </w:r>
      <w:r>
        <w:t xml:space="preserve">personal </w:t>
      </w:r>
      <w:r w:rsidRPr="00D45BFA">
        <w:t>travel</w:t>
      </w:r>
      <w:r>
        <w:t xml:space="preserve"> category in the </w:t>
      </w:r>
      <w:r w:rsidRPr="00540F6C">
        <w:rPr>
          <w:i/>
        </w:rPr>
        <w:t>International Trade in Goods and Services</w:t>
      </w:r>
      <w:r>
        <w:rPr>
          <w:i/>
        </w:rPr>
        <w:t xml:space="preserve"> </w:t>
      </w:r>
      <w:r>
        <w:t xml:space="preserve">publication. It is broken down into: </w:t>
      </w:r>
    </w:p>
    <w:p w14:paraId="2B2CDD96" w14:textId="77777777" w:rsidR="00A54C9F" w:rsidRDefault="00A54C9F" w:rsidP="00A54C9F">
      <w:pPr>
        <w:pStyle w:val="Bullet1"/>
      </w:pPr>
      <w:r w:rsidRPr="00D45BFA">
        <w:rPr>
          <w:i/>
        </w:rPr>
        <w:t xml:space="preserve">fees </w:t>
      </w:r>
      <w:r w:rsidRPr="00EA1B94">
        <w:t xml:space="preserve">based </w:t>
      </w:r>
      <w:r>
        <w:t xml:space="preserve">on the registered institution course fees data derived by </w:t>
      </w:r>
      <w:proofErr w:type="spellStart"/>
      <w:r>
        <w:t>DET</w:t>
      </w:r>
      <w:proofErr w:type="spellEnd"/>
      <w:r>
        <w:t xml:space="preserve"> from the Department’s Commonwealth Register of Institutions and Courses for Overseas Students (</w:t>
      </w:r>
      <w:proofErr w:type="spellStart"/>
      <w:r>
        <w:t>CRICOS</w:t>
      </w:r>
      <w:proofErr w:type="spellEnd"/>
      <w:r>
        <w:t xml:space="preserve">) database; and </w:t>
      </w:r>
      <w:r w:rsidDel="00794D8C">
        <w:t xml:space="preserve"> </w:t>
      </w:r>
    </w:p>
    <w:p w14:paraId="733D84E7" w14:textId="77777777" w:rsidR="00A54C9F" w:rsidRDefault="00A54C9F" w:rsidP="00A54C9F">
      <w:pPr>
        <w:pStyle w:val="Bullet1"/>
      </w:pPr>
      <w:proofErr w:type="gramStart"/>
      <w:r w:rsidRPr="00EA1B94">
        <w:rPr>
          <w:i/>
        </w:rPr>
        <w:t>expenditure</w:t>
      </w:r>
      <w:proofErr w:type="gramEnd"/>
      <w:r w:rsidRPr="00EA1B94">
        <w:rPr>
          <w:i/>
        </w:rPr>
        <w:t xml:space="preserve"> on</w:t>
      </w:r>
      <w:r>
        <w:t xml:space="preserve"> </w:t>
      </w:r>
      <w:r w:rsidRPr="00794D8C">
        <w:rPr>
          <w:i/>
        </w:rPr>
        <w:t>goods and services</w:t>
      </w:r>
      <w:r>
        <w:t>, estimated from the number of</w:t>
      </w:r>
      <w:r w:rsidRPr="001201DA">
        <w:t xml:space="preserve"> international students </w:t>
      </w:r>
      <w:r>
        <w:t xml:space="preserve">on student visas from the </w:t>
      </w:r>
      <w:r w:rsidRPr="00380186">
        <w:t>D</w:t>
      </w:r>
      <w:r>
        <w:t xml:space="preserve">epartment of </w:t>
      </w:r>
      <w:r w:rsidRPr="00380186">
        <w:t>I</w:t>
      </w:r>
      <w:r>
        <w:t xml:space="preserve">mmigration and Border Protection </w:t>
      </w:r>
      <w:r w:rsidRPr="00380186">
        <w:t xml:space="preserve">and </w:t>
      </w:r>
      <w:r>
        <w:t xml:space="preserve">ABS data on Overseas Arrivals and Departures, </w:t>
      </w:r>
      <w:r w:rsidRPr="00380186">
        <w:t xml:space="preserve">with estimates of per student expenditure on goods and services (living expenses) from </w:t>
      </w:r>
      <w:r>
        <w:t>the Universities</w:t>
      </w:r>
      <w:r w:rsidRPr="00380186">
        <w:t xml:space="preserve"> Australia</w:t>
      </w:r>
      <w:r>
        <w:t xml:space="preserve"> </w:t>
      </w:r>
      <w:r w:rsidRPr="003B260D">
        <w:rPr>
          <w:i/>
        </w:rPr>
        <w:t>2010 Survey of International Student Spending</w:t>
      </w:r>
      <w:r w:rsidRPr="00380186">
        <w:t>.</w:t>
      </w:r>
    </w:p>
    <w:p w14:paraId="1A2081B7" w14:textId="77777777" w:rsidR="00A54C9F" w:rsidRDefault="00A54C9F" w:rsidP="00A54C9F">
      <w:pPr>
        <w:pStyle w:val="BodyText"/>
      </w:pPr>
      <w:r>
        <w:t>Mode 4 covers the</w:t>
      </w:r>
      <w:r w:rsidRPr="00C07D98">
        <w:t xml:space="preserve"> </w:t>
      </w:r>
      <w:r>
        <w:t>presence of Australian educators overseas for a period under 12 months for the provision of education services. It includes:</w:t>
      </w:r>
    </w:p>
    <w:p w14:paraId="6C1CFD41" w14:textId="77777777" w:rsidR="00A54C9F" w:rsidRDefault="00A54C9F" w:rsidP="00A54C9F">
      <w:pPr>
        <w:pStyle w:val="Bullet1"/>
      </w:pPr>
      <w:proofErr w:type="gramStart"/>
      <w:r w:rsidRPr="00154306">
        <w:rPr>
          <w:b/>
          <w:bCs/>
          <w:color w:val="002776"/>
          <w:lang w:eastAsia="en-US"/>
        </w:rPr>
        <w:lastRenderedPageBreak/>
        <w:t>educational</w:t>
      </w:r>
      <w:proofErr w:type="gramEnd"/>
      <w:r w:rsidRPr="00154306">
        <w:rPr>
          <w:b/>
          <w:bCs/>
          <w:color w:val="002776"/>
          <w:lang w:eastAsia="en-US"/>
        </w:rPr>
        <w:t xml:space="preserve"> services</w:t>
      </w:r>
      <w:r w:rsidRPr="006F7465">
        <w:rPr>
          <w:bCs/>
          <w:lang w:eastAsia="en-US"/>
        </w:rPr>
        <w:t>,</w:t>
      </w:r>
      <w:r w:rsidRPr="006F7465">
        <w:rPr>
          <w:lang w:eastAsia="en-US"/>
        </w:rPr>
        <w:t> such as</w:t>
      </w:r>
      <w:r>
        <w:rPr>
          <w:lang w:eastAsia="en-US"/>
        </w:rPr>
        <w:t xml:space="preserve"> </w:t>
      </w:r>
      <w:r w:rsidRPr="001C6240">
        <w:rPr>
          <w:lang w:eastAsia="en-US"/>
        </w:rPr>
        <w:t xml:space="preserve">management services related to the provision of education services, professional education services provided abroad, provision of correspondence courses, and teaching by employees of </w:t>
      </w:r>
      <w:r>
        <w:rPr>
          <w:lang w:eastAsia="en-US"/>
        </w:rPr>
        <w:t>the Australian</w:t>
      </w:r>
      <w:r w:rsidRPr="001C6240">
        <w:rPr>
          <w:lang w:eastAsia="en-US"/>
        </w:rPr>
        <w:t xml:space="preserve"> business in courses provided at institutions abroad. This excludes services provided in Australia to foreign students and services provided abroad by overseas campuses of </w:t>
      </w:r>
      <w:r>
        <w:rPr>
          <w:lang w:eastAsia="en-US"/>
        </w:rPr>
        <w:t>the Australian</w:t>
      </w:r>
      <w:r w:rsidRPr="001C6240">
        <w:rPr>
          <w:lang w:eastAsia="en-US"/>
        </w:rPr>
        <w:t xml:space="preserve"> business</w:t>
      </w:r>
      <w:r>
        <w:rPr>
          <w:lang w:eastAsia="en-US"/>
        </w:rPr>
        <w:t>;</w:t>
      </w:r>
    </w:p>
    <w:p w14:paraId="2F2C9429" w14:textId="77777777" w:rsidR="00A54C9F" w:rsidRDefault="00A54C9F" w:rsidP="00A54C9F">
      <w:pPr>
        <w:pStyle w:val="Bullet1"/>
      </w:pPr>
      <w:proofErr w:type="gramStart"/>
      <w:r w:rsidRPr="00154306">
        <w:rPr>
          <w:b/>
          <w:bCs/>
          <w:color w:val="002776"/>
        </w:rPr>
        <w:t>educational</w:t>
      </w:r>
      <w:proofErr w:type="gramEnd"/>
      <w:r w:rsidRPr="00154306">
        <w:rPr>
          <w:b/>
          <w:bCs/>
          <w:color w:val="002776"/>
        </w:rPr>
        <w:t xml:space="preserve"> services provided through registered education institutions</w:t>
      </w:r>
      <w:r w:rsidRPr="00154306">
        <w:rPr>
          <w:color w:val="002776"/>
        </w:rPr>
        <w:t> </w:t>
      </w:r>
      <w:r w:rsidRPr="006F7465">
        <w:t>covers transactions of courses conducted at overseas institutions and courses conducted by non</w:t>
      </w:r>
      <w:r w:rsidRPr="006F7465">
        <w:noBreakHyphen/>
        <w:t>residents at Australian institutions.</w:t>
      </w:r>
    </w:p>
    <w:p w14:paraId="1F7DD533" w14:textId="0936F782" w:rsidR="00A54C9F" w:rsidRPr="00A54C9F" w:rsidRDefault="00A54C9F" w:rsidP="00A86CA1">
      <w:pPr>
        <w:pStyle w:val="BodyText"/>
      </w:pPr>
      <w:r>
        <w:t xml:space="preserve">The ABS estimates export revenue from mode 4 by sampling the sector (in a similar manner to mode 1).  </w:t>
      </w:r>
    </w:p>
    <w:p w14:paraId="3968C332" w14:textId="77777777" w:rsidR="00921041" w:rsidRDefault="009052EF" w:rsidP="00B45B5C">
      <w:pPr>
        <w:pStyle w:val="Appendix"/>
      </w:pPr>
      <w:bookmarkStart w:id="398" w:name="_Toc442369999"/>
      <w:bookmarkStart w:id="399" w:name="_Toc442370002"/>
      <w:bookmarkStart w:id="400" w:name="_Toc442370003"/>
      <w:bookmarkStart w:id="401" w:name="_Toc442370006"/>
      <w:bookmarkStart w:id="402" w:name="_Ref441652618"/>
      <w:bookmarkStart w:id="403" w:name="_Toc450809256"/>
      <w:bookmarkEnd w:id="398"/>
      <w:bookmarkEnd w:id="399"/>
      <w:bookmarkEnd w:id="400"/>
      <w:bookmarkEnd w:id="401"/>
      <w:r>
        <w:lastRenderedPageBreak/>
        <w:t xml:space="preserve">: </w:t>
      </w:r>
      <w:r w:rsidR="00921041">
        <w:t xml:space="preserve">Non-student visa </w:t>
      </w:r>
      <w:proofErr w:type="spellStart"/>
      <w:r w:rsidR="00921041">
        <w:t>ELICOS</w:t>
      </w:r>
      <w:proofErr w:type="spellEnd"/>
      <w:r w:rsidR="00921041">
        <w:t xml:space="preserve"> student revenue</w:t>
      </w:r>
      <w:bookmarkEnd w:id="402"/>
      <w:bookmarkEnd w:id="403"/>
    </w:p>
    <w:p w14:paraId="03151B73" w14:textId="77777777" w:rsidR="00921041" w:rsidRDefault="006B3D5E" w:rsidP="00921041">
      <w:pPr>
        <w:pStyle w:val="BodyText"/>
      </w:pPr>
      <w:r>
        <w:t>T</w:t>
      </w:r>
      <w:r w:rsidR="00921041">
        <w:t>he revenue from non-student visa (</w:t>
      </w:r>
      <w:proofErr w:type="spellStart"/>
      <w:r w:rsidR="00921041">
        <w:t>NSV</w:t>
      </w:r>
      <w:proofErr w:type="spellEnd"/>
      <w:r w:rsidR="00921041">
        <w:t xml:space="preserve">) </w:t>
      </w:r>
      <w:proofErr w:type="spellStart"/>
      <w:r>
        <w:t>ELICOS</w:t>
      </w:r>
      <w:proofErr w:type="spellEnd"/>
      <w:r>
        <w:t xml:space="preserve"> students has been estimated using ABS data on student visa (</w:t>
      </w:r>
      <w:proofErr w:type="spellStart"/>
      <w:r>
        <w:t>SV</w:t>
      </w:r>
      <w:proofErr w:type="spellEnd"/>
      <w:r>
        <w:t xml:space="preserve">) </w:t>
      </w:r>
      <w:proofErr w:type="spellStart"/>
      <w:r>
        <w:t>ELICOS</w:t>
      </w:r>
      <w:proofErr w:type="spellEnd"/>
      <w:r>
        <w:t xml:space="preserve"> student revenue, </w:t>
      </w:r>
      <w:proofErr w:type="spellStart"/>
      <w:r>
        <w:t>DET</w:t>
      </w:r>
      <w:proofErr w:type="spellEnd"/>
      <w:r>
        <w:t xml:space="preserve"> data on </w:t>
      </w:r>
      <w:proofErr w:type="spellStart"/>
      <w:r>
        <w:t>SV</w:t>
      </w:r>
      <w:proofErr w:type="spellEnd"/>
      <w:r>
        <w:t xml:space="preserve"> </w:t>
      </w:r>
      <w:proofErr w:type="spellStart"/>
      <w:r>
        <w:t>ELICOS</w:t>
      </w:r>
      <w:proofErr w:type="spellEnd"/>
      <w:r>
        <w:t xml:space="preserve"> enrolments, and English Australia survey data on the likely size and characteristics of the </w:t>
      </w:r>
      <w:proofErr w:type="spellStart"/>
      <w:r>
        <w:t>NSV</w:t>
      </w:r>
      <w:proofErr w:type="spellEnd"/>
      <w:r>
        <w:t xml:space="preserve"> </w:t>
      </w:r>
      <w:proofErr w:type="spellStart"/>
      <w:r>
        <w:t>ELICOS</w:t>
      </w:r>
      <w:proofErr w:type="spellEnd"/>
      <w:r>
        <w:t xml:space="preserve"> cohort </w:t>
      </w:r>
      <w:r w:rsidR="00921041">
        <w:t xml:space="preserve">for each state including: </w:t>
      </w:r>
    </w:p>
    <w:p w14:paraId="5BCACCCA" w14:textId="77777777" w:rsidR="00921041" w:rsidRDefault="00921041" w:rsidP="00921041">
      <w:pPr>
        <w:pStyle w:val="Bullet1"/>
      </w:pPr>
      <w:r>
        <w:t xml:space="preserve">the proportion of </w:t>
      </w:r>
      <w:proofErr w:type="spellStart"/>
      <w:r>
        <w:t>SV</w:t>
      </w:r>
      <w:proofErr w:type="spellEnd"/>
      <w:r>
        <w:t xml:space="preserve"> to </w:t>
      </w:r>
      <w:proofErr w:type="spellStart"/>
      <w:r>
        <w:t>NSV</w:t>
      </w:r>
      <w:proofErr w:type="spellEnd"/>
      <w:r>
        <w:t xml:space="preserve"> enrolments; </w:t>
      </w:r>
    </w:p>
    <w:p w14:paraId="0E1F3C34" w14:textId="77777777" w:rsidR="00921041" w:rsidRDefault="00921041" w:rsidP="00921041">
      <w:pPr>
        <w:pStyle w:val="Bullet1"/>
      </w:pPr>
      <w:r>
        <w:t xml:space="preserve">the average length of study; and </w:t>
      </w:r>
    </w:p>
    <w:p w14:paraId="5F5540B3" w14:textId="77777777" w:rsidR="00921041" w:rsidRDefault="00921041" w:rsidP="00921041">
      <w:pPr>
        <w:pStyle w:val="Bullet1"/>
      </w:pPr>
      <w:proofErr w:type="gramStart"/>
      <w:r>
        <w:t>the</w:t>
      </w:r>
      <w:proofErr w:type="gramEnd"/>
      <w:r>
        <w:t xml:space="preserve"> average expenditure on fees (and goods and services) per week</w:t>
      </w:r>
      <w:r w:rsidR="006B3D5E">
        <w:t>.</w:t>
      </w:r>
    </w:p>
    <w:p w14:paraId="649FFA80" w14:textId="77777777" w:rsidR="00921041" w:rsidRDefault="006B3D5E" w:rsidP="00921041">
      <w:pPr>
        <w:pStyle w:val="Bullet1"/>
        <w:numPr>
          <w:ilvl w:val="0"/>
          <w:numId w:val="0"/>
        </w:numPr>
      </w:pPr>
      <w:r>
        <w:t xml:space="preserve">These </w:t>
      </w:r>
      <w:r w:rsidR="00921041">
        <w:t xml:space="preserve">are applied to the population </w:t>
      </w:r>
      <w:proofErr w:type="spellStart"/>
      <w:r w:rsidR="00921041">
        <w:t>SV</w:t>
      </w:r>
      <w:proofErr w:type="spellEnd"/>
      <w:r w:rsidR="00921041">
        <w:t xml:space="preserve"> data to estimate the likely size of the </w:t>
      </w:r>
      <w:proofErr w:type="spellStart"/>
      <w:r w:rsidR="00921041">
        <w:t>NSV</w:t>
      </w:r>
      <w:proofErr w:type="spellEnd"/>
      <w:r w:rsidR="00921041">
        <w:t xml:space="preserve"> population, and their expenditure on fees and goods and services. </w:t>
      </w:r>
    </w:p>
    <w:p w14:paraId="6859FAC8" w14:textId="77777777" w:rsidR="00921041" w:rsidRPr="000349C1" w:rsidRDefault="00921041" w:rsidP="00163EA3">
      <w:pPr>
        <w:pStyle w:val="BodyText"/>
        <w:outlineLvl w:val="0"/>
        <w:rPr>
          <w:i/>
          <w:color w:val="002776" w:themeColor="text2"/>
        </w:rPr>
      </w:pPr>
      <w:r w:rsidRPr="000349C1">
        <w:rPr>
          <w:i/>
          <w:color w:val="002776" w:themeColor="text2"/>
        </w:rPr>
        <w:t xml:space="preserve">Number of non-student visa enrolments </w:t>
      </w:r>
    </w:p>
    <w:p w14:paraId="5EF6B547" w14:textId="77777777" w:rsidR="00921041" w:rsidRDefault="00921041" w:rsidP="00921041">
      <w:pPr>
        <w:pStyle w:val="BodyText"/>
      </w:pPr>
      <w:r>
        <w:t xml:space="preserve">Assuming the </w:t>
      </w:r>
      <w:proofErr w:type="spellStart"/>
      <w:r>
        <w:t>DET</w:t>
      </w:r>
      <w:proofErr w:type="spellEnd"/>
      <w:r>
        <w:t xml:space="preserve"> student enrolment figures over the year 2014 to represent the true </w:t>
      </w:r>
      <w:proofErr w:type="spellStart"/>
      <w:r>
        <w:t>SV</w:t>
      </w:r>
      <w:proofErr w:type="spellEnd"/>
      <w:r>
        <w:t xml:space="preserve"> population, the English Australia survey proportion of </w:t>
      </w:r>
      <w:proofErr w:type="spellStart"/>
      <w:r>
        <w:t>SV</w:t>
      </w:r>
      <w:proofErr w:type="spellEnd"/>
      <w:r>
        <w:t xml:space="preserve"> to </w:t>
      </w:r>
      <w:proofErr w:type="spellStart"/>
      <w:r>
        <w:t>NSV</w:t>
      </w:r>
      <w:proofErr w:type="spellEnd"/>
      <w:r>
        <w:t xml:space="preserve"> enrolments for each state is applied to estimate the number of </w:t>
      </w:r>
      <w:proofErr w:type="spellStart"/>
      <w:r>
        <w:t>NSV</w:t>
      </w:r>
      <w:proofErr w:type="spellEnd"/>
      <w:r>
        <w:t xml:space="preserve"> enrolments in each state. </w:t>
      </w:r>
    </w:p>
    <w:p w14:paraId="399550D7" w14:textId="77777777" w:rsidR="00921041" w:rsidRDefault="00921041" w:rsidP="00921041">
      <w:pPr>
        <w:pStyle w:val="BodyText"/>
      </w:pPr>
      <w:r>
        <w:t xml:space="preserve">While the results of the English Australia survey are broken down at state levels for New South Wales, Victoria, Queensland, South Australia and Western Australia, there is no disaggregated data for Tasmania, the Northern Territory, and the Australian Capital Territory due to their small sample sizes. Indeed, in the 2015 survey, </w:t>
      </w:r>
      <w:r w:rsidRPr="003B3A14">
        <w:t xml:space="preserve">only one college from Tasmania and </w:t>
      </w:r>
      <w:r>
        <w:t xml:space="preserve">the </w:t>
      </w:r>
      <w:r w:rsidRPr="003B3A14">
        <w:t>N</w:t>
      </w:r>
      <w:r>
        <w:t xml:space="preserve">orthern </w:t>
      </w:r>
      <w:r w:rsidRPr="003B3A14">
        <w:t>T</w:t>
      </w:r>
      <w:r>
        <w:t>erritory</w:t>
      </w:r>
      <w:r w:rsidRPr="003B3A14">
        <w:t xml:space="preserve"> participated, and there were no responses </w:t>
      </w:r>
      <w:r w:rsidRPr="00E4503E">
        <w:t xml:space="preserve">from </w:t>
      </w:r>
      <w:r w:rsidRPr="00EA1B94">
        <w:t>Australian Capital T</w:t>
      </w:r>
      <w:r w:rsidRPr="00E4503E">
        <w:t>erritory based organisations</w:t>
      </w:r>
      <w:r w:rsidRPr="003B3A14">
        <w:t>.</w:t>
      </w:r>
      <w:r>
        <w:t xml:space="preserve"> For these states, the national average of the </w:t>
      </w:r>
      <w:proofErr w:type="spellStart"/>
      <w:r>
        <w:t>SV</w:t>
      </w:r>
      <w:proofErr w:type="spellEnd"/>
      <w:r>
        <w:t xml:space="preserve"> to </w:t>
      </w:r>
      <w:proofErr w:type="spellStart"/>
      <w:r>
        <w:t>NSV</w:t>
      </w:r>
      <w:proofErr w:type="spellEnd"/>
      <w:r>
        <w:t xml:space="preserve"> enrolment ratio is used. This implies that the unrepresented states attract </w:t>
      </w:r>
      <w:proofErr w:type="spellStart"/>
      <w:r>
        <w:t>NSV</w:t>
      </w:r>
      <w:proofErr w:type="spellEnd"/>
      <w:r>
        <w:t xml:space="preserve"> and </w:t>
      </w:r>
      <w:proofErr w:type="spellStart"/>
      <w:r>
        <w:t>SV</w:t>
      </w:r>
      <w:proofErr w:type="spellEnd"/>
      <w:r>
        <w:t xml:space="preserve"> enrolments in the same proportions as the rest of the country. This may not necessarily be the case, with a consultation participant noting that regional centres are likely to have a relatively higher proportion of </w:t>
      </w:r>
      <w:proofErr w:type="spellStart"/>
      <w:r>
        <w:t>SV</w:t>
      </w:r>
      <w:proofErr w:type="spellEnd"/>
      <w:r>
        <w:t xml:space="preserve"> students. This means that the national average could be an overestimation of the number of </w:t>
      </w:r>
      <w:proofErr w:type="spellStart"/>
      <w:r>
        <w:t>NSV</w:t>
      </w:r>
      <w:proofErr w:type="spellEnd"/>
      <w:r>
        <w:t xml:space="preserve"> students in those states.</w:t>
      </w:r>
    </w:p>
    <w:p w14:paraId="304B1F19" w14:textId="77777777" w:rsidR="00921041" w:rsidRDefault="00921041" w:rsidP="00921041">
      <w:pPr>
        <w:pStyle w:val="BodyText"/>
      </w:pPr>
      <w:r>
        <w:rPr>
          <w:b/>
          <w:color w:val="002776" w:themeColor="text2"/>
        </w:rPr>
        <w:t>Deloitte Access Economics estimates</w:t>
      </w:r>
      <w:r w:rsidRPr="000349C1">
        <w:rPr>
          <w:b/>
          <w:color w:val="002776" w:themeColor="text2"/>
        </w:rPr>
        <w:t xml:space="preserve"> that there were approximately 71,940 </w:t>
      </w:r>
      <w:proofErr w:type="spellStart"/>
      <w:r w:rsidRPr="000349C1">
        <w:rPr>
          <w:b/>
          <w:color w:val="002776" w:themeColor="text2"/>
        </w:rPr>
        <w:t>NSV</w:t>
      </w:r>
      <w:proofErr w:type="spellEnd"/>
      <w:r w:rsidRPr="000349C1">
        <w:rPr>
          <w:b/>
          <w:color w:val="002776" w:themeColor="text2"/>
        </w:rPr>
        <w:t xml:space="preserve"> international enrolments in the </w:t>
      </w:r>
      <w:proofErr w:type="spellStart"/>
      <w:r w:rsidRPr="000349C1">
        <w:rPr>
          <w:b/>
          <w:color w:val="002776" w:themeColor="text2"/>
        </w:rPr>
        <w:t>ELICOS</w:t>
      </w:r>
      <w:proofErr w:type="spellEnd"/>
      <w:r w:rsidRPr="000349C1">
        <w:rPr>
          <w:b/>
          <w:color w:val="002776" w:themeColor="text2"/>
        </w:rPr>
        <w:t xml:space="preserve"> sector in 2014.</w:t>
      </w:r>
      <w:r w:rsidRPr="000349C1">
        <w:rPr>
          <w:color w:val="002776" w:themeColor="text2"/>
        </w:rPr>
        <w:t xml:space="preserve"> </w:t>
      </w:r>
      <w:r>
        <w:t xml:space="preserve">The biggest </w:t>
      </w:r>
      <w:proofErr w:type="spellStart"/>
      <w:r>
        <w:t>NSV</w:t>
      </w:r>
      <w:proofErr w:type="spellEnd"/>
      <w:r>
        <w:t xml:space="preserve"> </w:t>
      </w:r>
      <w:proofErr w:type="spellStart"/>
      <w:r>
        <w:t>ELICOS</w:t>
      </w:r>
      <w:proofErr w:type="spellEnd"/>
      <w:r>
        <w:t xml:space="preserve"> market is New South Wales, which had 25,580 enrolments in 2014, followed by Queensland and Victoria, with 23,620 and 12,660 enrolments respectively. </w:t>
      </w:r>
    </w:p>
    <w:p w14:paraId="4CF4D780" w14:textId="77777777" w:rsidR="00921041" w:rsidRPr="000349C1" w:rsidRDefault="00921041" w:rsidP="00163EA3">
      <w:pPr>
        <w:pStyle w:val="BodyText"/>
        <w:outlineLvl w:val="0"/>
        <w:rPr>
          <w:i/>
          <w:color w:val="002776" w:themeColor="text2"/>
        </w:rPr>
      </w:pPr>
      <w:r w:rsidRPr="000349C1">
        <w:rPr>
          <w:i/>
          <w:color w:val="002776" w:themeColor="text2"/>
        </w:rPr>
        <w:t xml:space="preserve">Average number of weeks studied by </w:t>
      </w:r>
      <w:proofErr w:type="spellStart"/>
      <w:r w:rsidRPr="000349C1">
        <w:rPr>
          <w:i/>
          <w:color w:val="002776" w:themeColor="text2"/>
        </w:rPr>
        <w:t>SV</w:t>
      </w:r>
      <w:proofErr w:type="spellEnd"/>
      <w:r w:rsidRPr="000349C1">
        <w:rPr>
          <w:i/>
          <w:color w:val="002776" w:themeColor="text2"/>
        </w:rPr>
        <w:t xml:space="preserve"> and </w:t>
      </w:r>
      <w:proofErr w:type="spellStart"/>
      <w:r w:rsidRPr="000349C1">
        <w:rPr>
          <w:i/>
          <w:color w:val="002776" w:themeColor="text2"/>
        </w:rPr>
        <w:t>NSV</w:t>
      </w:r>
      <w:proofErr w:type="spellEnd"/>
      <w:r w:rsidRPr="000349C1">
        <w:rPr>
          <w:i/>
          <w:color w:val="002776" w:themeColor="text2"/>
        </w:rPr>
        <w:t xml:space="preserve"> enrolments</w:t>
      </w:r>
    </w:p>
    <w:p w14:paraId="67FC2609" w14:textId="77777777" w:rsidR="00921041" w:rsidRDefault="00921041" w:rsidP="00921041">
      <w:pPr>
        <w:pStyle w:val="BodyText"/>
      </w:pPr>
      <w:r>
        <w:t xml:space="preserve">The English Australia survey provides the average student weeks for both </w:t>
      </w:r>
      <w:proofErr w:type="spellStart"/>
      <w:r>
        <w:t>NSV</w:t>
      </w:r>
      <w:proofErr w:type="spellEnd"/>
      <w:r>
        <w:t xml:space="preserve"> and </w:t>
      </w:r>
      <w:proofErr w:type="spellStart"/>
      <w:r>
        <w:t>SV</w:t>
      </w:r>
      <w:proofErr w:type="spellEnd"/>
      <w:r>
        <w:t xml:space="preserve"> enrolments for the states of New South Wales, Victoria, Queensland, South Australia and Western Australia. For the unrepresented states, the national average for </w:t>
      </w:r>
      <w:proofErr w:type="spellStart"/>
      <w:r>
        <w:t>SV</w:t>
      </w:r>
      <w:proofErr w:type="spellEnd"/>
      <w:r>
        <w:t xml:space="preserve"> and </w:t>
      </w:r>
      <w:proofErr w:type="spellStart"/>
      <w:r>
        <w:t>NSV</w:t>
      </w:r>
      <w:proofErr w:type="spellEnd"/>
      <w:r>
        <w:t xml:space="preserve"> enrolment lengths were used, similar to the </w:t>
      </w:r>
      <w:proofErr w:type="spellStart"/>
      <w:r>
        <w:t>SV</w:t>
      </w:r>
      <w:proofErr w:type="spellEnd"/>
      <w:r>
        <w:t xml:space="preserve"> to </w:t>
      </w:r>
      <w:proofErr w:type="spellStart"/>
      <w:r>
        <w:t>NSV</w:t>
      </w:r>
      <w:proofErr w:type="spellEnd"/>
      <w:r>
        <w:t xml:space="preserve"> enrolment proportions.</w:t>
      </w:r>
    </w:p>
    <w:p w14:paraId="4F4C0D9F" w14:textId="77777777" w:rsidR="00921041" w:rsidRDefault="00921041" w:rsidP="00921041">
      <w:pPr>
        <w:pStyle w:val="BodyText"/>
      </w:pPr>
      <w:r w:rsidRPr="003B260D">
        <w:t xml:space="preserve">The survey data shows that the average </w:t>
      </w:r>
      <w:proofErr w:type="spellStart"/>
      <w:r w:rsidRPr="003B260D">
        <w:t>SV</w:t>
      </w:r>
      <w:proofErr w:type="spellEnd"/>
      <w:r w:rsidRPr="003B260D">
        <w:t xml:space="preserve"> enrolment length in 2014 was longest in South Australia, standing at 18.5 weeks, compared to just 15.5 weeks in New South Wales. </w:t>
      </w:r>
      <w:r w:rsidRPr="00793985">
        <w:t xml:space="preserve">While </w:t>
      </w:r>
      <w:r w:rsidRPr="00793985">
        <w:lastRenderedPageBreak/>
        <w:t xml:space="preserve">for </w:t>
      </w:r>
      <w:proofErr w:type="spellStart"/>
      <w:r w:rsidRPr="00793985">
        <w:t>NSV</w:t>
      </w:r>
      <w:proofErr w:type="spellEnd"/>
      <w:r w:rsidRPr="00793985">
        <w:t xml:space="preserve"> enrolments, </w:t>
      </w:r>
      <w:r>
        <w:t xml:space="preserve">the average enrolment period was longest in </w:t>
      </w:r>
      <w:r w:rsidRPr="00793985">
        <w:t xml:space="preserve">Victoria </w:t>
      </w:r>
      <w:r>
        <w:t xml:space="preserve">at </w:t>
      </w:r>
      <w:r w:rsidRPr="00793985">
        <w:t>7.6 weeks, compared to just 5.8 weeks in Western Australia.</w:t>
      </w:r>
      <w:r>
        <w:t xml:space="preserve"> </w:t>
      </w:r>
    </w:p>
    <w:p w14:paraId="33B36B3F" w14:textId="77777777" w:rsidR="00921041" w:rsidRPr="000349C1" w:rsidRDefault="00921041" w:rsidP="00163EA3">
      <w:pPr>
        <w:pStyle w:val="BodyText"/>
        <w:outlineLvl w:val="0"/>
        <w:rPr>
          <w:i/>
          <w:color w:val="002776" w:themeColor="text2"/>
        </w:rPr>
      </w:pPr>
      <w:r w:rsidRPr="000349C1">
        <w:rPr>
          <w:i/>
          <w:color w:val="002776" w:themeColor="text2"/>
        </w:rPr>
        <w:t>Average fees (and living expenses) per week</w:t>
      </w:r>
    </w:p>
    <w:p w14:paraId="05262B9A" w14:textId="77777777" w:rsidR="00921041" w:rsidRDefault="00921041" w:rsidP="00921041">
      <w:pPr>
        <w:pStyle w:val="BodyText"/>
      </w:pPr>
      <w:r>
        <w:t xml:space="preserve">The ABS export revenue from </w:t>
      </w:r>
      <w:proofErr w:type="spellStart"/>
      <w:r>
        <w:t>SV</w:t>
      </w:r>
      <w:proofErr w:type="spellEnd"/>
      <w:r>
        <w:t xml:space="preserve"> </w:t>
      </w:r>
      <w:proofErr w:type="spellStart"/>
      <w:r>
        <w:t>ELICOS</w:t>
      </w:r>
      <w:proofErr w:type="spellEnd"/>
      <w:r>
        <w:t xml:space="preserve"> students is estimated at the state and territory level by apportioning the sector total ($544 million over the 2014-15 period) across the states by the 2014 </w:t>
      </w:r>
      <w:proofErr w:type="spellStart"/>
      <w:r>
        <w:t>DET</w:t>
      </w:r>
      <w:proofErr w:type="spellEnd"/>
      <w:r>
        <w:t xml:space="preserve"> enrolment figures. For instance, if enrolments in New South Wales made up 40% of total </w:t>
      </w:r>
      <w:proofErr w:type="spellStart"/>
      <w:r>
        <w:t>SV</w:t>
      </w:r>
      <w:proofErr w:type="spellEnd"/>
      <w:r>
        <w:t xml:space="preserve"> </w:t>
      </w:r>
      <w:proofErr w:type="spellStart"/>
      <w:r>
        <w:t>ELICOS</w:t>
      </w:r>
      <w:proofErr w:type="spellEnd"/>
      <w:r>
        <w:t xml:space="preserve"> students, it is assumed that the revenue from fees is also equal to 40% of the national total, or approximately $217 million in dollar terms. This assumes that average fees for each </w:t>
      </w:r>
      <w:proofErr w:type="spellStart"/>
      <w:r>
        <w:t>SV</w:t>
      </w:r>
      <w:proofErr w:type="spellEnd"/>
      <w:r>
        <w:t xml:space="preserve"> </w:t>
      </w:r>
      <w:proofErr w:type="spellStart"/>
      <w:r>
        <w:t>ELICOS</w:t>
      </w:r>
      <w:proofErr w:type="spellEnd"/>
      <w:r>
        <w:t xml:space="preserve"> enrolment is the same across the states. Note that the fee revenue from the other education sectors is similarly apportioned between the states.</w:t>
      </w:r>
      <w:r>
        <w:rPr>
          <w:rStyle w:val="FootnoteReference"/>
        </w:rPr>
        <w:footnoteReference w:id="22"/>
      </w:r>
      <w:r>
        <w:t xml:space="preserve"> </w:t>
      </w:r>
    </w:p>
    <w:p w14:paraId="24637303" w14:textId="77777777" w:rsidR="00921041" w:rsidRDefault="00921041" w:rsidP="00921041">
      <w:pPr>
        <w:pStyle w:val="BodyText"/>
      </w:pPr>
      <w:r>
        <w:t>For each state, the estimated fees are subtracted from the ABS state data on the total education related personal travel export revenue in each state, and attributed to student expenditure on goods and services.</w:t>
      </w:r>
      <w:r>
        <w:rPr>
          <w:rStyle w:val="FootnoteReference"/>
        </w:rPr>
        <w:footnoteReference w:id="23"/>
      </w:r>
      <w:r>
        <w:t xml:space="preserve"> To ensure that both the state total revenues and national sector revenues add up, student expenditure on goods and services have been adjusted to reflect the different price levels between the states. </w:t>
      </w:r>
    </w:p>
    <w:p w14:paraId="163FF92F" w14:textId="77777777" w:rsidR="00921041" w:rsidRDefault="00921041" w:rsidP="00921041">
      <w:pPr>
        <w:pStyle w:val="BodyText"/>
      </w:pPr>
      <w:r>
        <w:t xml:space="preserve">The estimated fees and expenditure on goods and services are divided by the average number of enrolment weeks for </w:t>
      </w:r>
      <w:proofErr w:type="spellStart"/>
      <w:r>
        <w:t>SV</w:t>
      </w:r>
      <w:proofErr w:type="spellEnd"/>
      <w:r>
        <w:t xml:space="preserve"> to find out the average expenditure on fees, and goods and services per week for each state. This assumes that </w:t>
      </w:r>
      <w:proofErr w:type="spellStart"/>
      <w:r>
        <w:t>NSV</w:t>
      </w:r>
      <w:proofErr w:type="spellEnd"/>
      <w:r>
        <w:t xml:space="preserve"> students spend similar amounts on their fees and other goods and services as their </w:t>
      </w:r>
      <w:proofErr w:type="spellStart"/>
      <w:r>
        <w:t>SV</w:t>
      </w:r>
      <w:proofErr w:type="spellEnd"/>
      <w:r>
        <w:t xml:space="preserve"> counterparts. Consultation participants have revealed that this may not necessarily be the case, with those students who have enrolled through agents or studying longer term likely to be paying discounted fees. This suggests that it is possible that </w:t>
      </w:r>
      <w:proofErr w:type="spellStart"/>
      <w:r>
        <w:t>NSV</w:t>
      </w:r>
      <w:proofErr w:type="spellEnd"/>
      <w:r>
        <w:t xml:space="preserve"> students, who study for shorter periods of time on average, are paying higher fees per week compared to their </w:t>
      </w:r>
      <w:proofErr w:type="spellStart"/>
      <w:r>
        <w:t>SV</w:t>
      </w:r>
      <w:proofErr w:type="spellEnd"/>
      <w:r>
        <w:t xml:space="preserve"> counterparts. Similarly, for </w:t>
      </w:r>
      <w:proofErr w:type="spellStart"/>
      <w:r>
        <w:t>NSV</w:t>
      </w:r>
      <w:proofErr w:type="spellEnd"/>
      <w:r>
        <w:t xml:space="preserve"> students who are also concurrently sightseeing during their studies, it is possible that they are spending more on other goods and services as well. However, due to limitations in the data, this report is unable to account for these differences.</w:t>
      </w:r>
    </w:p>
    <w:p w14:paraId="2F47314E" w14:textId="77777777" w:rsidR="00921041" w:rsidRDefault="00921041" w:rsidP="00921041">
      <w:pPr>
        <w:pStyle w:val="BodyText"/>
      </w:pPr>
      <w:r>
        <w:t xml:space="preserve">A flow diagram of the relationship between the data elements is shown below in </w:t>
      </w:r>
      <w:r>
        <w:fldChar w:fldCharType="begin"/>
      </w:r>
      <w:r>
        <w:instrText xml:space="preserve"> REF _Ref441651701 \r \h </w:instrText>
      </w:r>
      <w:r>
        <w:fldChar w:fldCharType="separate"/>
      </w:r>
      <w:r w:rsidR="00F03FA0">
        <w:t xml:space="preserve">Figure </w:t>
      </w:r>
      <w:proofErr w:type="spellStart"/>
      <w:r w:rsidR="00F03FA0">
        <w:t>B.1</w:t>
      </w:r>
      <w:proofErr w:type="spellEnd"/>
      <w:r>
        <w:fldChar w:fldCharType="end"/>
      </w:r>
      <w:r>
        <w:t>.</w:t>
      </w:r>
    </w:p>
    <w:p w14:paraId="593B3DC6" w14:textId="77777777" w:rsidR="00921041" w:rsidRPr="00195825" w:rsidRDefault="00921041" w:rsidP="00E74E03">
      <w:pPr>
        <w:pStyle w:val="AppendixFigureCaption"/>
      </w:pPr>
      <w:bookmarkStart w:id="404" w:name="_Ref441651701"/>
      <w:bookmarkStart w:id="405" w:name="_Toc450809300"/>
      <w:r>
        <w:lastRenderedPageBreak/>
        <w:t>: Process diagram for estimating</w:t>
      </w:r>
      <w:r w:rsidRPr="006E4BFB">
        <w:t xml:space="preserve"> </w:t>
      </w:r>
      <w:r>
        <w:t xml:space="preserve">export revenue for </w:t>
      </w:r>
      <w:proofErr w:type="spellStart"/>
      <w:r>
        <w:t>NSV</w:t>
      </w:r>
      <w:proofErr w:type="spellEnd"/>
      <w:r>
        <w:t xml:space="preserve"> </w:t>
      </w:r>
      <w:proofErr w:type="spellStart"/>
      <w:r>
        <w:t>ELICOS</w:t>
      </w:r>
      <w:proofErr w:type="spellEnd"/>
      <w:r>
        <w:t xml:space="preserve"> students</w:t>
      </w:r>
      <w:bookmarkEnd w:id="404"/>
      <w:bookmarkEnd w:id="405"/>
    </w:p>
    <w:p w14:paraId="50BDB6DC" w14:textId="77777777" w:rsidR="00921041" w:rsidRDefault="00921041" w:rsidP="00921041">
      <w:pPr>
        <w:pStyle w:val="BodyText"/>
      </w:pPr>
      <w:r w:rsidRPr="00A26CBC">
        <w:rPr>
          <w:noProof/>
          <w:lang w:eastAsia="en-AU"/>
        </w:rPr>
        <w:drawing>
          <wp:inline distT="0" distB="0" distL="0" distR="0" wp14:anchorId="727B36A2" wp14:editId="7CD9873F">
            <wp:extent cx="5219700" cy="4779651"/>
            <wp:effectExtent l="0" t="0" r="0" b="0"/>
            <wp:docPr id="1" name="Picture 1" descr="The figure shows the process diagram for estimating export revenue for Non Student Visa ELICOS students.&#10;" title="Figure 8.1: Process diagram for estimating export revenue for NSV ELICOS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19700" cy="4779651"/>
                    </a:xfrm>
                    <a:prstGeom prst="rect">
                      <a:avLst/>
                    </a:prstGeom>
                    <a:noFill/>
                    <a:ln>
                      <a:noFill/>
                    </a:ln>
                  </pic:spPr>
                </pic:pic>
              </a:graphicData>
            </a:graphic>
          </wp:inline>
        </w:drawing>
      </w:r>
    </w:p>
    <w:p w14:paraId="191CFF46" w14:textId="77777777" w:rsidR="00921041" w:rsidRPr="00BB12A9" w:rsidRDefault="00921041" w:rsidP="00163EA3">
      <w:pPr>
        <w:pStyle w:val="Source"/>
        <w:outlineLvl w:val="0"/>
      </w:pPr>
      <w:r>
        <w:t>Source: Deloitte Access Economics</w:t>
      </w:r>
      <w:r w:rsidR="00285257">
        <w:t>.</w:t>
      </w:r>
    </w:p>
    <w:p w14:paraId="0879E2BF" w14:textId="77777777" w:rsidR="00921041" w:rsidRPr="003957D1" w:rsidRDefault="00921041" w:rsidP="00E74E03"/>
    <w:p w14:paraId="46FC6359" w14:textId="77777777" w:rsidR="00964949" w:rsidRDefault="00921041" w:rsidP="00B45B5C">
      <w:pPr>
        <w:pStyle w:val="Appendix"/>
      </w:pPr>
      <w:bookmarkStart w:id="406" w:name="_Ref441653715"/>
      <w:bookmarkStart w:id="407" w:name="_Toc450809257"/>
      <w:r>
        <w:lastRenderedPageBreak/>
        <w:t xml:space="preserve">: </w:t>
      </w:r>
      <w:r w:rsidR="00B45B5C">
        <w:t>Economic contribution modelling framework</w:t>
      </w:r>
      <w:bookmarkEnd w:id="406"/>
      <w:bookmarkEnd w:id="407"/>
    </w:p>
    <w:p w14:paraId="5B7C1C61" w14:textId="77777777" w:rsidR="00B45B5C" w:rsidRDefault="00B45B5C" w:rsidP="00B45B5C">
      <w:pPr>
        <w:pStyle w:val="BodyText"/>
      </w:pPr>
      <w:r w:rsidRPr="00A9242D">
        <w:t xml:space="preserve">Economic contribution studies are intended to </w:t>
      </w:r>
      <w:r>
        <w:t xml:space="preserve">quantify measures such as value </w:t>
      </w:r>
      <w:r w:rsidRPr="00A9242D">
        <w:t xml:space="preserve">added, exports, imports and employment associated with a given industry or </w:t>
      </w:r>
      <w:r>
        <w:t>firm</w:t>
      </w:r>
      <w:r w:rsidRPr="00A9242D">
        <w:t xml:space="preserve">, in a historical reference year. The economic contribution is a measure of the value of production by a </w:t>
      </w:r>
      <w:r>
        <w:t>company</w:t>
      </w:r>
      <w:r w:rsidRPr="00A9242D">
        <w:t xml:space="preserve"> or industry.</w:t>
      </w:r>
    </w:p>
    <w:p w14:paraId="4359A747" w14:textId="77777777" w:rsidR="00B45B5C" w:rsidRDefault="00B45B5C" w:rsidP="00163EA3">
      <w:pPr>
        <w:pStyle w:val="HeadingB"/>
        <w:outlineLvl w:val="0"/>
      </w:pPr>
      <w:r>
        <w:t xml:space="preserve">Value </w:t>
      </w:r>
      <w:r w:rsidRPr="00A9242D">
        <w:t>added</w:t>
      </w:r>
    </w:p>
    <w:p w14:paraId="61733A2A" w14:textId="77777777" w:rsidR="00B45B5C" w:rsidRDefault="00B45B5C" w:rsidP="00B45B5C">
      <w:pPr>
        <w:pStyle w:val="BodyText"/>
      </w:pPr>
      <w:r>
        <w:t xml:space="preserve">The measures of economic activity provided by a contribution study are consistent to those provided by the Australian Bureau of Statistics. For example, </w:t>
      </w:r>
      <w:r w:rsidRPr="0069251B">
        <w:rPr>
          <w:i/>
        </w:rPr>
        <w:t>value added</w:t>
      </w:r>
      <w:r>
        <w:t xml:space="preserve"> is the contribution the sector makes to </w:t>
      </w:r>
      <w:r w:rsidRPr="0069251B">
        <w:rPr>
          <w:i/>
        </w:rPr>
        <w:t>total factor income</w:t>
      </w:r>
      <w:r>
        <w:t xml:space="preserve"> and gross domestic product (GDP) and gross territory product.</w:t>
      </w:r>
    </w:p>
    <w:p w14:paraId="1C8B4243" w14:textId="77777777" w:rsidR="00B45B5C" w:rsidRDefault="00B45B5C" w:rsidP="00B45B5C">
      <w:pPr>
        <w:pStyle w:val="BodyText"/>
      </w:pPr>
      <w:r>
        <w:t>There a number of ways to measure GDP:</w:t>
      </w:r>
    </w:p>
    <w:p w14:paraId="2579D87C" w14:textId="77777777" w:rsidR="00B45B5C" w:rsidRDefault="00B45B5C" w:rsidP="00B45B5C">
      <w:pPr>
        <w:pStyle w:val="Bullet1"/>
      </w:pPr>
      <w:r w:rsidRPr="00802E3D">
        <w:rPr>
          <w:b/>
          <w:color w:val="002776"/>
        </w:rPr>
        <w:t>Expenditure approach</w:t>
      </w:r>
      <w:r>
        <w:t xml:space="preserve"> – measures the expenditure; of households, on investment, government and net exports</w:t>
      </w:r>
    </w:p>
    <w:p w14:paraId="4E72E636" w14:textId="77777777" w:rsidR="00B45B5C" w:rsidRPr="00A9242D" w:rsidRDefault="00B45B5C" w:rsidP="00B45B5C">
      <w:pPr>
        <w:pStyle w:val="Bullet1"/>
      </w:pPr>
      <w:r w:rsidRPr="00802E3D">
        <w:rPr>
          <w:b/>
          <w:color w:val="002776"/>
        </w:rPr>
        <w:t>Income approach</w:t>
      </w:r>
      <w:r>
        <w:t xml:space="preserve"> – measures the income in an economy by measuring the payments of wages and profits to workers and owners</w:t>
      </w:r>
    </w:p>
    <w:p w14:paraId="28F6854D" w14:textId="77777777" w:rsidR="00B45B5C" w:rsidRDefault="00B45B5C" w:rsidP="00B45B5C">
      <w:pPr>
        <w:pStyle w:val="BodyText"/>
      </w:pPr>
      <w:r>
        <w:t>Below is a discussion measuring the value added by an industry using the income approach.</w:t>
      </w:r>
    </w:p>
    <w:p w14:paraId="1464B317" w14:textId="77777777" w:rsidR="00B45B5C" w:rsidRPr="00A9242D" w:rsidRDefault="00B45B5C" w:rsidP="00163EA3">
      <w:pPr>
        <w:pStyle w:val="HeadingC"/>
        <w:spacing w:after="120"/>
        <w:outlineLvl w:val="0"/>
      </w:pPr>
      <w:r w:rsidRPr="00A9242D">
        <w:t>Measuring the economic contribution</w:t>
      </w:r>
      <w:r>
        <w:t xml:space="preserve"> – income approach</w:t>
      </w:r>
    </w:p>
    <w:p w14:paraId="76374435" w14:textId="77777777" w:rsidR="00B45B5C" w:rsidRPr="00A9242D" w:rsidRDefault="00B45B5C" w:rsidP="00B45B5C">
      <w:pPr>
        <w:pStyle w:val="BodyText"/>
        <w:spacing w:after="120"/>
      </w:pPr>
      <w:r w:rsidRPr="00A9242D">
        <w:t>There are several commonly used measures of economic activity, each of which describes a different aspect of an industry’s economic contribution:</w:t>
      </w:r>
    </w:p>
    <w:p w14:paraId="414090B4" w14:textId="77777777" w:rsidR="00B45B5C" w:rsidRPr="00A9242D" w:rsidRDefault="00B45B5C" w:rsidP="00B45B5C">
      <w:pPr>
        <w:pStyle w:val="Bullet1"/>
        <w:tabs>
          <w:tab w:val="num" w:pos="567"/>
        </w:tabs>
        <w:ind w:left="562" w:hanging="562"/>
      </w:pPr>
      <w:r w:rsidRPr="00BF07A6">
        <w:rPr>
          <w:b/>
          <w:color w:val="002776"/>
        </w:rPr>
        <w:t>Value added</w:t>
      </w:r>
      <w:r w:rsidRPr="00A9242D">
        <w:t xml:space="preserve"> measures the value of output (i.e. goods and services) generated by the entity’s factors of production (i.e. labour and capital) </w:t>
      </w:r>
      <w:r w:rsidRPr="00AA2F76">
        <w:t>as measured in the income to those factors of production.</w:t>
      </w:r>
      <w:r>
        <w:t xml:space="preserve"> The sum of value </w:t>
      </w:r>
      <w:r w:rsidRPr="00A9242D">
        <w:t xml:space="preserve">added across all entities in the economy </w:t>
      </w:r>
      <w:r>
        <w:t xml:space="preserve">plus net taxes less subsidies on products </w:t>
      </w:r>
      <w:r w:rsidRPr="00A9242D">
        <w:t>equals gross domestic product. Given the</w:t>
      </w:r>
      <w:r>
        <w:t xml:space="preserve"> relationship to GDP, the value </w:t>
      </w:r>
      <w:r w:rsidRPr="00A9242D">
        <w:t>added measure can be thought of as the increased contribution to welfare.</w:t>
      </w:r>
    </w:p>
    <w:p w14:paraId="64FC0EFF" w14:textId="77777777" w:rsidR="00B45B5C" w:rsidRPr="00A9242D" w:rsidRDefault="00B45B5C" w:rsidP="00B45B5C">
      <w:pPr>
        <w:pStyle w:val="BodyText"/>
        <w:spacing w:before="120" w:after="120"/>
        <w:ind w:left="562"/>
      </w:pPr>
      <w:r>
        <w:t xml:space="preserve">Value </w:t>
      </w:r>
      <w:r w:rsidRPr="00A9242D">
        <w:t>added is the sum of:</w:t>
      </w:r>
    </w:p>
    <w:p w14:paraId="34D84306" w14:textId="77777777" w:rsidR="00B45B5C" w:rsidRPr="00A9242D" w:rsidRDefault="00B45B5C" w:rsidP="00B45B5C">
      <w:pPr>
        <w:pStyle w:val="Bullet2"/>
      </w:pPr>
      <w:r w:rsidRPr="00A9242D">
        <w:t>Gross operating surplus (</w:t>
      </w:r>
      <w:proofErr w:type="spellStart"/>
      <w:r w:rsidRPr="00A9242D">
        <w:t>GOS</w:t>
      </w:r>
      <w:proofErr w:type="spellEnd"/>
      <w:r w:rsidRPr="00A9242D">
        <w:t xml:space="preserve">). </w:t>
      </w:r>
      <w:proofErr w:type="spellStart"/>
      <w:r w:rsidRPr="00A9242D">
        <w:t>GOS</w:t>
      </w:r>
      <w:proofErr w:type="spellEnd"/>
      <w:r w:rsidRPr="00A9242D">
        <w:t xml:space="preserve"> represents the value of income </w:t>
      </w:r>
      <w:r>
        <w:t>generated by the entity’s</w:t>
      </w:r>
      <w:r w:rsidRPr="00A9242D">
        <w:t xml:space="preserve"> capital inputs, generally measured as the earnings before interest, tax, depreciation and amortisation (EBITDA).</w:t>
      </w:r>
    </w:p>
    <w:p w14:paraId="679016B8" w14:textId="77777777" w:rsidR="00B45B5C" w:rsidRPr="00A9242D" w:rsidRDefault="00B45B5C" w:rsidP="00B45B5C">
      <w:pPr>
        <w:pStyle w:val="Bullet2"/>
      </w:pPr>
      <w:r w:rsidRPr="00A9242D">
        <w:t xml:space="preserve">Tax on production less </w:t>
      </w:r>
      <w:r>
        <w:t>subsidy provided for production</w:t>
      </w:r>
      <w:r w:rsidRPr="00A9242D">
        <w:t>. Note: given the returns to capital before tax are calculated, company tax is not included or this would dou</w:t>
      </w:r>
      <w:r>
        <w:t>ble count that tax. In addition it excludes goods and services tax, which is a tax on consumption (i.e. levied on households).</w:t>
      </w:r>
    </w:p>
    <w:p w14:paraId="1DC46D02" w14:textId="77777777" w:rsidR="00B45B5C" w:rsidRPr="00A9242D" w:rsidRDefault="00B45B5C" w:rsidP="00B45B5C">
      <w:pPr>
        <w:pStyle w:val="Bullet2"/>
      </w:pPr>
      <w:r w:rsidRPr="00A9242D">
        <w:lastRenderedPageBreak/>
        <w:t>Labour in</w:t>
      </w:r>
      <w:r>
        <w:t xml:space="preserve">come is a subcomponent of value </w:t>
      </w:r>
      <w:r w:rsidRPr="00A9242D">
        <w:t>added. It represents the value of output generated by the entity’s direct labour inputs, as measured by the income to labour.</w:t>
      </w:r>
    </w:p>
    <w:p w14:paraId="1396A93D" w14:textId="77777777" w:rsidR="00B45B5C" w:rsidRDefault="00B45B5C" w:rsidP="00B45B5C">
      <w:pPr>
        <w:pStyle w:val="BodyText"/>
      </w:pPr>
      <w:r>
        <w:fldChar w:fldCharType="begin"/>
      </w:r>
      <w:r>
        <w:instrText xml:space="preserve"> REF _Ref314643348 \r \h </w:instrText>
      </w:r>
      <w:r>
        <w:fldChar w:fldCharType="separate"/>
      </w:r>
      <w:r w:rsidR="00F03FA0">
        <w:t xml:space="preserve">Figure </w:t>
      </w:r>
      <w:proofErr w:type="spellStart"/>
      <w:r w:rsidR="00F03FA0">
        <w:t>C.1</w:t>
      </w:r>
      <w:proofErr w:type="spellEnd"/>
      <w:r>
        <w:fldChar w:fldCharType="end"/>
      </w:r>
      <w:r w:rsidRPr="00A9242D">
        <w:t xml:space="preserve"> shows the accounting framework used to evaluate economic activity, along with the </w:t>
      </w:r>
      <w:r>
        <w:t xml:space="preserve">components that make up </w:t>
      </w:r>
      <w:r w:rsidRPr="0069251B">
        <w:rPr>
          <w:i/>
        </w:rPr>
        <w:t>output</w:t>
      </w:r>
      <w:r>
        <w:t>. O</w:t>
      </w:r>
      <w:r w:rsidRPr="007C18F2">
        <w:t>utput is the sum of value added and the value of intermediate inputs</w:t>
      </w:r>
      <w:r>
        <w:t xml:space="preserve"> used by the company</w:t>
      </w:r>
      <w:r w:rsidRPr="007C18F2">
        <w:t xml:space="preserve">. </w:t>
      </w:r>
      <w:r>
        <w:t xml:space="preserve">Net taxes on products are not included in value added but are included in GDP. </w:t>
      </w:r>
    </w:p>
    <w:p w14:paraId="15E755E4" w14:textId="77777777" w:rsidR="00B45B5C" w:rsidRPr="007C18F2" w:rsidRDefault="00B45B5C" w:rsidP="00B45B5C">
      <w:pPr>
        <w:pStyle w:val="BodyText"/>
      </w:pPr>
      <w:r w:rsidRPr="007C18F2">
        <w:t>The value of intermediate inputs can also be calculated directly by summing up expenses relat</w:t>
      </w:r>
      <w:r>
        <w:t xml:space="preserve">ed to non-primary factor inputs.  </w:t>
      </w:r>
    </w:p>
    <w:p w14:paraId="66D6BF4D" w14:textId="77777777" w:rsidR="00B45B5C" w:rsidRPr="007C18F2" w:rsidRDefault="00B45B5C" w:rsidP="00B45B5C">
      <w:pPr>
        <w:pStyle w:val="AppendixFigureCaption"/>
      </w:pPr>
      <w:bookmarkStart w:id="408" w:name="_Ref314643348"/>
      <w:bookmarkStart w:id="409" w:name="_Toc381625503"/>
      <w:bookmarkStart w:id="410" w:name="_Toc383614532"/>
      <w:bookmarkStart w:id="411" w:name="_Toc393830692"/>
      <w:bookmarkStart w:id="412" w:name="_Toc435028079"/>
      <w:bookmarkStart w:id="413" w:name="_Toc450809301"/>
      <w:r w:rsidRPr="007C18F2">
        <w:t>: Economic activity accounting framework</w:t>
      </w:r>
      <w:bookmarkEnd w:id="408"/>
      <w:bookmarkEnd w:id="409"/>
      <w:bookmarkEnd w:id="410"/>
      <w:bookmarkEnd w:id="411"/>
      <w:bookmarkEnd w:id="412"/>
      <w:bookmarkEnd w:id="413"/>
    </w:p>
    <w:p w14:paraId="5775E502" w14:textId="77777777" w:rsidR="00B45B5C" w:rsidRPr="00A9242D" w:rsidRDefault="00B45B5C" w:rsidP="00B45B5C">
      <w:pPr>
        <w:pStyle w:val="Picture"/>
        <w:jc w:val="left"/>
      </w:pPr>
      <w:r>
        <w:rPr>
          <w:noProof/>
          <w:lang w:eastAsia="en-AU"/>
        </w:rPr>
        <w:drawing>
          <wp:inline distT="0" distB="0" distL="0" distR="0" wp14:anchorId="21CAF256" wp14:editId="5CC135FE">
            <wp:extent cx="5267325" cy="2638425"/>
            <wp:effectExtent l="0" t="0" r="0" b="3175"/>
            <wp:docPr id="17" name="Picture 1" descr="The figure shows the economic activity accounting framework.&#10;" title="Figure C.1: Economic activity accounting framewo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5267325" cy="2638425"/>
                    </a:xfrm>
                    <a:prstGeom prst="rect">
                      <a:avLst/>
                    </a:prstGeom>
                    <a:noFill/>
                    <a:ln w="9525">
                      <a:noFill/>
                      <a:miter lim="800000"/>
                      <a:headEnd/>
                      <a:tailEnd/>
                    </a:ln>
                  </pic:spPr>
                </pic:pic>
              </a:graphicData>
            </a:graphic>
          </wp:inline>
        </w:drawing>
      </w:r>
    </w:p>
    <w:p w14:paraId="60DF571D" w14:textId="77777777" w:rsidR="00B45B5C" w:rsidRPr="00A9242D" w:rsidRDefault="00B45B5C" w:rsidP="00163EA3">
      <w:pPr>
        <w:pStyle w:val="TableNote"/>
        <w:ind w:left="990"/>
        <w:outlineLvl w:val="0"/>
      </w:pPr>
      <w:r w:rsidRPr="00BA74B9">
        <w:t xml:space="preserve">Source:  </w:t>
      </w:r>
      <w:r w:rsidRPr="0069251B">
        <w:t xml:space="preserve">Deloitte </w:t>
      </w:r>
      <w:r w:rsidRPr="00BA74B9">
        <w:t>Access Economics.</w:t>
      </w:r>
    </w:p>
    <w:p w14:paraId="731DE81F" w14:textId="77777777" w:rsidR="00B45B5C" w:rsidRDefault="00B45B5C" w:rsidP="00B45B5C">
      <w:pPr>
        <w:pStyle w:val="BodyText"/>
      </w:pPr>
      <w:r w:rsidRPr="0036576D">
        <w:t>Contributio</w:t>
      </w:r>
      <w:r>
        <w:t>n studies generally outline e</w:t>
      </w:r>
      <w:r w:rsidRPr="0036576D">
        <w:t>mployment</w:t>
      </w:r>
      <w:r>
        <w:t xml:space="preserve"> generated by a sector. Employment</w:t>
      </w:r>
      <w:r w:rsidRPr="00A9242D">
        <w:t xml:space="preserve"> is a fundamentally different measure of activity to those above. It measures the number of workers that are employed by the entity, rather than th</w:t>
      </w:r>
      <w:r>
        <w:t>e value of the workers’ output.</w:t>
      </w:r>
    </w:p>
    <w:p w14:paraId="5D5EDF60" w14:textId="77777777" w:rsidR="00B45B5C" w:rsidRPr="00A9242D" w:rsidRDefault="00B45B5C" w:rsidP="00163EA3">
      <w:pPr>
        <w:pStyle w:val="HeadingB"/>
        <w:outlineLvl w:val="0"/>
      </w:pPr>
      <w:r w:rsidRPr="00A9242D">
        <w:t>Direct and indirect contributions</w:t>
      </w:r>
    </w:p>
    <w:p w14:paraId="1BAC584B" w14:textId="77777777" w:rsidR="00B45B5C" w:rsidRDefault="00B45B5C" w:rsidP="00B45B5C">
      <w:pPr>
        <w:pStyle w:val="BodyText"/>
      </w:pPr>
      <w:r w:rsidRPr="00A9242D">
        <w:t xml:space="preserve">The </w:t>
      </w:r>
      <w:r w:rsidRPr="00BF07A6">
        <w:rPr>
          <w:b/>
          <w:color w:val="002776"/>
        </w:rPr>
        <w:t>direct</w:t>
      </w:r>
      <w:r w:rsidRPr="00BF07A6">
        <w:rPr>
          <w:color w:val="002776"/>
        </w:rPr>
        <w:t xml:space="preserve"> </w:t>
      </w:r>
      <w:r w:rsidRPr="00A9242D">
        <w:t xml:space="preserve">economic contribution is a representation of the </w:t>
      </w:r>
      <w:r>
        <w:t>flow from labour and capital</w:t>
      </w:r>
      <w:r w:rsidRPr="00A9242D">
        <w:t xml:space="preserve"> in the </w:t>
      </w:r>
      <w:r>
        <w:t>company.</w:t>
      </w:r>
    </w:p>
    <w:p w14:paraId="3DC3F6BC" w14:textId="77777777" w:rsidR="00B45B5C" w:rsidRPr="00A9242D" w:rsidRDefault="00B45B5C" w:rsidP="00B45B5C">
      <w:pPr>
        <w:pStyle w:val="BodyText"/>
        <w:rPr>
          <w:lang w:val="en-GB"/>
        </w:rPr>
      </w:pPr>
      <w:r w:rsidRPr="00A9242D">
        <w:t>The</w:t>
      </w:r>
      <w:r w:rsidRPr="00BF07A6">
        <w:rPr>
          <w:b/>
          <w:color w:val="002776"/>
        </w:rPr>
        <w:t xml:space="preserve"> indirect</w:t>
      </w:r>
      <w:r w:rsidRPr="00A9242D">
        <w:rPr>
          <w:b/>
          <w:color w:val="931638"/>
        </w:rPr>
        <w:t xml:space="preserve"> </w:t>
      </w:r>
      <w:r w:rsidRPr="00A9242D">
        <w:t xml:space="preserve">contribution is a measure of the demand for goods and services produced in other sectors as a result of </w:t>
      </w:r>
      <w:r>
        <w:t xml:space="preserve">demand generated </w:t>
      </w:r>
      <w:r w:rsidRPr="00AA2F76">
        <w:t xml:space="preserve">by </w:t>
      </w:r>
      <w:r>
        <w:t>an industry or firm</w:t>
      </w:r>
      <w:r w:rsidRPr="00A9242D">
        <w:t xml:space="preserve">. Estimation of the </w:t>
      </w:r>
      <w:r>
        <w:t>indirect</w:t>
      </w:r>
      <w:r w:rsidRPr="00A9242D">
        <w:t xml:space="preserve"> economic contribution is undertaken in an IO framework using </w:t>
      </w:r>
      <w:r w:rsidRPr="00A9242D">
        <w:rPr>
          <w:lang w:val="en-GB"/>
        </w:rPr>
        <w:t xml:space="preserve">Australian Bureau of Statistics </w:t>
      </w:r>
      <w:r>
        <w:rPr>
          <w:lang w:val="en-GB"/>
        </w:rPr>
        <w:t>IO</w:t>
      </w:r>
      <w:r w:rsidRPr="00A9242D">
        <w:rPr>
          <w:lang w:val="en-GB"/>
        </w:rPr>
        <w:t xml:space="preserve"> tables which report the inputs and outputs of specific sectors of the economy (ABS </w:t>
      </w:r>
      <w:proofErr w:type="spellStart"/>
      <w:r>
        <w:rPr>
          <w:lang w:val="en-GB"/>
        </w:rPr>
        <w:t>2015a</w:t>
      </w:r>
      <w:proofErr w:type="spellEnd"/>
      <w:r w:rsidRPr="00A9242D">
        <w:rPr>
          <w:lang w:val="en-GB"/>
        </w:rPr>
        <w:t>).</w:t>
      </w:r>
    </w:p>
    <w:p w14:paraId="21DD5AB2" w14:textId="77777777" w:rsidR="00B45B5C" w:rsidRDefault="00B45B5C" w:rsidP="00B45B5C">
      <w:pPr>
        <w:pStyle w:val="BodyText"/>
      </w:pPr>
      <w:r w:rsidRPr="00A9242D">
        <w:t>The total economic contribution to the economy is the sum of the direct and indirect economic contributions.</w:t>
      </w:r>
    </w:p>
    <w:p w14:paraId="43ED34AF" w14:textId="77777777" w:rsidR="00B45B5C" w:rsidRDefault="00B45B5C" w:rsidP="00B45B5C">
      <w:pPr>
        <w:pStyle w:val="BodyText"/>
      </w:pPr>
      <w:r w:rsidRPr="00A9242D">
        <w:lastRenderedPageBreak/>
        <w:t>Other measures, such as total revenue or total exports</w:t>
      </w:r>
      <w:r>
        <w:t xml:space="preserve"> are useful measures of economic activity but these measures alone cannot account for the contribution made to GDP. These </w:t>
      </w:r>
      <w:r w:rsidRPr="00610E57">
        <w:t>measures overstate the contribution to value added because they include</w:t>
      </w:r>
      <w:r>
        <w:t xml:space="preserve"> activity</w:t>
      </w:r>
      <w:r w:rsidRPr="00A9242D">
        <w:t xml:space="preserve"> by external </w:t>
      </w:r>
      <w:r>
        <w:t>companies supplying inputs, in addition they do not discount the inputs supplied from outside Australia.</w:t>
      </w:r>
    </w:p>
    <w:p w14:paraId="7E0AE521" w14:textId="77777777" w:rsidR="00B45B5C" w:rsidRPr="00A9242D" w:rsidRDefault="00B45B5C" w:rsidP="00163EA3">
      <w:pPr>
        <w:pStyle w:val="HeadingB"/>
        <w:outlineLvl w:val="0"/>
      </w:pPr>
      <w:r w:rsidRPr="00A9242D">
        <w:t>Input-output analysis</w:t>
      </w:r>
    </w:p>
    <w:p w14:paraId="03050EBD" w14:textId="77777777" w:rsidR="00B45B5C" w:rsidRPr="00A9242D" w:rsidRDefault="00B45B5C" w:rsidP="00B45B5C">
      <w:pPr>
        <w:pStyle w:val="BodyText"/>
      </w:pPr>
      <w:r w:rsidRPr="00A9242D">
        <w:t>Input-output tables are required to account for the intermediate flows between sectors.  These tables measure the direct economic activity of every sector in the economy at the national level. Importantly, these tables allow intermediate inputs to be further broken down by source.  These detailed intermediate flows can be used to derive the total change in economic activity associated with a given direct change in activity for a given sector.</w:t>
      </w:r>
    </w:p>
    <w:p w14:paraId="741323C7" w14:textId="77777777" w:rsidR="00B45B5C" w:rsidRDefault="00B45B5C" w:rsidP="00B45B5C">
      <w:pPr>
        <w:pStyle w:val="BodyText"/>
      </w:pPr>
      <w:r w:rsidRPr="00A9242D">
        <w:t xml:space="preserve">A widely used measure of the spill-over of activity from one sector to another is captured by the ratio of the total to direct change in economic activity. The resulting estimate is typically referred </w:t>
      </w:r>
      <w:r>
        <w:t>to as ‘the multiplier’. A</w:t>
      </w:r>
      <w:r w:rsidRPr="00A9242D">
        <w:t xml:space="preserve"> multiplier greater than one implies some indirect activity, with higher multipliers indicating relatively larger indirect and total activity flowing from a given level of direct activity.</w:t>
      </w:r>
    </w:p>
    <w:p w14:paraId="31C6C322" w14:textId="26B15431" w:rsidR="00D12163" w:rsidRDefault="00B45B5C" w:rsidP="004812BE">
      <w:pPr>
        <w:pStyle w:val="BodyText"/>
      </w:pPr>
      <w:r w:rsidRPr="00A9242D">
        <w:t xml:space="preserve">The </w:t>
      </w:r>
      <w:r>
        <w:t>IO</w:t>
      </w:r>
      <w:r w:rsidRPr="00A9242D">
        <w:t xml:space="preserve"> matrix used for Australia is derived from the </w:t>
      </w:r>
      <w:r>
        <w:t>ABS</w:t>
      </w:r>
      <w:r w:rsidRPr="00A9242D">
        <w:t xml:space="preserve"> </w:t>
      </w:r>
      <w:r>
        <w:t>2012-13 IO tables (</w:t>
      </w:r>
      <w:proofErr w:type="spellStart"/>
      <w:r>
        <w:t>2015a</w:t>
      </w:r>
      <w:proofErr w:type="spellEnd"/>
      <w:r>
        <w:t xml:space="preserve">). </w:t>
      </w:r>
      <w:r w:rsidRPr="00A9242D">
        <w:t xml:space="preserve">The industry classification used for </w:t>
      </w:r>
      <w:r>
        <w:t>IO</w:t>
      </w:r>
      <w:r w:rsidRPr="00A9242D">
        <w:t xml:space="preserve"> tables is based on </w:t>
      </w:r>
      <w:proofErr w:type="spellStart"/>
      <w:r w:rsidRPr="00A9242D">
        <w:t>ANZSIC</w:t>
      </w:r>
      <w:proofErr w:type="spellEnd"/>
      <w:r w:rsidRPr="00A9242D">
        <w:t>, with 1</w:t>
      </w:r>
      <w:r>
        <w:t>14</w:t>
      </w:r>
      <w:r w:rsidRPr="00A9242D">
        <w:t xml:space="preserve"> sectors</w:t>
      </w:r>
      <w:r>
        <w:t xml:space="preserve"> in the modelling framework.</w:t>
      </w:r>
    </w:p>
    <w:p w14:paraId="3138AD65" w14:textId="77777777" w:rsidR="00C50D04" w:rsidRDefault="00D12163" w:rsidP="00E74E03">
      <w:pPr>
        <w:pStyle w:val="Appendix"/>
      </w:pPr>
      <w:bookmarkStart w:id="414" w:name="_Ref442002716"/>
      <w:bookmarkStart w:id="415" w:name="_Toc450809258"/>
      <w:r>
        <w:lastRenderedPageBreak/>
        <w:t>: Student contribution e</w:t>
      </w:r>
      <w:r w:rsidR="00C50D04">
        <w:t>stimation methodology</w:t>
      </w:r>
      <w:bookmarkEnd w:id="414"/>
      <w:bookmarkEnd w:id="415"/>
    </w:p>
    <w:p w14:paraId="6660BE73" w14:textId="77777777" w:rsidR="006658B8" w:rsidRPr="006658B8" w:rsidRDefault="006658B8" w:rsidP="00E74E03">
      <w:pPr>
        <w:pStyle w:val="BodyText"/>
      </w:pPr>
      <w:r>
        <w:rPr>
          <w:lang w:eastAsia="en-AU"/>
        </w:rPr>
        <w:t>To model the economic contribution</w:t>
      </w:r>
      <w:r w:rsidR="00D12163">
        <w:rPr>
          <w:lang w:eastAsia="en-AU"/>
        </w:rPr>
        <w:t xml:space="preserve"> from student expenditure on fees and living expenses</w:t>
      </w:r>
      <w:r>
        <w:rPr>
          <w:lang w:eastAsia="en-AU"/>
        </w:rPr>
        <w:t>, different approaches were taken, depending on the sector and the type of revenue (fees versus goods and services)</w:t>
      </w:r>
      <w:r w:rsidR="00D12163">
        <w:rPr>
          <w:lang w:eastAsia="en-AU"/>
        </w:rPr>
        <w:t>, to take advantage of the available data.</w:t>
      </w:r>
    </w:p>
    <w:p w14:paraId="28773BEA" w14:textId="77777777" w:rsidR="00CF2485" w:rsidRPr="003B260D" w:rsidRDefault="00CF2485" w:rsidP="00163EA3">
      <w:pPr>
        <w:pStyle w:val="HeadingC"/>
        <w:outlineLvl w:val="0"/>
        <w:rPr>
          <w:lang w:eastAsia="en-AU"/>
        </w:rPr>
      </w:pPr>
      <w:r w:rsidRPr="003B260D">
        <w:rPr>
          <w:lang w:eastAsia="en-AU"/>
        </w:rPr>
        <w:t>Mode 1 and 4</w:t>
      </w:r>
    </w:p>
    <w:p w14:paraId="01423656" w14:textId="77777777" w:rsidR="00CF2485" w:rsidRDefault="00CF2485" w:rsidP="00CF2485">
      <w:pPr>
        <w:pStyle w:val="BodyText"/>
        <w:rPr>
          <w:rFonts w:cs="Arial"/>
          <w:szCs w:val="22"/>
          <w:lang w:eastAsia="en-AU"/>
        </w:rPr>
      </w:pPr>
      <w:r>
        <w:rPr>
          <w:lang w:eastAsia="en-AU"/>
        </w:rPr>
        <w:t>The revenue from the mode 1 and mode 4 provision of international education are assigned to the Australian and New Zealand Standard Industrial Classification (</w:t>
      </w:r>
      <w:proofErr w:type="spellStart"/>
      <w:r>
        <w:rPr>
          <w:lang w:eastAsia="en-AU"/>
        </w:rPr>
        <w:t>ANZSIC</w:t>
      </w:r>
      <w:proofErr w:type="spellEnd"/>
      <w:r>
        <w:rPr>
          <w:lang w:eastAsia="en-AU"/>
        </w:rPr>
        <w:t>) industry ‘</w:t>
      </w:r>
      <w:r w:rsidRPr="003B260D">
        <w:rPr>
          <w:rFonts w:cs="Arial"/>
          <w:i/>
          <w:szCs w:val="22"/>
          <w:lang w:eastAsia="en-AU"/>
        </w:rPr>
        <w:t>Technical, Vocational and Tertiary Education Services’</w:t>
      </w:r>
      <w:r>
        <w:rPr>
          <w:rFonts w:cs="Arial"/>
          <w:sz w:val="20"/>
          <w:lang w:eastAsia="en-AU"/>
        </w:rPr>
        <w:t xml:space="preserve">. </w:t>
      </w:r>
      <w:r w:rsidRPr="003B260D">
        <w:rPr>
          <w:rFonts w:cs="Arial"/>
          <w:szCs w:val="22"/>
          <w:lang w:eastAsia="en-AU"/>
        </w:rPr>
        <w:t xml:space="preserve">While </w:t>
      </w:r>
      <w:r>
        <w:rPr>
          <w:rFonts w:cs="Arial"/>
          <w:szCs w:val="22"/>
          <w:lang w:eastAsia="en-AU"/>
        </w:rPr>
        <w:t xml:space="preserve">there are </w:t>
      </w:r>
      <w:r w:rsidRPr="003B260D">
        <w:rPr>
          <w:rFonts w:cs="Arial"/>
          <w:szCs w:val="22"/>
          <w:lang w:eastAsia="en-AU"/>
        </w:rPr>
        <w:t xml:space="preserve">likely to be some Schools and </w:t>
      </w:r>
      <w:proofErr w:type="spellStart"/>
      <w:r w:rsidRPr="003B260D">
        <w:rPr>
          <w:rFonts w:cs="Arial"/>
          <w:szCs w:val="22"/>
          <w:lang w:eastAsia="en-AU"/>
        </w:rPr>
        <w:t>ELICOS</w:t>
      </w:r>
      <w:proofErr w:type="spellEnd"/>
      <w:r w:rsidRPr="003B260D">
        <w:rPr>
          <w:rFonts w:cs="Arial"/>
          <w:szCs w:val="22"/>
          <w:lang w:eastAsia="en-AU"/>
        </w:rPr>
        <w:t xml:space="preserve"> providers </w:t>
      </w:r>
      <w:r>
        <w:rPr>
          <w:rFonts w:cs="Arial"/>
          <w:szCs w:val="22"/>
          <w:lang w:eastAsia="en-AU"/>
        </w:rPr>
        <w:t xml:space="preserve">also </w:t>
      </w:r>
      <w:r w:rsidRPr="003B260D">
        <w:rPr>
          <w:rFonts w:cs="Arial"/>
          <w:szCs w:val="22"/>
          <w:lang w:eastAsia="en-AU"/>
        </w:rPr>
        <w:t xml:space="preserve">providing </w:t>
      </w:r>
      <w:r>
        <w:rPr>
          <w:rFonts w:cs="Arial"/>
          <w:szCs w:val="22"/>
          <w:lang w:eastAsia="en-AU"/>
        </w:rPr>
        <w:t xml:space="preserve">cross border </w:t>
      </w:r>
      <w:r w:rsidRPr="003B260D">
        <w:rPr>
          <w:rFonts w:cs="Arial"/>
          <w:szCs w:val="22"/>
          <w:lang w:eastAsia="en-AU"/>
        </w:rPr>
        <w:t>education services</w:t>
      </w:r>
      <w:r>
        <w:rPr>
          <w:rFonts w:cs="Arial"/>
          <w:szCs w:val="22"/>
          <w:lang w:eastAsia="en-AU"/>
        </w:rPr>
        <w:t xml:space="preserve"> </w:t>
      </w:r>
      <w:r w:rsidRPr="003B260D">
        <w:rPr>
          <w:rFonts w:cs="Arial"/>
          <w:szCs w:val="22"/>
          <w:lang w:eastAsia="en-AU"/>
        </w:rPr>
        <w:t xml:space="preserve">(such as through licencing agreements for the delivery of </w:t>
      </w:r>
      <w:r>
        <w:rPr>
          <w:rFonts w:cs="Arial"/>
          <w:szCs w:val="22"/>
          <w:lang w:eastAsia="en-AU"/>
        </w:rPr>
        <w:t>HSC</w:t>
      </w:r>
      <w:r w:rsidRPr="003B260D">
        <w:rPr>
          <w:rFonts w:cs="Arial"/>
          <w:szCs w:val="22"/>
          <w:lang w:eastAsia="en-AU"/>
        </w:rPr>
        <w:t xml:space="preserve"> and </w:t>
      </w:r>
      <w:proofErr w:type="spellStart"/>
      <w:r>
        <w:rPr>
          <w:rFonts w:cs="Arial"/>
          <w:szCs w:val="22"/>
          <w:lang w:eastAsia="en-AU"/>
        </w:rPr>
        <w:t>VCE</w:t>
      </w:r>
      <w:proofErr w:type="spellEnd"/>
      <w:r w:rsidRPr="003B260D">
        <w:rPr>
          <w:rFonts w:cs="Arial"/>
          <w:szCs w:val="22"/>
          <w:lang w:eastAsia="en-AU"/>
        </w:rPr>
        <w:t xml:space="preserve"> approved programs in </w:t>
      </w:r>
      <w:r>
        <w:rPr>
          <w:rFonts w:cs="Arial"/>
          <w:szCs w:val="22"/>
          <w:lang w:eastAsia="en-AU"/>
        </w:rPr>
        <w:t>secondary s</w:t>
      </w:r>
      <w:r w:rsidRPr="003B260D">
        <w:rPr>
          <w:rFonts w:cs="Arial"/>
          <w:szCs w:val="22"/>
          <w:lang w:eastAsia="en-AU"/>
        </w:rPr>
        <w:t xml:space="preserve">chools), </w:t>
      </w:r>
      <w:r>
        <w:rPr>
          <w:rFonts w:cs="Arial"/>
          <w:szCs w:val="22"/>
          <w:lang w:eastAsia="en-AU"/>
        </w:rPr>
        <w:t xml:space="preserve">most of the activity is likely to </w:t>
      </w:r>
      <w:r w:rsidRPr="003B260D">
        <w:rPr>
          <w:rFonts w:cs="Arial"/>
          <w:szCs w:val="22"/>
          <w:lang w:eastAsia="en-AU"/>
        </w:rPr>
        <w:t>be concentrated in the Higher Education and VET sector</w:t>
      </w:r>
      <w:r>
        <w:rPr>
          <w:rFonts w:cs="Arial"/>
          <w:szCs w:val="22"/>
          <w:lang w:eastAsia="en-AU"/>
        </w:rPr>
        <w:t>s</w:t>
      </w:r>
      <w:r w:rsidRPr="003B260D">
        <w:rPr>
          <w:rFonts w:cs="Arial"/>
          <w:szCs w:val="22"/>
          <w:lang w:eastAsia="en-AU"/>
        </w:rPr>
        <w:t xml:space="preserve">. </w:t>
      </w:r>
    </w:p>
    <w:p w14:paraId="642B28CD" w14:textId="77777777" w:rsidR="00CF2485" w:rsidRDefault="00CF2485" w:rsidP="00CF2485">
      <w:pPr>
        <w:pStyle w:val="BodyText"/>
        <w:rPr>
          <w:szCs w:val="22"/>
        </w:rPr>
      </w:pPr>
      <w:r>
        <w:rPr>
          <w:rFonts w:cs="Arial"/>
          <w:szCs w:val="22"/>
          <w:lang w:eastAsia="en-AU"/>
        </w:rPr>
        <w:t xml:space="preserve">By assigning the revenue to the tertiary education sector, it assumes that the provision of education services through </w:t>
      </w:r>
      <w:r w:rsidRPr="00D74910">
        <w:rPr>
          <w:szCs w:val="22"/>
        </w:rPr>
        <w:t>mod</w:t>
      </w:r>
      <w:r>
        <w:rPr>
          <w:szCs w:val="22"/>
        </w:rPr>
        <w:t>e</w:t>
      </w:r>
      <w:r w:rsidRPr="00D74910">
        <w:rPr>
          <w:szCs w:val="22"/>
        </w:rPr>
        <w:t>s</w:t>
      </w:r>
      <w:r w:rsidRPr="008670E7">
        <w:rPr>
          <w:szCs w:val="22"/>
        </w:rPr>
        <w:t xml:space="preserve"> 1 and 4 have the same production structure as the overall</w:t>
      </w:r>
      <w:r>
        <w:rPr>
          <w:szCs w:val="22"/>
        </w:rPr>
        <w:t xml:space="preserve"> tertiary education sector</w:t>
      </w:r>
      <w:r w:rsidRPr="008670E7">
        <w:rPr>
          <w:szCs w:val="22"/>
        </w:rPr>
        <w:t xml:space="preserve">. This may not necessarily be the case, with </w:t>
      </w:r>
      <w:r>
        <w:rPr>
          <w:szCs w:val="22"/>
        </w:rPr>
        <w:t xml:space="preserve">the provision of </w:t>
      </w:r>
      <w:r w:rsidRPr="008670E7">
        <w:rPr>
          <w:szCs w:val="22"/>
        </w:rPr>
        <w:t xml:space="preserve">distance education (mode 1) </w:t>
      </w:r>
      <w:r>
        <w:rPr>
          <w:szCs w:val="22"/>
        </w:rPr>
        <w:t xml:space="preserve">potentially having a different production structure to traditional onshore provision. It is also possible that the mode 1 and mode 4 provisions of services have a </w:t>
      </w:r>
      <w:r w:rsidRPr="008670E7">
        <w:rPr>
          <w:szCs w:val="22"/>
        </w:rPr>
        <w:t xml:space="preserve">lower indirect </w:t>
      </w:r>
      <w:r>
        <w:rPr>
          <w:szCs w:val="22"/>
        </w:rPr>
        <w:t>contribution, and be linked to different upstream industries, compared to onshore provision. For instance, distance education does not require as much physical campus space and thus will require less expenditure on building repairs and maintenance</w:t>
      </w:r>
      <w:r w:rsidRPr="008670E7">
        <w:rPr>
          <w:szCs w:val="22"/>
        </w:rPr>
        <w:t>.</w:t>
      </w:r>
    </w:p>
    <w:p w14:paraId="66C93D14" w14:textId="77777777" w:rsidR="00CF2485" w:rsidRPr="003B260D" w:rsidRDefault="00CF2485" w:rsidP="00CF2485">
      <w:pPr>
        <w:pStyle w:val="BodyText"/>
        <w:rPr>
          <w:szCs w:val="22"/>
        </w:rPr>
      </w:pPr>
      <w:r>
        <w:rPr>
          <w:szCs w:val="22"/>
        </w:rPr>
        <w:t xml:space="preserve">However, as there is no representative education provider operating solely in either mode 1 or mode 4, Deloitte Access Economics is unable to estimate a more accurate contribution from company financial </w:t>
      </w:r>
      <w:r w:rsidRPr="00E4503E">
        <w:rPr>
          <w:szCs w:val="22"/>
        </w:rPr>
        <w:t xml:space="preserve">statements, and these estimates represent a first approximation. </w:t>
      </w:r>
      <w:r>
        <w:rPr>
          <w:szCs w:val="22"/>
        </w:rPr>
        <w:t>Nevertheless</w:t>
      </w:r>
      <w:r w:rsidRPr="00E4503E">
        <w:rPr>
          <w:szCs w:val="22"/>
        </w:rPr>
        <w:t>, as t</w:t>
      </w:r>
      <w:r w:rsidRPr="00EA1B94">
        <w:rPr>
          <w:szCs w:val="22"/>
        </w:rPr>
        <w:t xml:space="preserve">he ABS industry structure of the tertiary education sector is based on the sector’s overall production in Australia, it should include </w:t>
      </w:r>
      <w:r>
        <w:rPr>
          <w:szCs w:val="22"/>
        </w:rPr>
        <w:t xml:space="preserve">both </w:t>
      </w:r>
      <w:r w:rsidRPr="00EA1B94">
        <w:rPr>
          <w:szCs w:val="22"/>
        </w:rPr>
        <w:t>their mode 1 and mode 4 production revenues and expenditure</w:t>
      </w:r>
      <w:r>
        <w:rPr>
          <w:szCs w:val="22"/>
        </w:rPr>
        <w:t>s</w:t>
      </w:r>
      <w:r w:rsidRPr="00EA1B94">
        <w:rPr>
          <w:szCs w:val="22"/>
        </w:rPr>
        <w:t>.</w:t>
      </w:r>
      <w:r w:rsidRPr="00E4503E">
        <w:rPr>
          <w:szCs w:val="22"/>
        </w:rPr>
        <w:t xml:space="preserve"> Once</w:t>
      </w:r>
      <w:r>
        <w:rPr>
          <w:szCs w:val="22"/>
        </w:rPr>
        <w:t xml:space="preserve"> the onshore activity has been considered, the overall results should reflect the mix of activities undertaken in the tertiary sector.</w:t>
      </w:r>
    </w:p>
    <w:p w14:paraId="51391031" w14:textId="77777777" w:rsidR="00CF2485" w:rsidRDefault="00CF2485" w:rsidP="00163EA3">
      <w:pPr>
        <w:pStyle w:val="HeadingC"/>
        <w:outlineLvl w:val="0"/>
        <w:rPr>
          <w:lang w:eastAsia="en-AU"/>
        </w:rPr>
      </w:pPr>
      <w:r>
        <w:rPr>
          <w:lang w:eastAsia="en-AU"/>
        </w:rPr>
        <w:t>Mode 2</w:t>
      </w:r>
    </w:p>
    <w:p w14:paraId="152EFF2C" w14:textId="77777777" w:rsidR="00CF2485" w:rsidRPr="003B260D" w:rsidRDefault="00CF2485" w:rsidP="00163EA3">
      <w:pPr>
        <w:pStyle w:val="HeadingC"/>
        <w:outlineLvl w:val="0"/>
        <w:rPr>
          <w:lang w:eastAsia="en-AU"/>
        </w:rPr>
      </w:pPr>
      <w:r w:rsidRPr="003B260D">
        <w:rPr>
          <w:lang w:eastAsia="en-AU"/>
        </w:rPr>
        <w:t>Fees</w:t>
      </w:r>
    </w:p>
    <w:p w14:paraId="46FFE685" w14:textId="77777777" w:rsidR="00CF2485" w:rsidRPr="003B260D" w:rsidRDefault="00CF2485" w:rsidP="00CF2485">
      <w:pPr>
        <w:pStyle w:val="BodyText"/>
        <w:rPr>
          <w:sz w:val="20"/>
        </w:rPr>
      </w:pPr>
      <w:r>
        <w:rPr>
          <w:lang w:eastAsia="en-AU"/>
        </w:rPr>
        <w:t xml:space="preserve">The fees of each education sector are assigned to the relevant </w:t>
      </w:r>
      <w:proofErr w:type="spellStart"/>
      <w:r>
        <w:rPr>
          <w:lang w:eastAsia="en-AU"/>
        </w:rPr>
        <w:t>ANZSIC</w:t>
      </w:r>
      <w:proofErr w:type="spellEnd"/>
      <w:r>
        <w:rPr>
          <w:lang w:eastAsia="en-AU"/>
        </w:rPr>
        <w:t xml:space="preserve"> industries.</w:t>
      </w:r>
      <w:r>
        <w:rPr>
          <w:rStyle w:val="FootnoteReference"/>
          <w:lang w:eastAsia="en-AU"/>
        </w:rPr>
        <w:footnoteReference w:id="24"/>
      </w:r>
      <w:r>
        <w:rPr>
          <w:lang w:eastAsia="en-AU"/>
        </w:rPr>
        <w:t xml:space="preserve"> The Schools are put under </w:t>
      </w:r>
      <w:r w:rsidRPr="00B9258F">
        <w:rPr>
          <w:lang w:eastAsia="en-AU"/>
        </w:rPr>
        <w:t>the</w:t>
      </w:r>
      <w:r w:rsidRPr="003B260D">
        <w:rPr>
          <w:i/>
          <w:lang w:eastAsia="en-AU"/>
        </w:rPr>
        <w:t xml:space="preserve"> ‘Primary and Secondary Education Services (</w:t>
      </w:r>
      <w:proofErr w:type="spellStart"/>
      <w:r w:rsidRPr="003B260D">
        <w:rPr>
          <w:i/>
          <w:lang w:eastAsia="en-AU"/>
        </w:rPr>
        <w:t>incl</w:t>
      </w:r>
      <w:proofErr w:type="spellEnd"/>
      <w:r w:rsidRPr="003B260D">
        <w:rPr>
          <w:i/>
          <w:lang w:eastAsia="en-AU"/>
        </w:rPr>
        <w:t xml:space="preserve"> Pre-Schools and </w:t>
      </w:r>
      <w:r w:rsidRPr="003B260D">
        <w:rPr>
          <w:i/>
          <w:lang w:eastAsia="en-AU"/>
        </w:rPr>
        <w:lastRenderedPageBreak/>
        <w:t>Special Schools)’</w:t>
      </w:r>
      <w:r>
        <w:rPr>
          <w:lang w:eastAsia="en-AU"/>
        </w:rPr>
        <w:t xml:space="preserve"> sector; and </w:t>
      </w:r>
      <w:proofErr w:type="spellStart"/>
      <w:r>
        <w:rPr>
          <w:lang w:eastAsia="en-AU"/>
        </w:rPr>
        <w:t>ELICOS</w:t>
      </w:r>
      <w:proofErr w:type="spellEnd"/>
      <w:r>
        <w:rPr>
          <w:lang w:eastAsia="en-AU"/>
        </w:rPr>
        <w:t xml:space="preserve"> (including both </w:t>
      </w:r>
      <w:proofErr w:type="spellStart"/>
      <w:r>
        <w:rPr>
          <w:lang w:eastAsia="en-AU"/>
        </w:rPr>
        <w:t>SV</w:t>
      </w:r>
      <w:proofErr w:type="spellEnd"/>
      <w:r>
        <w:rPr>
          <w:lang w:eastAsia="en-AU"/>
        </w:rPr>
        <w:t xml:space="preserve"> and </w:t>
      </w:r>
      <w:proofErr w:type="spellStart"/>
      <w:r>
        <w:rPr>
          <w:lang w:eastAsia="en-AU"/>
        </w:rPr>
        <w:t>NSV</w:t>
      </w:r>
      <w:proofErr w:type="spellEnd"/>
      <w:r>
        <w:rPr>
          <w:lang w:eastAsia="en-AU"/>
        </w:rPr>
        <w:t>) under</w:t>
      </w:r>
      <w:r w:rsidRPr="00AE6D89">
        <w:rPr>
          <w:lang w:eastAsia="en-AU"/>
        </w:rPr>
        <w:t xml:space="preserve"> </w:t>
      </w:r>
      <w:r w:rsidRPr="003B260D">
        <w:rPr>
          <w:i/>
          <w:lang w:eastAsia="en-AU"/>
        </w:rPr>
        <w:t>‘Arts, Sports, Adult and Other Education Services (</w:t>
      </w:r>
      <w:proofErr w:type="spellStart"/>
      <w:r w:rsidRPr="003B260D">
        <w:rPr>
          <w:i/>
          <w:lang w:eastAsia="en-AU"/>
        </w:rPr>
        <w:t>incl</w:t>
      </w:r>
      <w:proofErr w:type="spellEnd"/>
      <w:r w:rsidRPr="003B260D">
        <w:rPr>
          <w:i/>
          <w:lang w:eastAsia="en-AU"/>
        </w:rPr>
        <w:t xml:space="preserve"> community education)’</w:t>
      </w:r>
      <w:r>
        <w:rPr>
          <w:lang w:eastAsia="en-AU"/>
        </w:rPr>
        <w:t>.</w:t>
      </w:r>
      <w:r>
        <w:rPr>
          <w:sz w:val="20"/>
        </w:rPr>
        <w:t xml:space="preserve"> </w:t>
      </w:r>
      <w:r>
        <w:rPr>
          <w:lang w:eastAsia="en-AU"/>
        </w:rPr>
        <w:t xml:space="preserve">These are listed below in </w:t>
      </w:r>
      <w:r w:rsidR="00427D6F">
        <w:rPr>
          <w:highlight w:val="yellow"/>
          <w:lang w:eastAsia="en-AU"/>
        </w:rPr>
        <w:fldChar w:fldCharType="begin"/>
      </w:r>
      <w:r w:rsidR="00427D6F">
        <w:rPr>
          <w:lang w:eastAsia="en-AU"/>
        </w:rPr>
        <w:instrText xml:space="preserve"> REF _Ref442446933 \r \h </w:instrText>
      </w:r>
      <w:r w:rsidR="00427D6F">
        <w:rPr>
          <w:highlight w:val="yellow"/>
          <w:lang w:eastAsia="en-AU"/>
        </w:rPr>
      </w:r>
      <w:r w:rsidR="00427D6F">
        <w:rPr>
          <w:highlight w:val="yellow"/>
          <w:lang w:eastAsia="en-AU"/>
        </w:rPr>
        <w:fldChar w:fldCharType="separate"/>
      </w:r>
      <w:r w:rsidR="00F03FA0">
        <w:rPr>
          <w:lang w:eastAsia="en-AU"/>
        </w:rPr>
        <w:t xml:space="preserve">Table </w:t>
      </w:r>
      <w:proofErr w:type="spellStart"/>
      <w:r w:rsidR="00F03FA0">
        <w:rPr>
          <w:lang w:eastAsia="en-AU"/>
        </w:rPr>
        <w:t>D.1</w:t>
      </w:r>
      <w:proofErr w:type="spellEnd"/>
      <w:r w:rsidR="00427D6F">
        <w:rPr>
          <w:highlight w:val="yellow"/>
          <w:lang w:eastAsia="en-AU"/>
        </w:rPr>
        <w:fldChar w:fldCharType="end"/>
      </w:r>
    </w:p>
    <w:p w14:paraId="623B443F" w14:textId="77777777" w:rsidR="00CF2485" w:rsidRDefault="00CF2485" w:rsidP="00E74E03">
      <w:pPr>
        <w:pStyle w:val="AppendixTableCaption"/>
      </w:pPr>
      <w:bookmarkStart w:id="416" w:name="_Ref442446933"/>
      <w:bookmarkStart w:id="417" w:name="_Toc450809291"/>
      <w:r>
        <w:t>: IO categorisation by education provider mode and sector</w:t>
      </w:r>
      <w:bookmarkEnd w:id="416"/>
      <w:bookmarkEnd w:id="417"/>
    </w:p>
    <w:tbl>
      <w:tblPr>
        <w:tblW w:w="5000" w:type="pct"/>
        <w:tblBorders>
          <w:top w:val="single" w:sz="18" w:space="0" w:color="002776" w:themeColor="text2"/>
          <w:bottom w:val="single" w:sz="18" w:space="0" w:color="002776" w:themeColor="text2"/>
        </w:tblBorders>
        <w:tblLook w:val="04A0" w:firstRow="1" w:lastRow="0" w:firstColumn="1" w:lastColumn="0" w:noHBand="0" w:noVBand="1"/>
        <w:tblCaption w:val="Table D.1: IO categorisation by education provider mode and sector"/>
        <w:tblDescription w:val="The table shows the Input - Output categorisation by education provider mode and sector."/>
      </w:tblPr>
      <w:tblGrid>
        <w:gridCol w:w="3653"/>
        <w:gridCol w:w="4783"/>
      </w:tblGrid>
      <w:tr w:rsidR="00CF2485" w:rsidRPr="00B2412C" w14:paraId="6B5E49EB" w14:textId="77777777" w:rsidTr="005D5BF4">
        <w:trPr>
          <w:trHeight w:val="255"/>
        </w:trPr>
        <w:tc>
          <w:tcPr>
            <w:tcW w:w="2165" w:type="pct"/>
            <w:tcBorders>
              <w:top w:val="single" w:sz="18" w:space="0" w:color="002776" w:themeColor="text2"/>
              <w:bottom w:val="single" w:sz="8" w:space="0" w:color="002776" w:themeColor="text2"/>
            </w:tcBorders>
            <w:shd w:val="clear" w:color="auto" w:fill="auto"/>
            <w:noWrap/>
            <w:vAlign w:val="bottom"/>
            <w:hideMark/>
          </w:tcPr>
          <w:p w14:paraId="16B60D1D" w14:textId="77777777" w:rsidR="00CF2485" w:rsidRPr="000349C1" w:rsidRDefault="00CF2485" w:rsidP="005D5BF4">
            <w:pPr>
              <w:keepNext/>
              <w:keepLines/>
              <w:rPr>
                <w:rFonts w:cs="Arial"/>
                <w:b/>
                <w:bCs/>
                <w:color w:val="002776"/>
                <w:szCs w:val="22"/>
                <w:lang w:eastAsia="en-AU"/>
              </w:rPr>
            </w:pPr>
            <w:r w:rsidRPr="000349C1">
              <w:rPr>
                <w:rFonts w:cs="Arial"/>
                <w:b/>
                <w:bCs/>
                <w:color w:val="002776"/>
                <w:szCs w:val="22"/>
                <w:lang w:eastAsia="en-AU"/>
              </w:rPr>
              <w:t>Mode/Sector</w:t>
            </w:r>
          </w:p>
        </w:tc>
        <w:tc>
          <w:tcPr>
            <w:tcW w:w="2835" w:type="pct"/>
            <w:tcBorders>
              <w:top w:val="single" w:sz="18" w:space="0" w:color="002776" w:themeColor="text2"/>
              <w:bottom w:val="single" w:sz="8" w:space="0" w:color="002776" w:themeColor="text2"/>
            </w:tcBorders>
            <w:shd w:val="clear" w:color="auto" w:fill="auto"/>
            <w:noWrap/>
            <w:vAlign w:val="bottom"/>
            <w:hideMark/>
          </w:tcPr>
          <w:p w14:paraId="6121DE69" w14:textId="77777777" w:rsidR="00CF2485" w:rsidRPr="000349C1" w:rsidRDefault="00CF2485" w:rsidP="005D5BF4">
            <w:pPr>
              <w:keepNext/>
              <w:keepLines/>
              <w:rPr>
                <w:rFonts w:cs="Arial"/>
                <w:b/>
                <w:bCs/>
                <w:color w:val="002776"/>
                <w:szCs w:val="22"/>
                <w:lang w:eastAsia="en-AU"/>
              </w:rPr>
            </w:pPr>
            <w:r w:rsidRPr="000349C1">
              <w:rPr>
                <w:rFonts w:cs="Arial"/>
                <w:b/>
                <w:bCs/>
                <w:color w:val="002776"/>
                <w:szCs w:val="22"/>
                <w:lang w:eastAsia="en-AU"/>
              </w:rPr>
              <w:t>IO category</w:t>
            </w:r>
          </w:p>
        </w:tc>
      </w:tr>
      <w:tr w:rsidR="00CF2485" w:rsidRPr="00B2412C" w14:paraId="34078D3D" w14:textId="77777777" w:rsidTr="005D5BF4">
        <w:trPr>
          <w:trHeight w:val="255"/>
        </w:trPr>
        <w:tc>
          <w:tcPr>
            <w:tcW w:w="2165" w:type="pct"/>
            <w:tcBorders>
              <w:top w:val="single" w:sz="8" w:space="0" w:color="002776" w:themeColor="text2"/>
            </w:tcBorders>
            <w:shd w:val="clear" w:color="auto" w:fill="auto"/>
            <w:noWrap/>
            <w:vAlign w:val="bottom"/>
            <w:hideMark/>
          </w:tcPr>
          <w:p w14:paraId="1B46AC2B" w14:textId="77777777" w:rsidR="00CF2485" w:rsidRPr="00B2412C" w:rsidRDefault="00CF2485" w:rsidP="005D5BF4">
            <w:pPr>
              <w:keepNext/>
              <w:keepLines/>
              <w:rPr>
                <w:rFonts w:cs="Arial"/>
                <w:sz w:val="20"/>
                <w:lang w:eastAsia="en-AU"/>
              </w:rPr>
            </w:pPr>
            <w:r w:rsidRPr="00B2412C">
              <w:rPr>
                <w:rFonts w:cs="Arial"/>
                <w:sz w:val="20"/>
                <w:lang w:eastAsia="en-AU"/>
              </w:rPr>
              <w:t>Mode 1</w:t>
            </w:r>
          </w:p>
        </w:tc>
        <w:tc>
          <w:tcPr>
            <w:tcW w:w="2835" w:type="pct"/>
            <w:tcBorders>
              <w:top w:val="single" w:sz="8" w:space="0" w:color="002776" w:themeColor="text2"/>
            </w:tcBorders>
            <w:shd w:val="clear" w:color="auto" w:fill="auto"/>
            <w:noWrap/>
            <w:vAlign w:val="bottom"/>
            <w:hideMark/>
          </w:tcPr>
          <w:p w14:paraId="0147A167" w14:textId="77777777" w:rsidR="00CF2485" w:rsidRPr="00B2412C" w:rsidRDefault="00CF2485" w:rsidP="005D5BF4">
            <w:pPr>
              <w:keepNext/>
              <w:keepLines/>
              <w:rPr>
                <w:rFonts w:cs="Arial"/>
                <w:sz w:val="20"/>
                <w:lang w:eastAsia="en-AU"/>
              </w:rPr>
            </w:pPr>
            <w:r w:rsidRPr="00B2412C">
              <w:rPr>
                <w:rFonts w:cs="Arial"/>
                <w:sz w:val="20"/>
                <w:lang w:eastAsia="en-AU"/>
              </w:rPr>
              <w:t xml:space="preserve">Technical, Vocational </w:t>
            </w:r>
            <w:r>
              <w:rPr>
                <w:rFonts w:cs="Arial"/>
                <w:sz w:val="20"/>
                <w:lang w:eastAsia="en-AU"/>
              </w:rPr>
              <w:t>and Tertiary Education Services</w:t>
            </w:r>
          </w:p>
        </w:tc>
      </w:tr>
      <w:tr w:rsidR="00CF2485" w:rsidRPr="00B2412C" w14:paraId="217C7CBC" w14:textId="77777777" w:rsidTr="005D5BF4">
        <w:trPr>
          <w:trHeight w:val="255"/>
        </w:trPr>
        <w:tc>
          <w:tcPr>
            <w:tcW w:w="2165" w:type="pct"/>
            <w:shd w:val="clear" w:color="auto" w:fill="auto"/>
            <w:noWrap/>
            <w:vAlign w:val="bottom"/>
            <w:hideMark/>
          </w:tcPr>
          <w:p w14:paraId="20C22612" w14:textId="77777777" w:rsidR="00CF2485" w:rsidRPr="00B2412C" w:rsidRDefault="00CF2485" w:rsidP="005D5BF4">
            <w:pPr>
              <w:keepNext/>
              <w:keepLines/>
              <w:rPr>
                <w:rFonts w:cs="Arial"/>
                <w:sz w:val="20"/>
                <w:lang w:eastAsia="en-AU"/>
              </w:rPr>
            </w:pPr>
            <w:r w:rsidRPr="00B2412C">
              <w:rPr>
                <w:rFonts w:cs="Arial"/>
                <w:sz w:val="20"/>
                <w:lang w:eastAsia="en-AU"/>
              </w:rPr>
              <w:t>Mode 2</w:t>
            </w:r>
          </w:p>
        </w:tc>
        <w:tc>
          <w:tcPr>
            <w:tcW w:w="2835" w:type="pct"/>
            <w:shd w:val="clear" w:color="auto" w:fill="auto"/>
            <w:noWrap/>
            <w:vAlign w:val="bottom"/>
            <w:hideMark/>
          </w:tcPr>
          <w:p w14:paraId="533B3566" w14:textId="77777777" w:rsidR="00CF2485" w:rsidRPr="00B2412C" w:rsidRDefault="00CF2485" w:rsidP="005D5BF4">
            <w:pPr>
              <w:keepNext/>
              <w:keepLines/>
              <w:rPr>
                <w:rFonts w:cs="Arial"/>
                <w:sz w:val="20"/>
                <w:lang w:eastAsia="en-AU"/>
              </w:rPr>
            </w:pPr>
          </w:p>
        </w:tc>
      </w:tr>
      <w:tr w:rsidR="00CF2485" w:rsidRPr="00B2412C" w14:paraId="79DA273B" w14:textId="77777777" w:rsidTr="005D5BF4">
        <w:trPr>
          <w:trHeight w:val="255"/>
        </w:trPr>
        <w:tc>
          <w:tcPr>
            <w:tcW w:w="2165" w:type="pct"/>
            <w:shd w:val="clear" w:color="auto" w:fill="auto"/>
            <w:noWrap/>
            <w:vAlign w:val="bottom"/>
            <w:hideMark/>
          </w:tcPr>
          <w:p w14:paraId="3FC9FF08" w14:textId="77777777" w:rsidR="00CF2485" w:rsidRPr="00B2412C" w:rsidRDefault="00CF2485" w:rsidP="005D5BF4">
            <w:pPr>
              <w:keepNext/>
              <w:keepLines/>
              <w:ind w:firstLineChars="200" w:firstLine="400"/>
              <w:rPr>
                <w:rFonts w:cs="Arial"/>
                <w:i/>
                <w:iCs/>
                <w:sz w:val="20"/>
                <w:lang w:eastAsia="en-AU"/>
              </w:rPr>
            </w:pPr>
            <w:r w:rsidRPr="00B2412C">
              <w:rPr>
                <w:rFonts w:cs="Arial"/>
                <w:i/>
                <w:iCs/>
                <w:sz w:val="20"/>
                <w:lang w:eastAsia="en-AU"/>
              </w:rPr>
              <w:t>Higher Education</w:t>
            </w:r>
          </w:p>
        </w:tc>
        <w:tc>
          <w:tcPr>
            <w:tcW w:w="2835" w:type="pct"/>
            <w:shd w:val="clear" w:color="auto" w:fill="auto"/>
            <w:noWrap/>
            <w:vAlign w:val="bottom"/>
            <w:hideMark/>
          </w:tcPr>
          <w:p w14:paraId="43499B5D" w14:textId="77777777" w:rsidR="00CF2485" w:rsidRPr="000349C1" w:rsidRDefault="00CF2485" w:rsidP="005D5BF4">
            <w:pPr>
              <w:keepNext/>
              <w:keepLines/>
              <w:rPr>
                <w:rFonts w:cs="Arial"/>
                <w:b/>
                <w:sz w:val="20"/>
                <w:lang w:eastAsia="en-AU"/>
              </w:rPr>
            </w:pPr>
            <w:r w:rsidRPr="000349C1">
              <w:rPr>
                <w:rFonts w:cs="Arial"/>
                <w:b/>
                <w:sz w:val="20"/>
                <w:lang w:eastAsia="en-AU"/>
              </w:rPr>
              <w:t>Direct calculation</w:t>
            </w:r>
          </w:p>
        </w:tc>
      </w:tr>
      <w:tr w:rsidR="00CF2485" w:rsidRPr="00B2412C" w14:paraId="69B0AE22" w14:textId="77777777" w:rsidTr="005D5BF4">
        <w:trPr>
          <w:trHeight w:val="255"/>
        </w:trPr>
        <w:tc>
          <w:tcPr>
            <w:tcW w:w="2165" w:type="pct"/>
            <w:shd w:val="clear" w:color="auto" w:fill="auto"/>
            <w:noWrap/>
            <w:vAlign w:val="bottom"/>
            <w:hideMark/>
          </w:tcPr>
          <w:p w14:paraId="41200A94" w14:textId="77777777" w:rsidR="00CF2485" w:rsidRPr="00B2412C" w:rsidRDefault="00CF2485" w:rsidP="005D5BF4">
            <w:pPr>
              <w:keepNext/>
              <w:keepLines/>
              <w:ind w:firstLineChars="200" w:firstLine="400"/>
              <w:rPr>
                <w:rFonts w:cs="Arial"/>
                <w:i/>
                <w:iCs/>
                <w:sz w:val="20"/>
                <w:lang w:eastAsia="en-AU"/>
              </w:rPr>
            </w:pPr>
            <w:r w:rsidRPr="00B2412C">
              <w:rPr>
                <w:rFonts w:cs="Arial"/>
                <w:i/>
                <w:iCs/>
                <w:sz w:val="20"/>
                <w:lang w:eastAsia="en-AU"/>
              </w:rPr>
              <w:t>VET</w:t>
            </w:r>
          </w:p>
        </w:tc>
        <w:tc>
          <w:tcPr>
            <w:tcW w:w="2835" w:type="pct"/>
            <w:shd w:val="clear" w:color="auto" w:fill="auto"/>
            <w:noWrap/>
            <w:vAlign w:val="bottom"/>
            <w:hideMark/>
          </w:tcPr>
          <w:p w14:paraId="0542AB42" w14:textId="77777777" w:rsidR="00CF2485" w:rsidRPr="00B2412C" w:rsidRDefault="00CF2485" w:rsidP="005D5BF4">
            <w:pPr>
              <w:keepNext/>
              <w:keepLines/>
              <w:rPr>
                <w:rFonts w:cs="Arial"/>
                <w:sz w:val="20"/>
                <w:lang w:eastAsia="en-AU"/>
              </w:rPr>
            </w:pPr>
            <w:r w:rsidRPr="00B2412C">
              <w:rPr>
                <w:rFonts w:cs="Arial"/>
                <w:sz w:val="20"/>
                <w:lang w:eastAsia="en-AU"/>
              </w:rPr>
              <w:t xml:space="preserve">Technical, Vocational </w:t>
            </w:r>
            <w:r>
              <w:rPr>
                <w:rFonts w:cs="Arial"/>
                <w:sz w:val="20"/>
                <w:lang w:eastAsia="en-AU"/>
              </w:rPr>
              <w:t>and Tertiary Education Services</w:t>
            </w:r>
          </w:p>
        </w:tc>
      </w:tr>
      <w:tr w:rsidR="00CF2485" w:rsidRPr="00B2412C" w14:paraId="58B0A55C" w14:textId="77777777" w:rsidTr="005D5BF4">
        <w:trPr>
          <w:trHeight w:val="255"/>
        </w:trPr>
        <w:tc>
          <w:tcPr>
            <w:tcW w:w="2165" w:type="pct"/>
            <w:shd w:val="clear" w:color="auto" w:fill="auto"/>
            <w:noWrap/>
            <w:vAlign w:val="bottom"/>
            <w:hideMark/>
          </w:tcPr>
          <w:p w14:paraId="3A15402B" w14:textId="77777777" w:rsidR="00CF2485" w:rsidRPr="00B2412C" w:rsidRDefault="00CF2485" w:rsidP="005D5BF4">
            <w:pPr>
              <w:keepNext/>
              <w:keepLines/>
              <w:ind w:firstLineChars="200" w:firstLine="400"/>
              <w:rPr>
                <w:rFonts w:cs="Arial"/>
                <w:i/>
                <w:iCs/>
                <w:sz w:val="20"/>
                <w:lang w:eastAsia="en-AU"/>
              </w:rPr>
            </w:pPr>
            <w:r w:rsidRPr="00B2412C">
              <w:rPr>
                <w:rFonts w:cs="Arial"/>
                <w:i/>
                <w:iCs/>
                <w:sz w:val="20"/>
                <w:lang w:eastAsia="en-AU"/>
              </w:rPr>
              <w:t>Schools</w:t>
            </w:r>
          </w:p>
        </w:tc>
        <w:tc>
          <w:tcPr>
            <w:tcW w:w="2835" w:type="pct"/>
            <w:shd w:val="clear" w:color="auto" w:fill="auto"/>
            <w:noWrap/>
            <w:vAlign w:val="bottom"/>
            <w:hideMark/>
          </w:tcPr>
          <w:p w14:paraId="5C4B8816" w14:textId="77777777" w:rsidR="00CF2485" w:rsidRPr="00B2412C" w:rsidRDefault="00CF2485" w:rsidP="005D5BF4">
            <w:pPr>
              <w:keepNext/>
              <w:keepLines/>
              <w:rPr>
                <w:rFonts w:cs="Arial"/>
                <w:sz w:val="20"/>
                <w:lang w:eastAsia="en-AU"/>
              </w:rPr>
            </w:pPr>
            <w:r w:rsidRPr="00B2412C">
              <w:rPr>
                <w:rFonts w:cs="Arial"/>
                <w:sz w:val="20"/>
                <w:lang w:eastAsia="en-AU"/>
              </w:rPr>
              <w:t>Primary a</w:t>
            </w:r>
            <w:r>
              <w:rPr>
                <w:rFonts w:cs="Arial"/>
                <w:sz w:val="20"/>
                <w:lang w:eastAsia="en-AU"/>
              </w:rPr>
              <w:t>nd Secondary Education Services</w:t>
            </w:r>
          </w:p>
        </w:tc>
      </w:tr>
      <w:tr w:rsidR="00CF2485" w:rsidRPr="00B2412C" w14:paraId="6E97C86D" w14:textId="77777777" w:rsidTr="005D5BF4">
        <w:trPr>
          <w:trHeight w:val="255"/>
        </w:trPr>
        <w:tc>
          <w:tcPr>
            <w:tcW w:w="2165" w:type="pct"/>
            <w:shd w:val="clear" w:color="auto" w:fill="auto"/>
            <w:noWrap/>
            <w:vAlign w:val="bottom"/>
            <w:hideMark/>
          </w:tcPr>
          <w:p w14:paraId="0BC48D72" w14:textId="77777777" w:rsidR="00CF2485" w:rsidRPr="00B2412C" w:rsidRDefault="00CF2485" w:rsidP="005D5BF4">
            <w:pPr>
              <w:keepNext/>
              <w:keepLines/>
              <w:ind w:firstLineChars="200" w:firstLine="400"/>
              <w:rPr>
                <w:rFonts w:cs="Arial"/>
                <w:i/>
                <w:iCs/>
                <w:sz w:val="20"/>
                <w:lang w:eastAsia="en-AU"/>
              </w:rPr>
            </w:pPr>
            <w:proofErr w:type="spellStart"/>
            <w:r w:rsidRPr="00B2412C">
              <w:rPr>
                <w:rFonts w:cs="Arial"/>
                <w:i/>
                <w:iCs/>
                <w:sz w:val="20"/>
                <w:lang w:eastAsia="en-AU"/>
              </w:rPr>
              <w:t>SV</w:t>
            </w:r>
            <w:proofErr w:type="spellEnd"/>
            <w:r w:rsidRPr="00B2412C">
              <w:rPr>
                <w:rFonts w:cs="Arial"/>
                <w:i/>
                <w:iCs/>
                <w:sz w:val="20"/>
                <w:lang w:eastAsia="en-AU"/>
              </w:rPr>
              <w:t xml:space="preserve"> </w:t>
            </w:r>
            <w:proofErr w:type="spellStart"/>
            <w:r w:rsidRPr="00B2412C">
              <w:rPr>
                <w:rFonts w:cs="Arial"/>
                <w:i/>
                <w:iCs/>
                <w:sz w:val="20"/>
                <w:lang w:eastAsia="en-AU"/>
              </w:rPr>
              <w:t>ELICOS</w:t>
            </w:r>
            <w:proofErr w:type="spellEnd"/>
          </w:p>
        </w:tc>
        <w:tc>
          <w:tcPr>
            <w:tcW w:w="2835" w:type="pct"/>
            <w:shd w:val="clear" w:color="auto" w:fill="auto"/>
            <w:noWrap/>
            <w:vAlign w:val="bottom"/>
            <w:hideMark/>
          </w:tcPr>
          <w:p w14:paraId="0E730BC9" w14:textId="77777777" w:rsidR="00CF2485" w:rsidRPr="00B2412C" w:rsidRDefault="00CF2485" w:rsidP="005D5BF4">
            <w:pPr>
              <w:keepNext/>
              <w:keepLines/>
              <w:rPr>
                <w:rFonts w:cs="Arial"/>
                <w:sz w:val="20"/>
                <w:lang w:eastAsia="en-AU"/>
              </w:rPr>
            </w:pPr>
            <w:r w:rsidRPr="00B2412C">
              <w:rPr>
                <w:rFonts w:cs="Arial"/>
                <w:sz w:val="20"/>
                <w:lang w:eastAsia="en-AU"/>
              </w:rPr>
              <w:t>Arts, Sports, Adult and Other Education Services</w:t>
            </w:r>
          </w:p>
        </w:tc>
      </w:tr>
      <w:tr w:rsidR="00CF2485" w:rsidRPr="00B2412C" w14:paraId="2B6D826B" w14:textId="77777777" w:rsidTr="005D5BF4">
        <w:trPr>
          <w:trHeight w:val="255"/>
        </w:trPr>
        <w:tc>
          <w:tcPr>
            <w:tcW w:w="2165" w:type="pct"/>
            <w:shd w:val="clear" w:color="auto" w:fill="auto"/>
            <w:noWrap/>
            <w:vAlign w:val="bottom"/>
            <w:hideMark/>
          </w:tcPr>
          <w:p w14:paraId="4FF0F675" w14:textId="77777777" w:rsidR="00CF2485" w:rsidRPr="00B2412C" w:rsidRDefault="00CF2485" w:rsidP="005D5BF4">
            <w:pPr>
              <w:keepNext/>
              <w:keepLines/>
              <w:ind w:firstLineChars="200" w:firstLine="400"/>
              <w:rPr>
                <w:rFonts w:cs="Arial"/>
                <w:i/>
                <w:iCs/>
                <w:sz w:val="20"/>
                <w:lang w:eastAsia="en-AU"/>
              </w:rPr>
            </w:pPr>
            <w:proofErr w:type="spellStart"/>
            <w:r w:rsidRPr="00B2412C">
              <w:rPr>
                <w:rFonts w:cs="Arial"/>
                <w:i/>
                <w:iCs/>
                <w:sz w:val="20"/>
                <w:lang w:eastAsia="en-AU"/>
              </w:rPr>
              <w:t>NSV</w:t>
            </w:r>
            <w:proofErr w:type="spellEnd"/>
            <w:r w:rsidRPr="00B2412C">
              <w:rPr>
                <w:rFonts w:cs="Arial"/>
                <w:i/>
                <w:iCs/>
                <w:sz w:val="20"/>
                <w:lang w:eastAsia="en-AU"/>
              </w:rPr>
              <w:t xml:space="preserve"> </w:t>
            </w:r>
            <w:proofErr w:type="spellStart"/>
            <w:r w:rsidRPr="00B2412C">
              <w:rPr>
                <w:rFonts w:cs="Arial"/>
                <w:i/>
                <w:iCs/>
                <w:sz w:val="20"/>
                <w:lang w:eastAsia="en-AU"/>
              </w:rPr>
              <w:t>ELICOS</w:t>
            </w:r>
            <w:proofErr w:type="spellEnd"/>
          </w:p>
        </w:tc>
        <w:tc>
          <w:tcPr>
            <w:tcW w:w="2835" w:type="pct"/>
            <w:shd w:val="clear" w:color="auto" w:fill="auto"/>
            <w:noWrap/>
            <w:vAlign w:val="bottom"/>
            <w:hideMark/>
          </w:tcPr>
          <w:p w14:paraId="6A2BBFE4" w14:textId="77777777" w:rsidR="00CF2485" w:rsidRPr="00B2412C" w:rsidRDefault="00CF2485" w:rsidP="005D5BF4">
            <w:pPr>
              <w:keepNext/>
              <w:keepLines/>
              <w:rPr>
                <w:rFonts w:cs="Arial"/>
                <w:sz w:val="20"/>
                <w:lang w:eastAsia="en-AU"/>
              </w:rPr>
            </w:pPr>
            <w:r w:rsidRPr="00B2412C">
              <w:rPr>
                <w:rFonts w:cs="Arial"/>
                <w:sz w:val="20"/>
                <w:lang w:eastAsia="en-AU"/>
              </w:rPr>
              <w:t>Arts, Sports, Adu</w:t>
            </w:r>
            <w:r>
              <w:rPr>
                <w:rFonts w:cs="Arial"/>
                <w:sz w:val="20"/>
                <w:lang w:eastAsia="en-AU"/>
              </w:rPr>
              <w:t>lt and Other Education Services</w:t>
            </w:r>
          </w:p>
        </w:tc>
      </w:tr>
      <w:tr w:rsidR="00CF2485" w:rsidRPr="00B2412C" w14:paraId="37AAB254" w14:textId="77777777" w:rsidTr="005D5BF4">
        <w:trPr>
          <w:trHeight w:val="255"/>
        </w:trPr>
        <w:tc>
          <w:tcPr>
            <w:tcW w:w="2165" w:type="pct"/>
            <w:shd w:val="clear" w:color="auto" w:fill="auto"/>
            <w:noWrap/>
            <w:vAlign w:val="bottom"/>
            <w:hideMark/>
          </w:tcPr>
          <w:p w14:paraId="23310EA0" w14:textId="77777777" w:rsidR="00CF2485" w:rsidRPr="00B2412C" w:rsidRDefault="00CF2485" w:rsidP="005D5BF4">
            <w:pPr>
              <w:keepNext/>
              <w:keepLines/>
              <w:ind w:firstLineChars="200" w:firstLine="400"/>
              <w:rPr>
                <w:rFonts w:cs="Arial"/>
                <w:i/>
                <w:iCs/>
                <w:sz w:val="20"/>
                <w:lang w:eastAsia="en-AU"/>
              </w:rPr>
            </w:pPr>
            <w:r w:rsidRPr="00B2412C">
              <w:rPr>
                <w:rFonts w:cs="Arial"/>
                <w:i/>
                <w:iCs/>
                <w:sz w:val="20"/>
                <w:lang w:eastAsia="en-AU"/>
              </w:rPr>
              <w:t>Non-Award</w:t>
            </w:r>
          </w:p>
        </w:tc>
        <w:tc>
          <w:tcPr>
            <w:tcW w:w="2835" w:type="pct"/>
            <w:shd w:val="clear" w:color="auto" w:fill="auto"/>
            <w:noWrap/>
            <w:vAlign w:val="bottom"/>
            <w:hideMark/>
          </w:tcPr>
          <w:p w14:paraId="2C0ADC1B" w14:textId="77777777" w:rsidR="00CF2485" w:rsidRPr="00B2412C" w:rsidRDefault="00CF2485" w:rsidP="005D5BF4">
            <w:pPr>
              <w:keepNext/>
              <w:keepLines/>
              <w:rPr>
                <w:rFonts w:cs="Arial"/>
                <w:sz w:val="20"/>
                <w:lang w:eastAsia="en-AU"/>
              </w:rPr>
            </w:pPr>
            <w:r w:rsidRPr="00B2412C">
              <w:rPr>
                <w:rFonts w:cs="Arial"/>
                <w:sz w:val="20"/>
                <w:lang w:eastAsia="en-AU"/>
              </w:rPr>
              <w:t xml:space="preserve">Technical, Vocational </w:t>
            </w:r>
            <w:r>
              <w:rPr>
                <w:rFonts w:cs="Arial"/>
                <w:sz w:val="20"/>
                <w:lang w:eastAsia="en-AU"/>
              </w:rPr>
              <w:t>and Tertiary Education Services</w:t>
            </w:r>
          </w:p>
        </w:tc>
      </w:tr>
      <w:tr w:rsidR="00CF2485" w:rsidRPr="00B2412C" w14:paraId="11840F17" w14:textId="77777777" w:rsidTr="005D5BF4">
        <w:trPr>
          <w:trHeight w:val="255"/>
        </w:trPr>
        <w:tc>
          <w:tcPr>
            <w:tcW w:w="2165" w:type="pct"/>
            <w:shd w:val="clear" w:color="auto" w:fill="auto"/>
            <w:noWrap/>
            <w:vAlign w:val="bottom"/>
            <w:hideMark/>
          </w:tcPr>
          <w:p w14:paraId="2A881509" w14:textId="77777777" w:rsidR="00CF2485" w:rsidRPr="00B2412C" w:rsidRDefault="00CF2485" w:rsidP="005D5BF4">
            <w:pPr>
              <w:keepNext/>
              <w:keepLines/>
              <w:ind w:firstLineChars="200" w:firstLine="400"/>
              <w:rPr>
                <w:rFonts w:cs="Arial"/>
                <w:i/>
                <w:iCs/>
                <w:sz w:val="20"/>
                <w:lang w:eastAsia="en-AU"/>
              </w:rPr>
            </w:pPr>
            <w:r w:rsidRPr="00B2412C">
              <w:rPr>
                <w:rFonts w:cs="Arial"/>
                <w:i/>
                <w:iCs/>
                <w:sz w:val="20"/>
                <w:lang w:eastAsia="en-AU"/>
              </w:rPr>
              <w:t>New Zealand</w:t>
            </w:r>
          </w:p>
        </w:tc>
        <w:tc>
          <w:tcPr>
            <w:tcW w:w="2835" w:type="pct"/>
            <w:shd w:val="clear" w:color="auto" w:fill="auto"/>
            <w:noWrap/>
            <w:vAlign w:val="bottom"/>
            <w:hideMark/>
          </w:tcPr>
          <w:p w14:paraId="419BCFEA" w14:textId="77777777" w:rsidR="00CF2485" w:rsidRPr="00B2412C" w:rsidRDefault="00CF2485" w:rsidP="005D5BF4">
            <w:pPr>
              <w:keepNext/>
              <w:keepLines/>
              <w:rPr>
                <w:rFonts w:cs="Arial"/>
                <w:sz w:val="20"/>
                <w:lang w:eastAsia="en-AU"/>
              </w:rPr>
            </w:pPr>
            <w:r w:rsidRPr="00B2412C">
              <w:rPr>
                <w:rFonts w:cs="Arial"/>
                <w:sz w:val="20"/>
                <w:lang w:eastAsia="en-AU"/>
              </w:rPr>
              <w:t xml:space="preserve">Technical, Vocational </w:t>
            </w:r>
            <w:r>
              <w:rPr>
                <w:rFonts w:cs="Arial"/>
                <w:sz w:val="20"/>
                <w:lang w:eastAsia="en-AU"/>
              </w:rPr>
              <w:t>and Tertiary Education Services</w:t>
            </w:r>
          </w:p>
        </w:tc>
      </w:tr>
      <w:tr w:rsidR="00CF2485" w:rsidRPr="00B2412C" w14:paraId="2134A0E5" w14:textId="77777777" w:rsidTr="005D5BF4">
        <w:trPr>
          <w:trHeight w:val="255"/>
        </w:trPr>
        <w:tc>
          <w:tcPr>
            <w:tcW w:w="2165" w:type="pct"/>
            <w:shd w:val="clear" w:color="auto" w:fill="auto"/>
            <w:noWrap/>
            <w:vAlign w:val="bottom"/>
            <w:hideMark/>
          </w:tcPr>
          <w:p w14:paraId="124398FC" w14:textId="77777777" w:rsidR="00CF2485" w:rsidRPr="00B2412C" w:rsidRDefault="00CF2485" w:rsidP="005D5BF4">
            <w:pPr>
              <w:keepNext/>
              <w:keepLines/>
              <w:ind w:firstLineChars="200" w:firstLine="400"/>
              <w:rPr>
                <w:rFonts w:cs="Arial"/>
                <w:i/>
                <w:iCs/>
                <w:sz w:val="20"/>
                <w:lang w:eastAsia="en-AU"/>
              </w:rPr>
            </w:pPr>
            <w:proofErr w:type="spellStart"/>
            <w:r w:rsidRPr="00B2412C">
              <w:rPr>
                <w:rFonts w:cs="Arial"/>
                <w:i/>
                <w:iCs/>
                <w:sz w:val="20"/>
                <w:lang w:eastAsia="en-AU"/>
              </w:rPr>
              <w:t>AusAID</w:t>
            </w:r>
            <w:proofErr w:type="spellEnd"/>
            <w:r w:rsidRPr="00B2412C">
              <w:rPr>
                <w:rFonts w:cs="Arial"/>
                <w:i/>
                <w:iCs/>
                <w:sz w:val="20"/>
                <w:lang w:eastAsia="en-AU"/>
              </w:rPr>
              <w:t>/defence</w:t>
            </w:r>
          </w:p>
        </w:tc>
        <w:tc>
          <w:tcPr>
            <w:tcW w:w="2835" w:type="pct"/>
            <w:shd w:val="clear" w:color="auto" w:fill="auto"/>
            <w:noWrap/>
            <w:vAlign w:val="bottom"/>
            <w:hideMark/>
          </w:tcPr>
          <w:p w14:paraId="4650B4CB" w14:textId="77777777" w:rsidR="00CF2485" w:rsidRPr="00B2412C" w:rsidRDefault="00CF2485" w:rsidP="005D5BF4">
            <w:pPr>
              <w:keepNext/>
              <w:keepLines/>
              <w:rPr>
                <w:rFonts w:cs="Arial"/>
                <w:sz w:val="20"/>
                <w:lang w:eastAsia="en-AU"/>
              </w:rPr>
            </w:pPr>
            <w:r w:rsidRPr="00B2412C">
              <w:rPr>
                <w:rFonts w:cs="Arial"/>
                <w:sz w:val="20"/>
                <w:lang w:eastAsia="en-AU"/>
              </w:rPr>
              <w:t xml:space="preserve">Technical, Vocational </w:t>
            </w:r>
            <w:r>
              <w:rPr>
                <w:rFonts w:cs="Arial"/>
                <w:sz w:val="20"/>
                <w:lang w:eastAsia="en-AU"/>
              </w:rPr>
              <w:t>and Tertiary Education Services</w:t>
            </w:r>
          </w:p>
        </w:tc>
      </w:tr>
      <w:tr w:rsidR="00CF2485" w:rsidRPr="00B2412C" w14:paraId="70BF6415" w14:textId="77777777" w:rsidTr="005D5BF4">
        <w:trPr>
          <w:trHeight w:val="255"/>
        </w:trPr>
        <w:tc>
          <w:tcPr>
            <w:tcW w:w="2165" w:type="pct"/>
            <w:shd w:val="clear" w:color="auto" w:fill="auto"/>
            <w:noWrap/>
            <w:vAlign w:val="bottom"/>
            <w:hideMark/>
          </w:tcPr>
          <w:p w14:paraId="7B0D402A" w14:textId="77777777" w:rsidR="00CF2485" w:rsidRPr="00B2412C" w:rsidRDefault="00CF2485" w:rsidP="005D5BF4">
            <w:pPr>
              <w:keepNext/>
              <w:keepLines/>
              <w:rPr>
                <w:rFonts w:cs="Arial"/>
                <w:sz w:val="20"/>
                <w:lang w:eastAsia="en-AU"/>
              </w:rPr>
            </w:pPr>
            <w:r w:rsidRPr="00B2412C">
              <w:rPr>
                <w:rFonts w:cs="Arial"/>
                <w:sz w:val="20"/>
                <w:lang w:eastAsia="en-AU"/>
              </w:rPr>
              <w:t>Mode 4</w:t>
            </w:r>
          </w:p>
        </w:tc>
        <w:tc>
          <w:tcPr>
            <w:tcW w:w="2835" w:type="pct"/>
            <w:shd w:val="clear" w:color="auto" w:fill="auto"/>
            <w:noWrap/>
            <w:vAlign w:val="bottom"/>
            <w:hideMark/>
          </w:tcPr>
          <w:p w14:paraId="46637655" w14:textId="77777777" w:rsidR="00CF2485" w:rsidRPr="00B2412C" w:rsidRDefault="00CF2485" w:rsidP="005D5BF4">
            <w:pPr>
              <w:keepNext/>
              <w:keepLines/>
              <w:rPr>
                <w:rFonts w:cs="Arial"/>
                <w:sz w:val="20"/>
                <w:lang w:eastAsia="en-AU"/>
              </w:rPr>
            </w:pPr>
            <w:r w:rsidRPr="00B2412C">
              <w:rPr>
                <w:rFonts w:cs="Arial"/>
                <w:sz w:val="20"/>
                <w:lang w:eastAsia="en-AU"/>
              </w:rPr>
              <w:t xml:space="preserve">Technical, Vocational </w:t>
            </w:r>
            <w:r>
              <w:rPr>
                <w:rFonts w:cs="Arial"/>
                <w:sz w:val="20"/>
                <w:lang w:eastAsia="en-AU"/>
              </w:rPr>
              <w:t>and Tertiary Education Services</w:t>
            </w:r>
          </w:p>
        </w:tc>
      </w:tr>
    </w:tbl>
    <w:p w14:paraId="796F6539" w14:textId="77777777" w:rsidR="00CF2485" w:rsidRDefault="00CF2485" w:rsidP="00CF2485">
      <w:pPr>
        <w:pStyle w:val="Source"/>
        <w:keepNext/>
        <w:keepLines/>
      </w:pPr>
      <w:r>
        <w:t>Source: Deloitte Access Economics</w:t>
      </w:r>
      <w:r w:rsidR="00285257">
        <w:t>.</w:t>
      </w:r>
    </w:p>
    <w:p w14:paraId="418B359E" w14:textId="77777777" w:rsidR="00CF2485" w:rsidRDefault="00CF2485" w:rsidP="00CF2485">
      <w:pPr>
        <w:pStyle w:val="BodyText"/>
      </w:pPr>
      <w:r>
        <w:rPr>
          <w:lang w:eastAsia="en-AU"/>
        </w:rPr>
        <w:t xml:space="preserve">For mode 2 Higher Education, the revenue and </w:t>
      </w:r>
      <w:r w:rsidRPr="00E4503E">
        <w:rPr>
          <w:lang w:eastAsia="en-AU"/>
        </w:rPr>
        <w:t xml:space="preserve">expenses of the sector </w:t>
      </w:r>
      <w:r>
        <w:rPr>
          <w:lang w:eastAsia="en-AU"/>
        </w:rPr>
        <w:t>are</w:t>
      </w:r>
      <w:r w:rsidRPr="00E4503E">
        <w:rPr>
          <w:lang w:eastAsia="en-AU"/>
        </w:rPr>
        <w:t xml:space="preserve"> taken from the </w:t>
      </w:r>
      <w:proofErr w:type="spellStart"/>
      <w:r w:rsidRPr="00E4503E">
        <w:rPr>
          <w:lang w:eastAsia="en-AU"/>
        </w:rPr>
        <w:t>D</w:t>
      </w:r>
      <w:r w:rsidRPr="00EA1B94">
        <w:rPr>
          <w:lang w:eastAsia="en-AU"/>
        </w:rPr>
        <w:t>ET</w:t>
      </w:r>
      <w:proofErr w:type="spellEnd"/>
      <w:r w:rsidRPr="00EA1B94">
        <w:rPr>
          <w:lang w:eastAsia="en-AU"/>
        </w:rPr>
        <w:t xml:space="preserve"> </w:t>
      </w:r>
      <w:r w:rsidRPr="00EA1B94">
        <w:rPr>
          <w:i/>
          <w:lang w:eastAsia="en-AU"/>
        </w:rPr>
        <w:t xml:space="preserve">2014 Finance </w:t>
      </w:r>
      <w:r w:rsidRPr="00E4503E">
        <w:rPr>
          <w:i/>
          <w:lang w:eastAsia="en-AU"/>
        </w:rPr>
        <w:t xml:space="preserve">Publication </w:t>
      </w:r>
      <w:r w:rsidRPr="00EA1B94">
        <w:rPr>
          <w:lang w:eastAsia="en-AU"/>
        </w:rPr>
        <w:t>(</w:t>
      </w:r>
      <w:proofErr w:type="spellStart"/>
      <w:r w:rsidRPr="00EA1B94">
        <w:rPr>
          <w:lang w:eastAsia="en-AU"/>
        </w:rPr>
        <w:t>2015c</w:t>
      </w:r>
      <w:proofErr w:type="spellEnd"/>
      <w:r w:rsidRPr="00EA1B94">
        <w:rPr>
          <w:lang w:eastAsia="en-AU"/>
        </w:rPr>
        <w:t>)</w:t>
      </w:r>
      <w:r w:rsidRPr="00E4503E">
        <w:rPr>
          <w:lang w:eastAsia="en-AU"/>
        </w:rPr>
        <w:t>. The direct value</w:t>
      </w:r>
      <w:r>
        <w:rPr>
          <w:lang w:eastAsia="en-AU"/>
        </w:rPr>
        <w:t xml:space="preserve"> added and employment multipliers are calculated directly from </w:t>
      </w:r>
      <w:proofErr w:type="spellStart"/>
      <w:r>
        <w:rPr>
          <w:lang w:eastAsia="en-AU"/>
        </w:rPr>
        <w:t>DET</w:t>
      </w:r>
      <w:proofErr w:type="spellEnd"/>
      <w:r>
        <w:rPr>
          <w:lang w:eastAsia="en-AU"/>
        </w:rPr>
        <w:t xml:space="preserve"> data and applied to the ABS estimates of fees from international students in Higher Education from the International Trade in Goods and Services publication.</w:t>
      </w:r>
      <w:r>
        <w:rPr>
          <w:rStyle w:val="FootnoteReference"/>
          <w:lang w:eastAsia="en-AU"/>
        </w:rPr>
        <w:footnoteReference w:id="25"/>
      </w:r>
      <w:r>
        <w:rPr>
          <w:lang w:eastAsia="en-AU"/>
        </w:rPr>
        <w:t xml:space="preserve"> </w:t>
      </w:r>
      <w:proofErr w:type="spellStart"/>
      <w:r>
        <w:t>DET</w:t>
      </w:r>
      <w:proofErr w:type="spellEnd"/>
      <w:r>
        <w:t xml:space="preserve"> financial data is used instead of the aggregate ‘Technical, Vocational and Tertiary Education Services’ industry as it gives a more accurate and up-to-date picture of the production structure of higher education institutions compared to the IO tables.</w:t>
      </w:r>
    </w:p>
    <w:p w14:paraId="1494B642" w14:textId="77777777" w:rsidR="00CF2485" w:rsidRDefault="00CF2485" w:rsidP="00CF2485">
      <w:pPr>
        <w:pStyle w:val="BodyText"/>
      </w:pPr>
      <w:r>
        <w:t xml:space="preserve">This method assumes that for the universities, a dollar from international students is the same as a dollar from any other sources, and does not make any distinction of what international student fees are likely to be spent on. </w:t>
      </w:r>
    </w:p>
    <w:p w14:paraId="2820BCDF" w14:textId="77777777" w:rsidR="00CF2485" w:rsidRDefault="00CF2485" w:rsidP="00CF2485">
      <w:pPr>
        <w:pStyle w:val="BodyText"/>
        <w:rPr>
          <w:lang w:eastAsia="en-AU"/>
        </w:rPr>
      </w:pPr>
      <w:r>
        <w:rPr>
          <w:lang w:eastAsia="en-AU"/>
        </w:rPr>
        <w:t xml:space="preserve">The universities’ expenditure on intermediate inputs draws on both the available </w:t>
      </w:r>
      <w:proofErr w:type="spellStart"/>
      <w:r>
        <w:rPr>
          <w:lang w:eastAsia="en-AU"/>
        </w:rPr>
        <w:t>DET</w:t>
      </w:r>
      <w:proofErr w:type="spellEnd"/>
      <w:r>
        <w:rPr>
          <w:lang w:eastAsia="en-AU"/>
        </w:rPr>
        <w:t xml:space="preserve"> data and past contribution </w:t>
      </w:r>
      <w:r w:rsidRPr="00E4503E">
        <w:rPr>
          <w:lang w:eastAsia="en-AU"/>
        </w:rPr>
        <w:t xml:space="preserve">studies by Deloitte Access </w:t>
      </w:r>
      <w:r w:rsidRPr="00EA1B94">
        <w:rPr>
          <w:lang w:eastAsia="en-AU"/>
        </w:rPr>
        <w:t>Economics for the University of New South Wales (</w:t>
      </w:r>
      <w:proofErr w:type="spellStart"/>
      <w:r w:rsidRPr="00EA1B94">
        <w:rPr>
          <w:lang w:eastAsia="en-AU"/>
        </w:rPr>
        <w:t>2015b</w:t>
      </w:r>
      <w:proofErr w:type="spellEnd"/>
      <w:r w:rsidRPr="00EA1B94">
        <w:rPr>
          <w:lang w:eastAsia="en-AU"/>
        </w:rPr>
        <w:t>) and the University of Adelaide</w:t>
      </w:r>
      <w:r>
        <w:rPr>
          <w:lang w:eastAsia="en-AU"/>
        </w:rPr>
        <w:t>.</w:t>
      </w:r>
      <w:r>
        <w:rPr>
          <w:rStyle w:val="FootnoteReference"/>
          <w:lang w:eastAsia="en-AU"/>
        </w:rPr>
        <w:footnoteReference w:id="26"/>
      </w:r>
      <w:r>
        <w:rPr>
          <w:lang w:eastAsia="en-AU"/>
        </w:rPr>
        <w:t xml:space="preserve"> It finds that of the university sector’s expenditure on intermediate inputs, the three biggest expenditure items are contract services (35%), travel and entertainment (11%); and repairs and maintenance (10%).</w:t>
      </w:r>
    </w:p>
    <w:p w14:paraId="0AFA8803" w14:textId="77777777" w:rsidR="00CF2485" w:rsidRDefault="00CF2485" w:rsidP="00CF2485">
      <w:pPr>
        <w:pStyle w:val="BodyText"/>
        <w:rPr>
          <w:lang w:eastAsia="en-AU"/>
        </w:rPr>
      </w:pPr>
      <w:r>
        <w:rPr>
          <w:lang w:eastAsia="en-AU"/>
        </w:rPr>
        <w:t xml:space="preserve">Adjustments are also made to account for the proportion of expenditure that is likely to occur within the individual states and in the rest of Australia, based on past analysis by Deloitte Access Economics. It finds that approximately 60% of expenditure on intermediate </w:t>
      </w:r>
      <w:r>
        <w:rPr>
          <w:lang w:eastAsia="en-AU"/>
        </w:rPr>
        <w:lastRenderedPageBreak/>
        <w:t xml:space="preserve">inputs will occur within the state that the university is located in, 30% within the rest of Australia, with the remaining 10% sourced directly from overseas. </w:t>
      </w:r>
    </w:p>
    <w:p w14:paraId="48409C21" w14:textId="77777777" w:rsidR="00CF2485" w:rsidRDefault="00CF2485" w:rsidP="00CF2485">
      <w:pPr>
        <w:pStyle w:val="BodyText"/>
      </w:pPr>
      <w:r>
        <w:rPr>
          <w:lang w:eastAsia="en-AU"/>
        </w:rPr>
        <w:t xml:space="preserve">Using proportions based on past studies, the simplifying assumption that each </w:t>
      </w:r>
      <w:r>
        <w:t>university has the same reliance on local, interstate, and international intermediate inputs, has been made. While it is likely that local services, such as building maintenance</w:t>
      </w:r>
      <w:r w:rsidR="00D619BD">
        <w:t xml:space="preserve"> and </w:t>
      </w:r>
      <w:r>
        <w:t xml:space="preserve">utilities, are all sourced locally, it possible that larger states will rely relatively more on domestic businesses. </w:t>
      </w:r>
    </w:p>
    <w:p w14:paraId="71B26AF0" w14:textId="77777777" w:rsidR="00CF2485" w:rsidRDefault="00CF2485" w:rsidP="00CF2485">
      <w:pPr>
        <w:pStyle w:val="BodyText"/>
      </w:pPr>
      <w:r>
        <w:rPr>
          <w:lang w:eastAsia="en-AU"/>
        </w:rPr>
        <w:t xml:space="preserve">It is also assumed that each University spends the same proportion of total </w:t>
      </w:r>
      <w:r w:rsidRPr="003B260D">
        <w:rPr>
          <w:i/>
          <w:lang w:eastAsia="en-AU"/>
        </w:rPr>
        <w:t>‘other expenditure’</w:t>
      </w:r>
      <w:r>
        <w:rPr>
          <w:lang w:eastAsia="en-AU"/>
        </w:rPr>
        <w:t xml:space="preserve"> on different intermediate inputs. Universities with different focuses, such as research versus teaching, could potentially have different spending profiles.</w:t>
      </w:r>
    </w:p>
    <w:p w14:paraId="64BD67EE" w14:textId="77777777" w:rsidR="00CF2485" w:rsidRDefault="00CF2485" w:rsidP="00CF2485">
      <w:pPr>
        <w:pStyle w:val="BodyText"/>
        <w:rPr>
          <w:lang w:eastAsia="en-AU"/>
        </w:rPr>
      </w:pPr>
      <w:r>
        <w:rPr>
          <w:lang w:eastAsia="en-AU"/>
        </w:rPr>
        <w:t xml:space="preserve">The intermediate expenditure is then put through the Deloitte Access Economics IO model under the relevant industries. </w:t>
      </w:r>
    </w:p>
    <w:p w14:paraId="51490122" w14:textId="77777777" w:rsidR="00CF2485" w:rsidRPr="003B260D" w:rsidRDefault="00CF2485" w:rsidP="00163EA3">
      <w:pPr>
        <w:pStyle w:val="HeadingC"/>
        <w:outlineLvl w:val="0"/>
        <w:rPr>
          <w:lang w:eastAsia="en-AU"/>
        </w:rPr>
      </w:pPr>
      <w:r w:rsidRPr="003B260D">
        <w:rPr>
          <w:lang w:eastAsia="en-AU"/>
        </w:rPr>
        <w:t>Goods and services</w:t>
      </w:r>
    </w:p>
    <w:p w14:paraId="78BD4FDD" w14:textId="77777777" w:rsidR="00CF2485" w:rsidRDefault="00CF2485" w:rsidP="00CF2485">
      <w:pPr>
        <w:pStyle w:val="BodyText"/>
        <w:rPr>
          <w:lang w:eastAsia="en-AU"/>
        </w:rPr>
      </w:pPr>
      <w:r>
        <w:rPr>
          <w:lang w:eastAsia="en-AU"/>
        </w:rPr>
        <w:t xml:space="preserve">For student expenditure on goods and services, the total ABS figure for each sector was apportioned to individual spending categories based </w:t>
      </w:r>
      <w:r w:rsidRPr="00E4503E">
        <w:rPr>
          <w:lang w:eastAsia="en-AU"/>
        </w:rPr>
        <w:t xml:space="preserve">on </w:t>
      </w:r>
      <w:r w:rsidRPr="00EA1B94">
        <w:rPr>
          <w:lang w:eastAsia="en-AU"/>
        </w:rPr>
        <w:t xml:space="preserve">the Universities Australia (UA) </w:t>
      </w:r>
      <w:r w:rsidRPr="00EA1B94">
        <w:rPr>
          <w:i/>
          <w:lang w:eastAsia="en-AU"/>
        </w:rPr>
        <w:t>2010 Survey of International Student Spending</w:t>
      </w:r>
      <w:r w:rsidRPr="00E4503E">
        <w:rPr>
          <w:i/>
          <w:lang w:eastAsia="en-AU"/>
        </w:rPr>
        <w:t xml:space="preserve">. </w:t>
      </w:r>
      <w:r w:rsidRPr="00E4503E">
        <w:rPr>
          <w:lang w:eastAsia="en-AU"/>
        </w:rPr>
        <w:t>The</w:t>
      </w:r>
      <w:r w:rsidRPr="00E4503E">
        <w:rPr>
          <w:i/>
          <w:lang w:eastAsia="en-AU"/>
        </w:rPr>
        <w:t xml:space="preserve"> </w:t>
      </w:r>
      <w:r w:rsidRPr="00E4503E">
        <w:rPr>
          <w:lang w:eastAsia="en-AU"/>
        </w:rPr>
        <w:t>survey, which received</w:t>
      </w:r>
      <w:r>
        <w:rPr>
          <w:lang w:eastAsia="en-AU"/>
        </w:rPr>
        <w:t xml:space="preserve"> over 5,400 responses from international students across all the states and all the sectors, is also used by the ABS to construct its total international student expenditure on goods and services. </w:t>
      </w:r>
    </w:p>
    <w:p w14:paraId="11ADBB50" w14:textId="77777777" w:rsidR="00CF2485" w:rsidRDefault="00CF2485" w:rsidP="00CF2485">
      <w:pPr>
        <w:pStyle w:val="BodyText"/>
      </w:pPr>
      <w:r>
        <w:t xml:space="preserve">Under the IMF Balance of Payments framework that the ABS utilises, student expenditure on international airfares is not included under goods and services revenue from education related personal travel (IMF, 2009). Instead, it is attributed to </w:t>
      </w:r>
      <w:r w:rsidRPr="00195825">
        <w:t xml:space="preserve">the </w:t>
      </w:r>
      <w:r w:rsidRPr="00EA1B94">
        <w:t>aviation sector directly</w:t>
      </w:r>
      <w:r w:rsidRPr="00195825">
        <w:t>.</w:t>
      </w:r>
      <w:r>
        <w:t xml:space="preserve"> Given that international student expenditure on airfares is likely to directly support activity in the aviation sector, the following results are still a potential underestimation of the contribution from international students. Indeed, Tourism Research Australia (2015) reports that approximately 7% of total student expenditure on goods and services are likely to be on international airfares.</w:t>
      </w:r>
    </w:p>
    <w:p w14:paraId="50F7A070" w14:textId="77777777" w:rsidR="00CF2485" w:rsidRDefault="00CF2485" w:rsidP="00CF2485">
      <w:pPr>
        <w:pStyle w:val="BodyText"/>
        <w:rPr>
          <w:lang w:eastAsia="en-AU"/>
        </w:rPr>
      </w:pPr>
      <w:r>
        <w:rPr>
          <w:lang w:eastAsia="en-AU"/>
        </w:rPr>
        <w:t xml:space="preserve">The UA survey expenditure categories are then assigned to the relevant IO or </w:t>
      </w:r>
      <w:proofErr w:type="spellStart"/>
      <w:r>
        <w:rPr>
          <w:lang w:eastAsia="en-AU"/>
        </w:rPr>
        <w:t>ANZSIC</w:t>
      </w:r>
      <w:proofErr w:type="spellEnd"/>
      <w:r>
        <w:rPr>
          <w:lang w:eastAsia="en-AU"/>
        </w:rPr>
        <w:t xml:space="preserve"> industries, and adjusted for both the price received by the domestic producers (basic price) by removing consumption taxes from the price paid by consumers (purchaser’s price), and the proportion of expenditure that is likely to be directly imported. Both are derived using the ABS 2012-13 IO tables.</w:t>
      </w:r>
    </w:p>
    <w:p w14:paraId="46D2C141" w14:textId="77777777" w:rsidR="00CF2485" w:rsidRDefault="00CF2485" w:rsidP="00CF2485">
      <w:pPr>
        <w:pStyle w:val="BodyText"/>
      </w:pPr>
      <w:r>
        <w:rPr>
          <w:lang w:eastAsia="en-AU"/>
        </w:rPr>
        <w:t xml:space="preserve">This is then used to model both the direct and indirect value added and employment contribution from the living expenses of students during their studies in Australia. </w:t>
      </w:r>
      <w:r>
        <w:t>By using the 2010 UA survey and the 2012-13 IO tables, it is implicitly assumed that:</w:t>
      </w:r>
    </w:p>
    <w:p w14:paraId="1E4CA8EA" w14:textId="77777777" w:rsidR="00CF2485" w:rsidRDefault="00CF2485" w:rsidP="00CF2485">
      <w:pPr>
        <w:pStyle w:val="Bullet1"/>
      </w:pPr>
      <w:r>
        <w:t>student consumption patterns haven’t changed since 2010;</w:t>
      </w:r>
    </w:p>
    <w:p w14:paraId="7DF8EBBA" w14:textId="77777777" w:rsidR="00CF2485" w:rsidRDefault="00CF2485" w:rsidP="00CF2485">
      <w:pPr>
        <w:pStyle w:val="Bullet1"/>
      </w:pPr>
      <w:r>
        <w:t>the production structure in the overall sectors have remained constant;</w:t>
      </w:r>
      <w:r>
        <w:rPr>
          <w:rStyle w:val="FootnoteReference"/>
        </w:rPr>
        <w:footnoteReference w:id="27"/>
      </w:r>
      <w:r>
        <w:t xml:space="preserve"> and</w:t>
      </w:r>
    </w:p>
    <w:p w14:paraId="51782CCA" w14:textId="77777777" w:rsidR="00CF2485" w:rsidRDefault="00CF2485" w:rsidP="00CF2485">
      <w:pPr>
        <w:pStyle w:val="Bullet1"/>
      </w:pPr>
      <w:proofErr w:type="gramStart"/>
      <w:r>
        <w:lastRenderedPageBreak/>
        <w:t>the</w:t>
      </w:r>
      <w:proofErr w:type="gramEnd"/>
      <w:r>
        <w:t xml:space="preserve"> production structure is linear and an additional dollar of production will use the same resources as the average production in 2012-13.</w:t>
      </w:r>
    </w:p>
    <w:p w14:paraId="0A5B22B8" w14:textId="77777777" w:rsidR="00CF2485" w:rsidRPr="0082219B" w:rsidRDefault="00CF2485" w:rsidP="00CF2485">
      <w:pPr>
        <w:pStyle w:val="BodyText"/>
      </w:pPr>
      <w:r w:rsidRPr="0082219B">
        <w:t>The major</w:t>
      </w:r>
      <w:r>
        <w:t>ity</w:t>
      </w:r>
      <w:r w:rsidRPr="0082219B">
        <w:t xml:space="preserve"> of expenditure of mode 2</w:t>
      </w:r>
      <w:r>
        <w:t xml:space="preserve"> expenditure on goods and </w:t>
      </w:r>
      <w:proofErr w:type="gramStart"/>
      <w:r>
        <w:t>services,</w:t>
      </w:r>
      <w:proofErr w:type="gramEnd"/>
      <w:r>
        <w:t xml:space="preserve"> are</w:t>
      </w:r>
      <w:r w:rsidRPr="0082219B">
        <w:t xml:space="preserve"> covered by</w:t>
      </w:r>
      <w:r>
        <w:t xml:space="preserve"> the following three </w:t>
      </w:r>
      <w:r w:rsidRPr="0082219B">
        <w:t>broad</w:t>
      </w:r>
      <w:r>
        <w:t xml:space="preserve"> </w:t>
      </w:r>
      <w:proofErr w:type="spellStart"/>
      <w:r>
        <w:t>ANZSIC</w:t>
      </w:r>
      <w:proofErr w:type="spellEnd"/>
      <w:r w:rsidRPr="0082219B">
        <w:t xml:space="preserve"> industries:</w:t>
      </w:r>
    </w:p>
    <w:p w14:paraId="654F9E72" w14:textId="77777777" w:rsidR="00CF2485" w:rsidRDefault="00CF2485" w:rsidP="00CF2485">
      <w:pPr>
        <w:pStyle w:val="Bullet1"/>
      </w:pPr>
      <w:proofErr w:type="gramStart"/>
      <w:r>
        <w:rPr>
          <w:b/>
          <w:color w:val="002776" w:themeColor="text2"/>
        </w:rPr>
        <w:t>r</w:t>
      </w:r>
      <w:r w:rsidRPr="001C5C96">
        <w:rPr>
          <w:b/>
          <w:color w:val="002776" w:themeColor="text2"/>
        </w:rPr>
        <w:t>etail</w:t>
      </w:r>
      <w:proofErr w:type="gramEnd"/>
      <w:r w:rsidRPr="001C5C96">
        <w:rPr>
          <w:b/>
          <w:color w:val="002776" w:themeColor="text2"/>
        </w:rPr>
        <w:t xml:space="preserve"> </w:t>
      </w:r>
      <w:r>
        <w:rPr>
          <w:b/>
          <w:color w:val="002776" w:themeColor="text2"/>
        </w:rPr>
        <w:t>t</w:t>
      </w:r>
      <w:r w:rsidRPr="001C5C96">
        <w:rPr>
          <w:b/>
          <w:color w:val="002776" w:themeColor="text2"/>
        </w:rPr>
        <w:t>rade</w:t>
      </w:r>
      <w:r w:rsidRPr="001C5C96">
        <w:rPr>
          <w:color w:val="002776" w:themeColor="text2"/>
        </w:rPr>
        <w:t xml:space="preserve"> </w:t>
      </w:r>
      <w:r>
        <w:t>at 28%, which includes student expenditure on groceries, clothing, household goods, and computers.</w:t>
      </w:r>
    </w:p>
    <w:p w14:paraId="3A7E5EB2" w14:textId="77777777" w:rsidR="00CF2485" w:rsidRDefault="00CF2485" w:rsidP="00CF2485">
      <w:pPr>
        <w:pStyle w:val="Bullet1"/>
      </w:pPr>
      <w:proofErr w:type="gramStart"/>
      <w:r>
        <w:rPr>
          <w:b/>
          <w:color w:val="002776" w:themeColor="text2"/>
        </w:rPr>
        <w:t>o</w:t>
      </w:r>
      <w:r w:rsidRPr="001C5C96">
        <w:rPr>
          <w:b/>
          <w:color w:val="002776" w:themeColor="text2"/>
        </w:rPr>
        <w:t>wnership</w:t>
      </w:r>
      <w:proofErr w:type="gramEnd"/>
      <w:r w:rsidRPr="001C5C96">
        <w:rPr>
          <w:b/>
          <w:color w:val="002776" w:themeColor="text2"/>
        </w:rPr>
        <w:t xml:space="preserve"> of </w:t>
      </w:r>
      <w:r>
        <w:rPr>
          <w:b/>
          <w:color w:val="002776" w:themeColor="text2"/>
        </w:rPr>
        <w:t>d</w:t>
      </w:r>
      <w:r w:rsidRPr="001C5C96">
        <w:rPr>
          <w:b/>
          <w:color w:val="002776" w:themeColor="text2"/>
        </w:rPr>
        <w:t>wellings</w:t>
      </w:r>
      <w:r w:rsidRPr="001C5C96">
        <w:rPr>
          <w:color w:val="002776" w:themeColor="text2"/>
        </w:rPr>
        <w:t xml:space="preserve"> </w:t>
      </w:r>
      <w:r w:rsidRPr="00A0328A">
        <w:t xml:space="preserve">at </w:t>
      </w:r>
      <w:r w:rsidRPr="00D703A4">
        <w:t>2</w:t>
      </w:r>
      <w:r>
        <w:t>6%, which includes student expenditure on rent or board for private accommodation. It does not include expenditure on private halls/student hostels, student houses, or colleges, which are counted under the ‘accommodation’ sector.</w:t>
      </w:r>
      <w:r>
        <w:rPr>
          <w:rStyle w:val="FootnoteReference"/>
        </w:rPr>
        <w:footnoteReference w:id="28"/>
      </w:r>
      <w:r>
        <w:t xml:space="preserve"> </w:t>
      </w:r>
    </w:p>
    <w:p w14:paraId="1D039FFE" w14:textId="77777777" w:rsidR="00CF2485" w:rsidRDefault="00CF2485" w:rsidP="00CF2485">
      <w:pPr>
        <w:pStyle w:val="Bullet1"/>
      </w:pPr>
      <w:proofErr w:type="gramStart"/>
      <w:r>
        <w:rPr>
          <w:b/>
          <w:color w:val="002776" w:themeColor="text2"/>
        </w:rPr>
        <w:t>food</w:t>
      </w:r>
      <w:proofErr w:type="gramEnd"/>
      <w:r>
        <w:rPr>
          <w:b/>
          <w:color w:val="002776" w:themeColor="text2"/>
        </w:rPr>
        <w:t xml:space="preserve"> and beverage services </w:t>
      </w:r>
      <w:r>
        <w:t>at 7%, which includes student expenditure on meals, snacks, and drinks consumed away from home.</w:t>
      </w:r>
    </w:p>
    <w:p w14:paraId="2F1D9822" w14:textId="77777777" w:rsidR="00CF2485" w:rsidRDefault="00CF2485" w:rsidP="00CF2485">
      <w:pPr>
        <w:pStyle w:val="BodyText"/>
      </w:pPr>
      <w:r>
        <w:t>Other key industries where students spend money directly include the Road and Rail Transport, Sports and Recreation, and Accommodation sectors.</w:t>
      </w:r>
    </w:p>
    <w:p w14:paraId="1D62276C" w14:textId="77777777" w:rsidR="000630A5" w:rsidRPr="00A9242D" w:rsidRDefault="000630A5" w:rsidP="00163EA3">
      <w:pPr>
        <w:pStyle w:val="HeadingB"/>
        <w:outlineLvl w:val="0"/>
      </w:pPr>
      <w:r>
        <w:t>Multipliers</w:t>
      </w:r>
    </w:p>
    <w:p w14:paraId="598F1042" w14:textId="77777777" w:rsidR="000630A5" w:rsidRDefault="000630A5" w:rsidP="000630A5">
      <w:pPr>
        <w:pStyle w:val="BodyText"/>
      </w:pPr>
      <w:r>
        <w:t>This section outlines the value added and employment multipliers from international student revenue (Mode 2). These results should not be interpreted as the likely value added or employment impacts likely to occur if the international education sector continues to expand. Indeed, given that the total resources in the sector are limited, further expansion in the sector is likely to come at the expense of other sectors. Consequently, the value added impact of an additional dollar of revenue in the higher education sector is likely to be smaller than the given multipliers.</w:t>
      </w:r>
    </w:p>
    <w:p w14:paraId="606F8C64" w14:textId="77777777" w:rsidR="000630A5" w:rsidRDefault="000630A5" w:rsidP="000630A5">
      <w:pPr>
        <w:pStyle w:val="AppendixTableCaption"/>
      </w:pPr>
      <w:bookmarkStart w:id="418" w:name="_Toc438715605"/>
      <w:bookmarkStart w:id="419" w:name="_Toc450809292"/>
      <w:r>
        <w:t>:</w:t>
      </w:r>
      <w:bookmarkEnd w:id="418"/>
      <w:r>
        <w:t xml:space="preserve"> Contribution multipliers for international students, 2014-15</w:t>
      </w:r>
      <w:bookmarkEnd w:id="419"/>
    </w:p>
    <w:tbl>
      <w:tblPr>
        <w:tblStyle w:val="TableAE"/>
        <w:tblW w:w="4430" w:type="pct"/>
        <w:tblLook w:val="04A0" w:firstRow="1" w:lastRow="0" w:firstColumn="1" w:lastColumn="0" w:noHBand="0" w:noVBand="1"/>
        <w:tblCaption w:val="Table D.2: Contribution multipliers for international students, 2014–15"/>
        <w:tblDescription w:val="The table shows the Input - Output categorisation by education provider mode and sector."/>
      </w:tblPr>
      <w:tblGrid>
        <w:gridCol w:w="4447"/>
        <w:gridCol w:w="3027"/>
      </w:tblGrid>
      <w:tr w:rsidR="000630A5" w14:paraId="4FBF54D4" w14:textId="77777777" w:rsidTr="00AA149D">
        <w:trPr>
          <w:cnfStyle w:val="100000000000" w:firstRow="1" w:lastRow="0" w:firstColumn="0" w:lastColumn="0" w:oddVBand="0" w:evenVBand="0" w:oddHBand="0" w:evenHBand="0" w:firstRowFirstColumn="0" w:firstRowLastColumn="0" w:lastRowFirstColumn="0" w:lastRowLastColumn="0"/>
          <w:tblHeader/>
        </w:trPr>
        <w:tc>
          <w:tcPr>
            <w:tcW w:w="2975" w:type="pct"/>
          </w:tcPr>
          <w:p w14:paraId="3269BF0E" w14:textId="77777777" w:rsidR="000630A5" w:rsidRDefault="000630A5" w:rsidP="00783B4D">
            <w:pPr>
              <w:pStyle w:val="TableHeadingCentre"/>
            </w:pPr>
          </w:p>
        </w:tc>
        <w:tc>
          <w:tcPr>
            <w:tcW w:w="2025" w:type="pct"/>
            <w:vAlign w:val="center"/>
          </w:tcPr>
          <w:p w14:paraId="1DD3570D" w14:textId="77777777" w:rsidR="000630A5" w:rsidRDefault="000630A5" w:rsidP="00783B4D">
            <w:pPr>
              <w:pStyle w:val="TableHeadingCentre"/>
            </w:pPr>
            <w:r>
              <w:t>International education sector</w:t>
            </w:r>
          </w:p>
        </w:tc>
      </w:tr>
      <w:tr w:rsidR="000630A5" w14:paraId="50FC6ECC" w14:textId="77777777" w:rsidTr="00783B4D">
        <w:tc>
          <w:tcPr>
            <w:tcW w:w="2975" w:type="pct"/>
          </w:tcPr>
          <w:p w14:paraId="7A263150" w14:textId="77777777" w:rsidR="000630A5" w:rsidRDefault="000630A5" w:rsidP="00783B4D">
            <w:pPr>
              <w:pStyle w:val="TabletextLeft"/>
              <w:keepNext/>
              <w:keepLines/>
            </w:pPr>
            <w:r w:rsidRPr="00DB5CF5">
              <w:t>Total enrolments</w:t>
            </w:r>
          </w:p>
        </w:tc>
        <w:tc>
          <w:tcPr>
            <w:tcW w:w="2025" w:type="pct"/>
            <w:vAlign w:val="center"/>
          </w:tcPr>
          <w:p w14:paraId="263EC446" w14:textId="77777777" w:rsidR="000630A5" w:rsidRDefault="000630A5" w:rsidP="00783B4D">
            <w:pPr>
              <w:pStyle w:val="TabletextLeft"/>
              <w:keepNext/>
              <w:keepLines/>
              <w:jc w:val="center"/>
            </w:pPr>
            <w:r w:rsidRPr="00DB5CF5">
              <w:t>661,800</w:t>
            </w:r>
          </w:p>
        </w:tc>
      </w:tr>
      <w:tr w:rsidR="000630A5" w14:paraId="5881CEF8" w14:textId="77777777" w:rsidTr="00783B4D">
        <w:tc>
          <w:tcPr>
            <w:tcW w:w="2975" w:type="pct"/>
          </w:tcPr>
          <w:p w14:paraId="7F3358E1" w14:textId="77777777" w:rsidR="000630A5" w:rsidRDefault="000630A5" w:rsidP="00783B4D">
            <w:pPr>
              <w:pStyle w:val="TabletextLeft"/>
              <w:keepNext/>
              <w:keepLines/>
            </w:pPr>
            <w:r>
              <w:t>Export r</w:t>
            </w:r>
            <w:r w:rsidRPr="00DB5CF5">
              <w:t>evenue ($m)</w:t>
            </w:r>
          </w:p>
        </w:tc>
        <w:tc>
          <w:tcPr>
            <w:tcW w:w="2025" w:type="pct"/>
            <w:vAlign w:val="center"/>
          </w:tcPr>
          <w:p w14:paraId="6FE5A898" w14:textId="77777777" w:rsidR="000630A5" w:rsidRDefault="000630A5" w:rsidP="00783B4D">
            <w:pPr>
              <w:pStyle w:val="TabletextLeft"/>
              <w:keepNext/>
              <w:keepLines/>
              <w:jc w:val="center"/>
            </w:pPr>
            <w:r>
              <w:t>18,980</w:t>
            </w:r>
          </w:p>
        </w:tc>
      </w:tr>
      <w:tr w:rsidR="000630A5" w14:paraId="5B433162" w14:textId="77777777" w:rsidTr="00783B4D">
        <w:tc>
          <w:tcPr>
            <w:tcW w:w="2975" w:type="pct"/>
          </w:tcPr>
          <w:p w14:paraId="06EDF4C3" w14:textId="77777777" w:rsidR="000630A5" w:rsidRDefault="000630A5" w:rsidP="00783B4D">
            <w:pPr>
              <w:pStyle w:val="TabletextLeft"/>
              <w:keepNext/>
              <w:keepLines/>
            </w:pPr>
            <w:r>
              <w:t>Value added</w:t>
            </w:r>
            <w:r w:rsidRPr="00DB5CF5">
              <w:t xml:space="preserve"> ($m)</w:t>
            </w:r>
          </w:p>
        </w:tc>
        <w:tc>
          <w:tcPr>
            <w:tcW w:w="2025" w:type="pct"/>
            <w:vAlign w:val="center"/>
          </w:tcPr>
          <w:p w14:paraId="71D38932" w14:textId="77777777" w:rsidR="000630A5" w:rsidRDefault="000630A5" w:rsidP="00783B4D">
            <w:pPr>
              <w:pStyle w:val="TabletextLeft"/>
              <w:keepNext/>
              <w:keepLines/>
              <w:jc w:val="center"/>
            </w:pPr>
            <w:r w:rsidRPr="00DB5CF5">
              <w:t>1</w:t>
            </w:r>
            <w:r>
              <w:t>6,882</w:t>
            </w:r>
          </w:p>
        </w:tc>
      </w:tr>
      <w:tr w:rsidR="000630A5" w14:paraId="705435A9" w14:textId="77777777" w:rsidTr="00783B4D">
        <w:tc>
          <w:tcPr>
            <w:tcW w:w="2975" w:type="pct"/>
          </w:tcPr>
          <w:p w14:paraId="3BCA5DEF" w14:textId="77777777" w:rsidR="000630A5" w:rsidRDefault="000630A5" w:rsidP="00783B4D">
            <w:pPr>
              <w:pStyle w:val="TabletextLeft"/>
              <w:keepNext/>
              <w:keepLines/>
            </w:pPr>
            <w:r w:rsidRPr="00DB5CF5">
              <w:t xml:space="preserve">Total </w:t>
            </w:r>
            <w:r>
              <w:t>jobs</w:t>
            </w:r>
            <w:r w:rsidRPr="00DB5CF5">
              <w:t xml:space="preserve"> (FTE)</w:t>
            </w:r>
          </w:p>
        </w:tc>
        <w:tc>
          <w:tcPr>
            <w:tcW w:w="2025" w:type="pct"/>
            <w:vAlign w:val="center"/>
          </w:tcPr>
          <w:p w14:paraId="5D8271CA" w14:textId="77777777" w:rsidR="000630A5" w:rsidRDefault="000630A5" w:rsidP="00783B4D">
            <w:pPr>
              <w:pStyle w:val="TabletextLeft"/>
              <w:keepNext/>
              <w:keepLines/>
              <w:jc w:val="center"/>
            </w:pPr>
            <w:r w:rsidRPr="00DB5CF5">
              <w:t>12</w:t>
            </w:r>
            <w:r>
              <w:t>8</w:t>
            </w:r>
            <w:r w:rsidRPr="00DB5CF5">
              <w:t>,</w:t>
            </w:r>
            <w:r>
              <w:t>385</w:t>
            </w:r>
          </w:p>
        </w:tc>
      </w:tr>
      <w:tr w:rsidR="000630A5" w14:paraId="08E91A44" w14:textId="77777777" w:rsidTr="00783B4D">
        <w:tc>
          <w:tcPr>
            <w:tcW w:w="2975" w:type="pct"/>
          </w:tcPr>
          <w:p w14:paraId="699B8815" w14:textId="77777777" w:rsidR="000630A5" w:rsidRDefault="000630A5" w:rsidP="00783B4D">
            <w:pPr>
              <w:pStyle w:val="TabletextLeft"/>
              <w:keepNext/>
              <w:keepLines/>
            </w:pPr>
            <w:r>
              <w:t>Value added per $m in export revenue</w:t>
            </w:r>
          </w:p>
        </w:tc>
        <w:tc>
          <w:tcPr>
            <w:tcW w:w="2025" w:type="pct"/>
            <w:vAlign w:val="center"/>
          </w:tcPr>
          <w:p w14:paraId="0EC078DB" w14:textId="77777777" w:rsidR="000630A5" w:rsidRDefault="000630A5" w:rsidP="00783B4D">
            <w:pPr>
              <w:pStyle w:val="TabletextLeft"/>
              <w:keepNext/>
              <w:keepLines/>
              <w:jc w:val="center"/>
            </w:pPr>
            <w:r w:rsidRPr="00DB5CF5">
              <w:t>0.</w:t>
            </w:r>
            <w:r>
              <w:t>89</w:t>
            </w:r>
          </w:p>
        </w:tc>
      </w:tr>
      <w:tr w:rsidR="000630A5" w14:paraId="01CD3D47" w14:textId="77777777" w:rsidTr="00783B4D">
        <w:tc>
          <w:tcPr>
            <w:tcW w:w="2975" w:type="pct"/>
          </w:tcPr>
          <w:p w14:paraId="71A158B9" w14:textId="77777777" w:rsidR="000630A5" w:rsidDel="003C0039" w:rsidRDefault="000630A5" w:rsidP="00783B4D">
            <w:pPr>
              <w:pStyle w:val="TabletextLeft"/>
              <w:keepNext/>
              <w:keepLines/>
            </w:pPr>
            <w:r>
              <w:t>Employment per $m in export revenue</w:t>
            </w:r>
          </w:p>
        </w:tc>
        <w:tc>
          <w:tcPr>
            <w:tcW w:w="2025" w:type="pct"/>
            <w:vAlign w:val="center"/>
          </w:tcPr>
          <w:p w14:paraId="55D5AFFC" w14:textId="77777777" w:rsidR="000630A5" w:rsidRPr="00DB5CF5" w:rsidRDefault="000630A5" w:rsidP="00783B4D">
            <w:pPr>
              <w:pStyle w:val="TabletextLeft"/>
              <w:keepNext/>
              <w:keepLines/>
              <w:jc w:val="center"/>
            </w:pPr>
            <w:r>
              <w:t>6.76</w:t>
            </w:r>
          </w:p>
        </w:tc>
      </w:tr>
    </w:tbl>
    <w:p w14:paraId="39B48165" w14:textId="77777777" w:rsidR="000630A5" w:rsidRDefault="000630A5" w:rsidP="000630A5">
      <w:pPr>
        <w:pStyle w:val="TableNote"/>
        <w:keepNext/>
        <w:keepLines/>
        <w:contextualSpacing/>
        <w:jc w:val="left"/>
      </w:pPr>
      <w:r w:rsidRPr="00BA74B9">
        <w:t xml:space="preserve">Source:  </w:t>
      </w:r>
      <w:r w:rsidRPr="0069251B">
        <w:t xml:space="preserve">Deloitte </w:t>
      </w:r>
      <w:r>
        <w:t>Access Economics</w:t>
      </w:r>
      <w:r w:rsidR="00285257">
        <w:t>.</w:t>
      </w:r>
    </w:p>
    <w:p w14:paraId="5CD4C6CD" w14:textId="77777777" w:rsidR="00AF555D" w:rsidRDefault="000630A5" w:rsidP="00E74E03">
      <w:pPr>
        <w:pStyle w:val="TableNote"/>
        <w:keepNext/>
        <w:keepLines/>
        <w:contextualSpacing/>
        <w:jc w:val="left"/>
      </w:pPr>
      <w:r>
        <w:t xml:space="preserve">Note: Enrolments based on </w:t>
      </w:r>
      <w:proofErr w:type="spellStart"/>
      <w:r>
        <w:t>DET</w:t>
      </w:r>
      <w:proofErr w:type="spellEnd"/>
      <w:r>
        <w:t xml:space="preserve"> 2014 figures, while revenue and consequent contribution to value added and employment are based on financial year 2014-15 figures. Includes activity in the </w:t>
      </w:r>
      <w:proofErr w:type="spellStart"/>
      <w:r>
        <w:t>NSV</w:t>
      </w:r>
      <w:proofErr w:type="spellEnd"/>
      <w:r>
        <w:t xml:space="preserve"> </w:t>
      </w:r>
      <w:proofErr w:type="spellStart"/>
      <w:r>
        <w:t>ELICOS</w:t>
      </w:r>
      <w:proofErr w:type="spellEnd"/>
      <w:r>
        <w:t xml:space="preserve"> sector and includes the contribution from New Zealand and </w:t>
      </w:r>
      <w:proofErr w:type="spellStart"/>
      <w:r>
        <w:t>AusAID</w:t>
      </w:r>
      <w:proofErr w:type="spellEnd"/>
      <w:r>
        <w:t xml:space="preserve">/Defence students.  </w:t>
      </w:r>
    </w:p>
    <w:p w14:paraId="69DB7F69" w14:textId="77777777" w:rsidR="00E62540" w:rsidRDefault="00AF555D" w:rsidP="00E74E03">
      <w:pPr>
        <w:pStyle w:val="Appendix"/>
      </w:pPr>
      <w:bookmarkStart w:id="420" w:name="_Ref442338091"/>
      <w:bookmarkStart w:id="421" w:name="_Toc450809259"/>
      <w:bookmarkStart w:id="422" w:name="_Ref442337741"/>
      <w:r>
        <w:lastRenderedPageBreak/>
        <w:t>: Regional contributio</w:t>
      </w:r>
      <w:r w:rsidR="003352B6">
        <w:t>n</w:t>
      </w:r>
      <w:bookmarkEnd w:id="420"/>
      <w:bookmarkEnd w:id="421"/>
      <w:r>
        <w:t xml:space="preserve"> </w:t>
      </w:r>
      <w:bookmarkEnd w:id="422"/>
    </w:p>
    <w:p w14:paraId="24B3D04A" w14:textId="77777777" w:rsidR="003352B6" w:rsidRDefault="00873B43" w:rsidP="00163EA3">
      <w:pPr>
        <w:pStyle w:val="HeadingA"/>
        <w:outlineLvl w:val="0"/>
      </w:pPr>
      <w:bookmarkStart w:id="423" w:name="_Toc450809260"/>
      <w:r>
        <w:t xml:space="preserve">Case study 1: </w:t>
      </w:r>
      <w:r w:rsidR="003352B6">
        <w:t>Armidale</w:t>
      </w:r>
      <w:bookmarkEnd w:id="423"/>
      <w:r w:rsidR="003352B6">
        <w:t xml:space="preserve"> </w:t>
      </w:r>
    </w:p>
    <w:p w14:paraId="214A6500" w14:textId="77777777" w:rsidR="00AF555D" w:rsidRDefault="00AF555D" w:rsidP="00AF555D">
      <w:pPr>
        <w:spacing w:before="240"/>
        <w:jc w:val="both"/>
      </w:pPr>
      <w:r w:rsidRPr="00AF555D">
        <w:t>The case study regional area of focus is the Local Government Area (</w:t>
      </w:r>
      <w:proofErr w:type="spellStart"/>
      <w:r w:rsidRPr="00AF555D">
        <w:t>LGA</w:t>
      </w:r>
      <w:proofErr w:type="spellEnd"/>
      <w:r w:rsidRPr="00AF555D">
        <w:t xml:space="preserve">) Armidale Dumaresq located in Northern New South Wales. As of the 2011 Census, the </w:t>
      </w:r>
      <w:proofErr w:type="spellStart"/>
      <w:r w:rsidRPr="00AF555D">
        <w:t>LGA</w:t>
      </w:r>
      <w:proofErr w:type="spellEnd"/>
      <w:r w:rsidRPr="00AF555D">
        <w:t xml:space="preserve"> population was 24,105 people, equivalent to approximately 0.3% of the then total state population.</w:t>
      </w:r>
    </w:p>
    <w:p w14:paraId="3E117ABB" w14:textId="77777777" w:rsidR="00AF555D" w:rsidRPr="00F23FEA" w:rsidRDefault="00AF555D" w:rsidP="00AF555D">
      <w:pPr>
        <w:spacing w:before="240"/>
        <w:jc w:val="both"/>
      </w:pPr>
      <w:r w:rsidRPr="00F23FEA">
        <w:rPr>
          <w:lang w:eastAsia="en-AU"/>
        </w:rPr>
        <w:t xml:space="preserve">Armidale Dumaresq has a </w:t>
      </w:r>
      <w:r w:rsidRPr="00F23FEA">
        <w:t>broadly similar industry profile compared to Australia as a whole (see below in</w:t>
      </w:r>
      <w:r>
        <w:t xml:space="preserve"> </w:t>
      </w:r>
      <w:r>
        <w:fldChar w:fldCharType="begin"/>
      </w:r>
      <w:r>
        <w:instrText xml:space="preserve"> REF _Ref442337560 \r \h </w:instrText>
      </w:r>
      <w:r>
        <w:fldChar w:fldCharType="separate"/>
      </w:r>
      <w:r w:rsidR="00F03FA0">
        <w:t xml:space="preserve">Table </w:t>
      </w:r>
      <w:proofErr w:type="spellStart"/>
      <w:r w:rsidR="00F03FA0">
        <w:t>E.1</w:t>
      </w:r>
      <w:proofErr w:type="spellEnd"/>
      <w:r>
        <w:fldChar w:fldCharType="end"/>
      </w:r>
      <w:r w:rsidRPr="00F23FEA">
        <w:t xml:space="preserve">), except for one key difference. The biggest single industry in the </w:t>
      </w:r>
      <w:proofErr w:type="spellStart"/>
      <w:r w:rsidRPr="00F23FEA">
        <w:t>LGA</w:t>
      </w:r>
      <w:proofErr w:type="spellEnd"/>
      <w:r w:rsidRPr="00F23FEA">
        <w:t xml:space="preserve"> is </w:t>
      </w:r>
      <w:r w:rsidRPr="00F23FEA">
        <w:rPr>
          <w:i/>
        </w:rPr>
        <w:t>Education and Training</w:t>
      </w:r>
      <w:r w:rsidRPr="00F23FEA">
        <w:t>, which employed 21% of the local population in 2011, compared to 8% for Australia as a whole. This is due to the presence of the University of New England, which is the single biggest employer in the town of Armidale.</w:t>
      </w:r>
    </w:p>
    <w:p w14:paraId="3F9E2795" w14:textId="77777777" w:rsidR="00AF555D" w:rsidRPr="00F23FEA" w:rsidRDefault="00AF555D" w:rsidP="00E74E03">
      <w:pPr>
        <w:pStyle w:val="AppendixTableCaption"/>
      </w:pPr>
      <w:bookmarkStart w:id="424" w:name="_Ref442337560"/>
      <w:bookmarkStart w:id="425" w:name="_Toc450809293"/>
      <w:r w:rsidRPr="00F23FEA">
        <w:t>: Share of employment by industry, 2011</w:t>
      </w:r>
      <w:bookmarkEnd w:id="424"/>
      <w:bookmarkEnd w:id="425"/>
    </w:p>
    <w:tbl>
      <w:tblPr>
        <w:tblW w:w="5000" w:type="pct"/>
        <w:tblBorders>
          <w:top w:val="single" w:sz="18" w:space="0" w:color="002776" w:themeColor="text2"/>
          <w:bottom w:val="single" w:sz="18" w:space="0" w:color="002776" w:themeColor="text2"/>
        </w:tblBorders>
        <w:tblLook w:val="04A0" w:firstRow="1" w:lastRow="0" w:firstColumn="1" w:lastColumn="0" w:noHBand="0" w:noVBand="1"/>
        <w:tblCaption w:val="Chart E.1: International student enrolments by broad level of course, 2014"/>
        <w:tblDescription w:val="The chart shows the proportion of international student enrolments by broad level of course in year 2014."/>
      </w:tblPr>
      <w:tblGrid>
        <w:gridCol w:w="4873"/>
        <w:gridCol w:w="2460"/>
        <w:gridCol w:w="1103"/>
      </w:tblGrid>
      <w:tr w:rsidR="00AF555D" w:rsidRPr="00F23FEA" w14:paraId="5CCF3129" w14:textId="77777777" w:rsidTr="00AF555D">
        <w:trPr>
          <w:trHeight w:val="255"/>
        </w:trPr>
        <w:tc>
          <w:tcPr>
            <w:tcW w:w="2888" w:type="pct"/>
            <w:tcBorders>
              <w:top w:val="single" w:sz="18" w:space="0" w:color="002776" w:themeColor="text2"/>
              <w:bottom w:val="single" w:sz="8" w:space="0" w:color="002776" w:themeColor="text2"/>
            </w:tcBorders>
            <w:shd w:val="clear" w:color="auto" w:fill="auto"/>
            <w:noWrap/>
            <w:vAlign w:val="bottom"/>
            <w:hideMark/>
          </w:tcPr>
          <w:p w14:paraId="31615C31" w14:textId="77777777" w:rsidR="00AF555D" w:rsidRPr="000349C1" w:rsidRDefault="00AF555D" w:rsidP="00AF555D">
            <w:pPr>
              <w:keepNext/>
              <w:keepLines/>
              <w:rPr>
                <w:rFonts w:cs="Arial"/>
                <w:b/>
                <w:bCs/>
                <w:color w:val="002776"/>
                <w:szCs w:val="22"/>
                <w:lang w:eastAsia="en-AU"/>
              </w:rPr>
            </w:pPr>
            <w:r w:rsidRPr="000349C1">
              <w:rPr>
                <w:rFonts w:cs="Arial"/>
                <w:b/>
                <w:bCs/>
                <w:color w:val="002776"/>
                <w:szCs w:val="22"/>
                <w:lang w:eastAsia="en-AU"/>
              </w:rPr>
              <w:t>Industry</w:t>
            </w:r>
          </w:p>
        </w:tc>
        <w:tc>
          <w:tcPr>
            <w:tcW w:w="1458" w:type="pct"/>
            <w:tcBorders>
              <w:top w:val="single" w:sz="18" w:space="0" w:color="002776" w:themeColor="text2"/>
              <w:bottom w:val="single" w:sz="8" w:space="0" w:color="002776" w:themeColor="text2"/>
            </w:tcBorders>
            <w:shd w:val="clear" w:color="auto" w:fill="auto"/>
            <w:noWrap/>
            <w:vAlign w:val="bottom"/>
            <w:hideMark/>
          </w:tcPr>
          <w:p w14:paraId="7F1A8E33" w14:textId="77777777" w:rsidR="00AF555D" w:rsidRPr="000349C1" w:rsidRDefault="00AF555D" w:rsidP="00AF555D">
            <w:pPr>
              <w:keepNext/>
              <w:keepLines/>
              <w:rPr>
                <w:rFonts w:cs="Arial"/>
                <w:b/>
                <w:bCs/>
                <w:color w:val="002776"/>
                <w:szCs w:val="22"/>
                <w:lang w:eastAsia="en-AU"/>
              </w:rPr>
            </w:pPr>
            <w:r w:rsidRPr="000349C1">
              <w:rPr>
                <w:rFonts w:cs="Arial"/>
                <w:b/>
                <w:bCs/>
                <w:color w:val="002776"/>
                <w:szCs w:val="22"/>
                <w:lang w:eastAsia="en-AU"/>
              </w:rPr>
              <w:t>Armidale Dumaresq</w:t>
            </w:r>
          </w:p>
        </w:tc>
        <w:tc>
          <w:tcPr>
            <w:tcW w:w="654" w:type="pct"/>
            <w:tcBorders>
              <w:top w:val="single" w:sz="18" w:space="0" w:color="002776" w:themeColor="text2"/>
              <w:bottom w:val="single" w:sz="8" w:space="0" w:color="002776" w:themeColor="text2"/>
            </w:tcBorders>
            <w:shd w:val="clear" w:color="auto" w:fill="auto"/>
            <w:noWrap/>
            <w:vAlign w:val="bottom"/>
            <w:hideMark/>
          </w:tcPr>
          <w:p w14:paraId="38CE48E4" w14:textId="77777777" w:rsidR="00AF555D" w:rsidRPr="000349C1" w:rsidRDefault="00AF555D" w:rsidP="00AF555D">
            <w:pPr>
              <w:keepNext/>
              <w:keepLines/>
              <w:rPr>
                <w:rFonts w:cs="Arial"/>
                <w:b/>
                <w:bCs/>
                <w:color w:val="002776"/>
                <w:szCs w:val="22"/>
                <w:lang w:eastAsia="en-AU"/>
              </w:rPr>
            </w:pPr>
            <w:r w:rsidRPr="000349C1">
              <w:rPr>
                <w:rFonts w:cs="Arial"/>
                <w:b/>
                <w:bCs/>
                <w:color w:val="002776"/>
                <w:szCs w:val="22"/>
                <w:lang w:eastAsia="en-AU"/>
              </w:rPr>
              <w:t>Australia</w:t>
            </w:r>
          </w:p>
        </w:tc>
      </w:tr>
      <w:tr w:rsidR="00AF555D" w:rsidRPr="00F23FEA" w14:paraId="41030D71" w14:textId="77777777" w:rsidTr="00AF555D">
        <w:trPr>
          <w:trHeight w:val="255"/>
        </w:trPr>
        <w:tc>
          <w:tcPr>
            <w:tcW w:w="2888" w:type="pct"/>
            <w:tcBorders>
              <w:top w:val="single" w:sz="8" w:space="0" w:color="002776" w:themeColor="text2"/>
            </w:tcBorders>
            <w:shd w:val="clear" w:color="auto" w:fill="auto"/>
            <w:noWrap/>
            <w:vAlign w:val="bottom"/>
            <w:hideMark/>
          </w:tcPr>
          <w:p w14:paraId="139DE609" w14:textId="77777777" w:rsidR="00AF555D" w:rsidRPr="00F23FEA" w:rsidRDefault="00AF555D" w:rsidP="00AF555D">
            <w:pPr>
              <w:keepNext/>
              <w:keepLines/>
              <w:rPr>
                <w:rFonts w:cs="Arial"/>
                <w:sz w:val="20"/>
                <w:lang w:eastAsia="en-AU"/>
              </w:rPr>
            </w:pPr>
            <w:r w:rsidRPr="00F23FEA">
              <w:rPr>
                <w:rFonts w:cs="Arial"/>
                <w:sz w:val="20"/>
                <w:lang w:eastAsia="en-AU"/>
              </w:rPr>
              <w:t>Agriculture, Forestry and Fishing</w:t>
            </w:r>
          </w:p>
        </w:tc>
        <w:tc>
          <w:tcPr>
            <w:tcW w:w="1458" w:type="pct"/>
            <w:tcBorders>
              <w:top w:val="single" w:sz="8" w:space="0" w:color="002776" w:themeColor="text2"/>
            </w:tcBorders>
            <w:shd w:val="clear" w:color="auto" w:fill="auto"/>
            <w:noWrap/>
            <w:vAlign w:val="bottom"/>
            <w:hideMark/>
          </w:tcPr>
          <w:p w14:paraId="2B8EAF94" w14:textId="77777777" w:rsidR="00AF555D" w:rsidRPr="00F23FEA" w:rsidRDefault="00AF555D" w:rsidP="00AF555D">
            <w:pPr>
              <w:keepNext/>
              <w:keepLines/>
              <w:jc w:val="center"/>
              <w:rPr>
                <w:rFonts w:cs="Arial"/>
                <w:sz w:val="20"/>
                <w:lang w:eastAsia="en-AU"/>
              </w:rPr>
            </w:pPr>
            <w:r w:rsidRPr="00F23FEA">
              <w:rPr>
                <w:rFonts w:cs="Arial"/>
                <w:sz w:val="20"/>
                <w:lang w:eastAsia="en-AU"/>
              </w:rPr>
              <w:t>6%</w:t>
            </w:r>
          </w:p>
        </w:tc>
        <w:tc>
          <w:tcPr>
            <w:tcW w:w="654" w:type="pct"/>
            <w:tcBorders>
              <w:top w:val="single" w:sz="8" w:space="0" w:color="002776" w:themeColor="text2"/>
            </w:tcBorders>
            <w:shd w:val="clear" w:color="auto" w:fill="auto"/>
            <w:noWrap/>
            <w:vAlign w:val="bottom"/>
            <w:hideMark/>
          </w:tcPr>
          <w:p w14:paraId="1BF27F1C" w14:textId="77777777" w:rsidR="00AF555D" w:rsidRPr="00F23FEA" w:rsidRDefault="00AF555D" w:rsidP="00AF555D">
            <w:pPr>
              <w:keepNext/>
              <w:keepLines/>
              <w:jc w:val="center"/>
              <w:rPr>
                <w:rFonts w:cs="Arial"/>
                <w:sz w:val="20"/>
                <w:lang w:eastAsia="en-AU"/>
              </w:rPr>
            </w:pPr>
            <w:r w:rsidRPr="00F23FEA">
              <w:rPr>
                <w:rFonts w:cs="Arial"/>
                <w:sz w:val="20"/>
                <w:lang w:eastAsia="en-AU"/>
              </w:rPr>
              <w:t>3%</w:t>
            </w:r>
          </w:p>
        </w:tc>
      </w:tr>
      <w:tr w:rsidR="00AF555D" w:rsidRPr="00F23FEA" w14:paraId="0C3EFFD7" w14:textId="77777777" w:rsidTr="00AF555D">
        <w:trPr>
          <w:trHeight w:val="255"/>
        </w:trPr>
        <w:tc>
          <w:tcPr>
            <w:tcW w:w="2888" w:type="pct"/>
            <w:shd w:val="clear" w:color="auto" w:fill="auto"/>
            <w:noWrap/>
            <w:vAlign w:val="bottom"/>
            <w:hideMark/>
          </w:tcPr>
          <w:p w14:paraId="2D2791B3" w14:textId="77777777" w:rsidR="00AF555D" w:rsidRPr="00F23FEA" w:rsidRDefault="00AF555D" w:rsidP="00AF555D">
            <w:pPr>
              <w:keepNext/>
              <w:keepLines/>
              <w:rPr>
                <w:rFonts w:cs="Arial"/>
                <w:sz w:val="20"/>
                <w:lang w:eastAsia="en-AU"/>
              </w:rPr>
            </w:pPr>
            <w:r w:rsidRPr="00F23FEA">
              <w:rPr>
                <w:rFonts w:cs="Arial"/>
                <w:sz w:val="20"/>
                <w:lang w:eastAsia="en-AU"/>
              </w:rPr>
              <w:t>Mining</w:t>
            </w:r>
          </w:p>
        </w:tc>
        <w:tc>
          <w:tcPr>
            <w:tcW w:w="1458" w:type="pct"/>
            <w:shd w:val="clear" w:color="auto" w:fill="auto"/>
            <w:noWrap/>
            <w:vAlign w:val="bottom"/>
            <w:hideMark/>
          </w:tcPr>
          <w:p w14:paraId="620D5E36" w14:textId="77777777" w:rsidR="00AF555D" w:rsidRPr="00F23FEA" w:rsidRDefault="00AF555D" w:rsidP="00AF555D">
            <w:pPr>
              <w:keepNext/>
              <w:keepLines/>
              <w:jc w:val="center"/>
              <w:rPr>
                <w:rFonts w:cs="Arial"/>
                <w:sz w:val="20"/>
                <w:lang w:eastAsia="en-AU"/>
              </w:rPr>
            </w:pPr>
            <w:r w:rsidRPr="00F23FEA">
              <w:rPr>
                <w:rFonts w:cs="Arial"/>
                <w:sz w:val="20"/>
                <w:lang w:eastAsia="en-AU"/>
              </w:rPr>
              <w:t>0%</w:t>
            </w:r>
          </w:p>
        </w:tc>
        <w:tc>
          <w:tcPr>
            <w:tcW w:w="654" w:type="pct"/>
            <w:shd w:val="clear" w:color="auto" w:fill="auto"/>
            <w:noWrap/>
            <w:vAlign w:val="bottom"/>
            <w:hideMark/>
          </w:tcPr>
          <w:p w14:paraId="35E423D2" w14:textId="77777777" w:rsidR="00AF555D" w:rsidRPr="00F23FEA" w:rsidRDefault="00AF555D" w:rsidP="00AF555D">
            <w:pPr>
              <w:keepNext/>
              <w:keepLines/>
              <w:jc w:val="center"/>
              <w:rPr>
                <w:rFonts w:cs="Arial"/>
                <w:sz w:val="20"/>
                <w:lang w:eastAsia="en-AU"/>
              </w:rPr>
            </w:pPr>
            <w:r w:rsidRPr="00F23FEA">
              <w:rPr>
                <w:rFonts w:cs="Arial"/>
                <w:sz w:val="20"/>
                <w:lang w:eastAsia="en-AU"/>
              </w:rPr>
              <w:t>2%</w:t>
            </w:r>
          </w:p>
        </w:tc>
      </w:tr>
      <w:tr w:rsidR="00AF555D" w:rsidRPr="00F23FEA" w14:paraId="132EB7E3" w14:textId="77777777" w:rsidTr="00AF555D">
        <w:trPr>
          <w:trHeight w:val="255"/>
        </w:trPr>
        <w:tc>
          <w:tcPr>
            <w:tcW w:w="2888" w:type="pct"/>
            <w:shd w:val="clear" w:color="auto" w:fill="auto"/>
            <w:noWrap/>
            <w:vAlign w:val="bottom"/>
            <w:hideMark/>
          </w:tcPr>
          <w:p w14:paraId="67E998B2" w14:textId="77777777" w:rsidR="00AF555D" w:rsidRPr="00F23FEA" w:rsidRDefault="00AF555D" w:rsidP="00AF555D">
            <w:pPr>
              <w:keepNext/>
              <w:keepLines/>
              <w:rPr>
                <w:rFonts w:cs="Arial"/>
                <w:sz w:val="20"/>
                <w:lang w:eastAsia="en-AU"/>
              </w:rPr>
            </w:pPr>
            <w:r w:rsidRPr="00F23FEA">
              <w:rPr>
                <w:rFonts w:cs="Arial"/>
                <w:sz w:val="20"/>
                <w:lang w:eastAsia="en-AU"/>
              </w:rPr>
              <w:t>Manufacturing</w:t>
            </w:r>
          </w:p>
        </w:tc>
        <w:tc>
          <w:tcPr>
            <w:tcW w:w="1458" w:type="pct"/>
            <w:shd w:val="clear" w:color="auto" w:fill="auto"/>
            <w:noWrap/>
            <w:vAlign w:val="bottom"/>
            <w:hideMark/>
          </w:tcPr>
          <w:p w14:paraId="0793CA58" w14:textId="77777777" w:rsidR="00AF555D" w:rsidRPr="00F23FEA" w:rsidRDefault="00AF555D" w:rsidP="00AF555D">
            <w:pPr>
              <w:keepNext/>
              <w:keepLines/>
              <w:jc w:val="center"/>
              <w:rPr>
                <w:rFonts w:cs="Arial"/>
                <w:sz w:val="20"/>
                <w:lang w:eastAsia="en-AU"/>
              </w:rPr>
            </w:pPr>
            <w:r w:rsidRPr="00F23FEA">
              <w:rPr>
                <w:rFonts w:cs="Arial"/>
                <w:sz w:val="20"/>
                <w:lang w:eastAsia="en-AU"/>
              </w:rPr>
              <w:t>3%</w:t>
            </w:r>
          </w:p>
        </w:tc>
        <w:tc>
          <w:tcPr>
            <w:tcW w:w="654" w:type="pct"/>
            <w:shd w:val="clear" w:color="auto" w:fill="auto"/>
            <w:noWrap/>
            <w:vAlign w:val="bottom"/>
            <w:hideMark/>
          </w:tcPr>
          <w:p w14:paraId="4BC6581A" w14:textId="77777777" w:rsidR="00AF555D" w:rsidRPr="00F23FEA" w:rsidRDefault="00AF555D" w:rsidP="00AF555D">
            <w:pPr>
              <w:keepNext/>
              <w:keepLines/>
              <w:jc w:val="center"/>
              <w:rPr>
                <w:rFonts w:cs="Arial"/>
                <w:sz w:val="20"/>
                <w:lang w:eastAsia="en-AU"/>
              </w:rPr>
            </w:pPr>
            <w:r w:rsidRPr="00F23FEA">
              <w:rPr>
                <w:rFonts w:cs="Arial"/>
                <w:sz w:val="20"/>
                <w:lang w:eastAsia="en-AU"/>
              </w:rPr>
              <w:t>9%</w:t>
            </w:r>
          </w:p>
        </w:tc>
      </w:tr>
      <w:tr w:rsidR="00AF555D" w:rsidRPr="00F23FEA" w14:paraId="2FDD223F" w14:textId="77777777" w:rsidTr="00AF555D">
        <w:trPr>
          <w:trHeight w:val="255"/>
        </w:trPr>
        <w:tc>
          <w:tcPr>
            <w:tcW w:w="2888" w:type="pct"/>
            <w:shd w:val="clear" w:color="auto" w:fill="auto"/>
            <w:noWrap/>
            <w:vAlign w:val="bottom"/>
            <w:hideMark/>
          </w:tcPr>
          <w:p w14:paraId="02513C29" w14:textId="77777777" w:rsidR="00AF555D" w:rsidRPr="00F23FEA" w:rsidRDefault="00AF555D" w:rsidP="00AF555D">
            <w:pPr>
              <w:keepNext/>
              <w:keepLines/>
              <w:rPr>
                <w:rFonts w:cs="Arial"/>
                <w:sz w:val="20"/>
                <w:lang w:eastAsia="en-AU"/>
              </w:rPr>
            </w:pPr>
            <w:r w:rsidRPr="00F23FEA">
              <w:rPr>
                <w:rFonts w:cs="Arial"/>
                <w:sz w:val="20"/>
                <w:lang w:eastAsia="en-AU"/>
              </w:rPr>
              <w:t>Electricity, Gas, Water and Waste Services</w:t>
            </w:r>
          </w:p>
        </w:tc>
        <w:tc>
          <w:tcPr>
            <w:tcW w:w="1458" w:type="pct"/>
            <w:shd w:val="clear" w:color="auto" w:fill="auto"/>
            <w:noWrap/>
            <w:vAlign w:val="bottom"/>
            <w:hideMark/>
          </w:tcPr>
          <w:p w14:paraId="017DA952" w14:textId="77777777" w:rsidR="00AF555D" w:rsidRPr="00F23FEA" w:rsidRDefault="00AF555D" w:rsidP="00AF555D">
            <w:pPr>
              <w:keepNext/>
              <w:keepLines/>
              <w:jc w:val="center"/>
              <w:rPr>
                <w:rFonts w:cs="Arial"/>
                <w:sz w:val="20"/>
                <w:lang w:eastAsia="en-AU"/>
              </w:rPr>
            </w:pPr>
            <w:r w:rsidRPr="00F23FEA">
              <w:rPr>
                <w:rFonts w:cs="Arial"/>
                <w:sz w:val="20"/>
                <w:lang w:eastAsia="en-AU"/>
              </w:rPr>
              <w:t>1%</w:t>
            </w:r>
          </w:p>
        </w:tc>
        <w:tc>
          <w:tcPr>
            <w:tcW w:w="654" w:type="pct"/>
            <w:shd w:val="clear" w:color="auto" w:fill="auto"/>
            <w:noWrap/>
            <w:vAlign w:val="bottom"/>
            <w:hideMark/>
          </w:tcPr>
          <w:p w14:paraId="4CD559A6" w14:textId="77777777" w:rsidR="00AF555D" w:rsidRPr="00F23FEA" w:rsidRDefault="00AF555D" w:rsidP="00AF555D">
            <w:pPr>
              <w:keepNext/>
              <w:keepLines/>
              <w:jc w:val="center"/>
              <w:rPr>
                <w:rFonts w:cs="Arial"/>
                <w:sz w:val="20"/>
                <w:lang w:eastAsia="en-AU"/>
              </w:rPr>
            </w:pPr>
            <w:r w:rsidRPr="00F23FEA">
              <w:rPr>
                <w:rFonts w:cs="Arial"/>
                <w:sz w:val="20"/>
                <w:lang w:eastAsia="en-AU"/>
              </w:rPr>
              <w:t>1%</w:t>
            </w:r>
          </w:p>
        </w:tc>
      </w:tr>
      <w:tr w:rsidR="00AF555D" w:rsidRPr="00F23FEA" w14:paraId="4C97CA7A" w14:textId="77777777" w:rsidTr="00AF555D">
        <w:trPr>
          <w:trHeight w:val="255"/>
        </w:trPr>
        <w:tc>
          <w:tcPr>
            <w:tcW w:w="2888" w:type="pct"/>
            <w:shd w:val="clear" w:color="auto" w:fill="auto"/>
            <w:noWrap/>
            <w:vAlign w:val="bottom"/>
            <w:hideMark/>
          </w:tcPr>
          <w:p w14:paraId="517795AA" w14:textId="77777777" w:rsidR="00AF555D" w:rsidRPr="00F23FEA" w:rsidRDefault="00AF555D" w:rsidP="00AF555D">
            <w:pPr>
              <w:keepNext/>
              <w:keepLines/>
              <w:rPr>
                <w:rFonts w:cs="Arial"/>
                <w:sz w:val="20"/>
                <w:lang w:eastAsia="en-AU"/>
              </w:rPr>
            </w:pPr>
            <w:r w:rsidRPr="00F23FEA">
              <w:rPr>
                <w:rFonts w:cs="Arial"/>
                <w:sz w:val="20"/>
                <w:lang w:eastAsia="en-AU"/>
              </w:rPr>
              <w:t>Construction</w:t>
            </w:r>
          </w:p>
        </w:tc>
        <w:tc>
          <w:tcPr>
            <w:tcW w:w="1458" w:type="pct"/>
            <w:shd w:val="clear" w:color="auto" w:fill="auto"/>
            <w:noWrap/>
            <w:vAlign w:val="bottom"/>
            <w:hideMark/>
          </w:tcPr>
          <w:p w14:paraId="73B57F3C" w14:textId="77777777" w:rsidR="00AF555D" w:rsidRPr="00F23FEA" w:rsidRDefault="00AF555D" w:rsidP="00AF555D">
            <w:pPr>
              <w:keepNext/>
              <w:keepLines/>
              <w:jc w:val="center"/>
              <w:rPr>
                <w:rFonts w:cs="Arial"/>
                <w:sz w:val="20"/>
                <w:lang w:eastAsia="en-AU"/>
              </w:rPr>
            </w:pPr>
            <w:r w:rsidRPr="00F23FEA">
              <w:rPr>
                <w:rFonts w:cs="Arial"/>
                <w:sz w:val="20"/>
                <w:lang w:eastAsia="en-AU"/>
              </w:rPr>
              <w:t>6%</w:t>
            </w:r>
          </w:p>
        </w:tc>
        <w:tc>
          <w:tcPr>
            <w:tcW w:w="654" w:type="pct"/>
            <w:shd w:val="clear" w:color="auto" w:fill="auto"/>
            <w:noWrap/>
            <w:vAlign w:val="bottom"/>
            <w:hideMark/>
          </w:tcPr>
          <w:p w14:paraId="14DF10E4" w14:textId="77777777" w:rsidR="00AF555D" w:rsidRPr="00F23FEA" w:rsidRDefault="00AF555D" w:rsidP="00AF555D">
            <w:pPr>
              <w:keepNext/>
              <w:keepLines/>
              <w:jc w:val="center"/>
              <w:rPr>
                <w:rFonts w:cs="Arial"/>
                <w:sz w:val="20"/>
                <w:lang w:eastAsia="en-AU"/>
              </w:rPr>
            </w:pPr>
            <w:r w:rsidRPr="00F23FEA">
              <w:rPr>
                <w:rFonts w:cs="Arial"/>
                <w:sz w:val="20"/>
                <w:lang w:eastAsia="en-AU"/>
              </w:rPr>
              <w:t>8%</w:t>
            </w:r>
          </w:p>
        </w:tc>
      </w:tr>
      <w:tr w:rsidR="00AF555D" w:rsidRPr="00F23FEA" w14:paraId="2C4A3111" w14:textId="77777777" w:rsidTr="00AF555D">
        <w:trPr>
          <w:trHeight w:val="255"/>
        </w:trPr>
        <w:tc>
          <w:tcPr>
            <w:tcW w:w="2888" w:type="pct"/>
            <w:shd w:val="clear" w:color="auto" w:fill="auto"/>
            <w:noWrap/>
            <w:vAlign w:val="bottom"/>
            <w:hideMark/>
          </w:tcPr>
          <w:p w14:paraId="763F8761" w14:textId="77777777" w:rsidR="00AF555D" w:rsidRPr="00F23FEA" w:rsidRDefault="00AF555D" w:rsidP="00AF555D">
            <w:pPr>
              <w:keepNext/>
              <w:keepLines/>
              <w:rPr>
                <w:rFonts w:cs="Arial"/>
                <w:sz w:val="20"/>
                <w:lang w:eastAsia="en-AU"/>
              </w:rPr>
            </w:pPr>
            <w:r w:rsidRPr="00F23FEA">
              <w:rPr>
                <w:rFonts w:cs="Arial"/>
                <w:sz w:val="20"/>
                <w:lang w:eastAsia="en-AU"/>
              </w:rPr>
              <w:t>Wholesale Trade</w:t>
            </w:r>
          </w:p>
        </w:tc>
        <w:tc>
          <w:tcPr>
            <w:tcW w:w="1458" w:type="pct"/>
            <w:shd w:val="clear" w:color="auto" w:fill="auto"/>
            <w:noWrap/>
            <w:vAlign w:val="bottom"/>
            <w:hideMark/>
          </w:tcPr>
          <w:p w14:paraId="7E398500" w14:textId="77777777" w:rsidR="00AF555D" w:rsidRPr="00F23FEA" w:rsidRDefault="00AF555D" w:rsidP="00AF555D">
            <w:pPr>
              <w:keepNext/>
              <w:keepLines/>
              <w:jc w:val="center"/>
              <w:rPr>
                <w:rFonts w:cs="Arial"/>
                <w:sz w:val="20"/>
                <w:lang w:eastAsia="en-AU"/>
              </w:rPr>
            </w:pPr>
            <w:r w:rsidRPr="00F23FEA">
              <w:rPr>
                <w:rFonts w:cs="Arial"/>
                <w:sz w:val="20"/>
                <w:lang w:eastAsia="en-AU"/>
              </w:rPr>
              <w:t>2%</w:t>
            </w:r>
          </w:p>
        </w:tc>
        <w:tc>
          <w:tcPr>
            <w:tcW w:w="654" w:type="pct"/>
            <w:shd w:val="clear" w:color="auto" w:fill="auto"/>
            <w:noWrap/>
            <w:vAlign w:val="bottom"/>
            <w:hideMark/>
          </w:tcPr>
          <w:p w14:paraId="7FB05F6F" w14:textId="77777777" w:rsidR="00AF555D" w:rsidRPr="00F23FEA" w:rsidRDefault="00AF555D" w:rsidP="00AF555D">
            <w:pPr>
              <w:keepNext/>
              <w:keepLines/>
              <w:jc w:val="center"/>
              <w:rPr>
                <w:rFonts w:cs="Arial"/>
                <w:sz w:val="20"/>
                <w:lang w:eastAsia="en-AU"/>
              </w:rPr>
            </w:pPr>
            <w:r w:rsidRPr="00F23FEA">
              <w:rPr>
                <w:rFonts w:cs="Arial"/>
                <w:sz w:val="20"/>
                <w:lang w:eastAsia="en-AU"/>
              </w:rPr>
              <w:t>4%</w:t>
            </w:r>
          </w:p>
        </w:tc>
      </w:tr>
      <w:tr w:rsidR="00AF555D" w:rsidRPr="00F23FEA" w14:paraId="3A6421F1" w14:textId="77777777" w:rsidTr="00AF555D">
        <w:trPr>
          <w:trHeight w:val="255"/>
        </w:trPr>
        <w:tc>
          <w:tcPr>
            <w:tcW w:w="2888" w:type="pct"/>
            <w:shd w:val="clear" w:color="auto" w:fill="auto"/>
            <w:noWrap/>
            <w:vAlign w:val="bottom"/>
            <w:hideMark/>
          </w:tcPr>
          <w:p w14:paraId="354929E0" w14:textId="77777777" w:rsidR="00AF555D" w:rsidRPr="00F23FEA" w:rsidRDefault="00AF555D" w:rsidP="00AF555D">
            <w:pPr>
              <w:keepNext/>
              <w:keepLines/>
              <w:rPr>
                <w:rFonts w:cs="Arial"/>
                <w:sz w:val="20"/>
                <w:lang w:eastAsia="en-AU"/>
              </w:rPr>
            </w:pPr>
            <w:r w:rsidRPr="00F23FEA">
              <w:rPr>
                <w:rFonts w:cs="Arial"/>
                <w:sz w:val="20"/>
                <w:lang w:eastAsia="en-AU"/>
              </w:rPr>
              <w:t>Retail Trade</w:t>
            </w:r>
          </w:p>
        </w:tc>
        <w:tc>
          <w:tcPr>
            <w:tcW w:w="1458" w:type="pct"/>
            <w:shd w:val="clear" w:color="auto" w:fill="auto"/>
            <w:noWrap/>
            <w:vAlign w:val="bottom"/>
            <w:hideMark/>
          </w:tcPr>
          <w:p w14:paraId="52D841E7" w14:textId="77777777" w:rsidR="00AF555D" w:rsidRPr="00F23FEA" w:rsidRDefault="00AF555D" w:rsidP="00AF555D">
            <w:pPr>
              <w:keepNext/>
              <w:keepLines/>
              <w:jc w:val="center"/>
              <w:rPr>
                <w:rFonts w:cs="Arial"/>
                <w:sz w:val="20"/>
                <w:lang w:eastAsia="en-AU"/>
              </w:rPr>
            </w:pPr>
            <w:r w:rsidRPr="00F23FEA">
              <w:rPr>
                <w:rFonts w:cs="Arial"/>
                <w:sz w:val="20"/>
                <w:lang w:eastAsia="en-AU"/>
              </w:rPr>
              <w:t>13%</w:t>
            </w:r>
          </w:p>
        </w:tc>
        <w:tc>
          <w:tcPr>
            <w:tcW w:w="654" w:type="pct"/>
            <w:shd w:val="clear" w:color="auto" w:fill="auto"/>
            <w:noWrap/>
            <w:vAlign w:val="bottom"/>
            <w:hideMark/>
          </w:tcPr>
          <w:p w14:paraId="4D65185A" w14:textId="77777777" w:rsidR="00AF555D" w:rsidRPr="00F23FEA" w:rsidRDefault="00AF555D" w:rsidP="00AF555D">
            <w:pPr>
              <w:keepNext/>
              <w:keepLines/>
              <w:jc w:val="center"/>
              <w:rPr>
                <w:rFonts w:cs="Arial"/>
                <w:sz w:val="20"/>
                <w:lang w:eastAsia="en-AU"/>
              </w:rPr>
            </w:pPr>
            <w:r w:rsidRPr="00F23FEA">
              <w:rPr>
                <w:rFonts w:cs="Arial"/>
                <w:sz w:val="20"/>
                <w:lang w:eastAsia="en-AU"/>
              </w:rPr>
              <w:t>11%</w:t>
            </w:r>
          </w:p>
        </w:tc>
      </w:tr>
      <w:tr w:rsidR="00AF555D" w:rsidRPr="00F23FEA" w14:paraId="3037301E" w14:textId="77777777" w:rsidTr="00AF555D">
        <w:trPr>
          <w:trHeight w:val="255"/>
        </w:trPr>
        <w:tc>
          <w:tcPr>
            <w:tcW w:w="2888" w:type="pct"/>
            <w:shd w:val="clear" w:color="auto" w:fill="auto"/>
            <w:noWrap/>
            <w:vAlign w:val="bottom"/>
            <w:hideMark/>
          </w:tcPr>
          <w:p w14:paraId="2E76EDF3" w14:textId="77777777" w:rsidR="00AF555D" w:rsidRPr="00F23FEA" w:rsidRDefault="00AF555D" w:rsidP="00AF555D">
            <w:pPr>
              <w:keepNext/>
              <w:keepLines/>
              <w:rPr>
                <w:rFonts w:cs="Arial"/>
                <w:sz w:val="20"/>
                <w:lang w:eastAsia="en-AU"/>
              </w:rPr>
            </w:pPr>
            <w:r w:rsidRPr="00F23FEA">
              <w:rPr>
                <w:rFonts w:cs="Arial"/>
                <w:sz w:val="20"/>
                <w:lang w:eastAsia="en-AU"/>
              </w:rPr>
              <w:t>Accommodation and Food Services</w:t>
            </w:r>
          </w:p>
        </w:tc>
        <w:tc>
          <w:tcPr>
            <w:tcW w:w="1458" w:type="pct"/>
            <w:shd w:val="clear" w:color="auto" w:fill="auto"/>
            <w:noWrap/>
            <w:vAlign w:val="bottom"/>
            <w:hideMark/>
          </w:tcPr>
          <w:p w14:paraId="23933D20" w14:textId="77777777" w:rsidR="00AF555D" w:rsidRPr="00F23FEA" w:rsidRDefault="00AF555D" w:rsidP="00AF555D">
            <w:pPr>
              <w:keepNext/>
              <w:keepLines/>
              <w:jc w:val="center"/>
              <w:rPr>
                <w:rFonts w:cs="Arial"/>
                <w:sz w:val="20"/>
                <w:lang w:eastAsia="en-AU"/>
              </w:rPr>
            </w:pPr>
            <w:r w:rsidRPr="00F23FEA">
              <w:rPr>
                <w:rFonts w:cs="Arial"/>
                <w:sz w:val="20"/>
                <w:lang w:eastAsia="en-AU"/>
              </w:rPr>
              <w:t>9%</w:t>
            </w:r>
          </w:p>
        </w:tc>
        <w:tc>
          <w:tcPr>
            <w:tcW w:w="654" w:type="pct"/>
            <w:shd w:val="clear" w:color="auto" w:fill="auto"/>
            <w:noWrap/>
            <w:vAlign w:val="bottom"/>
            <w:hideMark/>
          </w:tcPr>
          <w:p w14:paraId="629CB0CA" w14:textId="77777777" w:rsidR="00AF555D" w:rsidRPr="00F23FEA" w:rsidRDefault="00AF555D" w:rsidP="00AF555D">
            <w:pPr>
              <w:keepNext/>
              <w:keepLines/>
              <w:jc w:val="center"/>
              <w:rPr>
                <w:rFonts w:cs="Arial"/>
                <w:sz w:val="20"/>
                <w:lang w:eastAsia="en-AU"/>
              </w:rPr>
            </w:pPr>
            <w:r w:rsidRPr="00F23FEA">
              <w:rPr>
                <w:rFonts w:cs="Arial"/>
                <w:sz w:val="20"/>
                <w:lang w:eastAsia="en-AU"/>
              </w:rPr>
              <w:t>7%</w:t>
            </w:r>
          </w:p>
        </w:tc>
      </w:tr>
      <w:tr w:rsidR="00AF555D" w:rsidRPr="00F23FEA" w14:paraId="5DD8FE38" w14:textId="77777777" w:rsidTr="00AF555D">
        <w:trPr>
          <w:trHeight w:val="255"/>
        </w:trPr>
        <w:tc>
          <w:tcPr>
            <w:tcW w:w="2888" w:type="pct"/>
            <w:shd w:val="clear" w:color="auto" w:fill="auto"/>
            <w:noWrap/>
            <w:vAlign w:val="bottom"/>
            <w:hideMark/>
          </w:tcPr>
          <w:p w14:paraId="503DB69B" w14:textId="77777777" w:rsidR="00AF555D" w:rsidRPr="00F23FEA" w:rsidRDefault="00AF555D" w:rsidP="00AF555D">
            <w:pPr>
              <w:keepNext/>
              <w:keepLines/>
              <w:rPr>
                <w:rFonts w:cs="Arial"/>
                <w:sz w:val="20"/>
                <w:lang w:eastAsia="en-AU"/>
              </w:rPr>
            </w:pPr>
            <w:r w:rsidRPr="00F23FEA">
              <w:rPr>
                <w:rFonts w:cs="Arial"/>
                <w:sz w:val="20"/>
                <w:lang w:eastAsia="en-AU"/>
              </w:rPr>
              <w:t>Transport, Postal and Warehousing</w:t>
            </w:r>
          </w:p>
        </w:tc>
        <w:tc>
          <w:tcPr>
            <w:tcW w:w="1458" w:type="pct"/>
            <w:shd w:val="clear" w:color="auto" w:fill="auto"/>
            <w:noWrap/>
            <w:vAlign w:val="bottom"/>
            <w:hideMark/>
          </w:tcPr>
          <w:p w14:paraId="6A932BA0" w14:textId="77777777" w:rsidR="00AF555D" w:rsidRPr="00F23FEA" w:rsidRDefault="00AF555D" w:rsidP="00AF555D">
            <w:pPr>
              <w:keepNext/>
              <w:keepLines/>
              <w:jc w:val="center"/>
              <w:rPr>
                <w:rFonts w:cs="Arial"/>
                <w:sz w:val="20"/>
                <w:lang w:eastAsia="en-AU"/>
              </w:rPr>
            </w:pPr>
            <w:r w:rsidRPr="00F23FEA">
              <w:rPr>
                <w:rFonts w:cs="Arial"/>
                <w:sz w:val="20"/>
                <w:lang w:eastAsia="en-AU"/>
              </w:rPr>
              <w:t>2%</w:t>
            </w:r>
          </w:p>
        </w:tc>
        <w:tc>
          <w:tcPr>
            <w:tcW w:w="654" w:type="pct"/>
            <w:shd w:val="clear" w:color="auto" w:fill="auto"/>
            <w:noWrap/>
            <w:vAlign w:val="bottom"/>
            <w:hideMark/>
          </w:tcPr>
          <w:p w14:paraId="2AFD98BB" w14:textId="77777777" w:rsidR="00AF555D" w:rsidRPr="00F23FEA" w:rsidRDefault="00AF555D" w:rsidP="00AF555D">
            <w:pPr>
              <w:keepNext/>
              <w:keepLines/>
              <w:jc w:val="center"/>
              <w:rPr>
                <w:rFonts w:cs="Arial"/>
                <w:sz w:val="20"/>
                <w:lang w:eastAsia="en-AU"/>
              </w:rPr>
            </w:pPr>
            <w:r w:rsidRPr="00F23FEA">
              <w:rPr>
                <w:rFonts w:cs="Arial"/>
                <w:sz w:val="20"/>
                <w:lang w:eastAsia="en-AU"/>
              </w:rPr>
              <w:t>5%</w:t>
            </w:r>
          </w:p>
        </w:tc>
      </w:tr>
      <w:tr w:rsidR="00AF555D" w:rsidRPr="00F23FEA" w14:paraId="2EA28086" w14:textId="77777777" w:rsidTr="00AF555D">
        <w:trPr>
          <w:trHeight w:val="255"/>
        </w:trPr>
        <w:tc>
          <w:tcPr>
            <w:tcW w:w="2888" w:type="pct"/>
            <w:shd w:val="clear" w:color="auto" w:fill="auto"/>
            <w:noWrap/>
            <w:vAlign w:val="bottom"/>
            <w:hideMark/>
          </w:tcPr>
          <w:p w14:paraId="689DA4B3" w14:textId="77777777" w:rsidR="00AF555D" w:rsidRPr="00F23FEA" w:rsidRDefault="00AF555D" w:rsidP="00AF555D">
            <w:pPr>
              <w:keepNext/>
              <w:keepLines/>
              <w:rPr>
                <w:rFonts w:cs="Arial"/>
                <w:sz w:val="20"/>
                <w:lang w:eastAsia="en-AU"/>
              </w:rPr>
            </w:pPr>
            <w:r w:rsidRPr="00F23FEA">
              <w:rPr>
                <w:rFonts w:cs="Arial"/>
                <w:sz w:val="20"/>
                <w:lang w:eastAsia="en-AU"/>
              </w:rPr>
              <w:t>Information Media and Telecommunications</w:t>
            </w:r>
          </w:p>
        </w:tc>
        <w:tc>
          <w:tcPr>
            <w:tcW w:w="1458" w:type="pct"/>
            <w:shd w:val="clear" w:color="auto" w:fill="auto"/>
            <w:noWrap/>
            <w:vAlign w:val="bottom"/>
            <w:hideMark/>
          </w:tcPr>
          <w:p w14:paraId="02C4589F" w14:textId="77777777" w:rsidR="00AF555D" w:rsidRPr="00F23FEA" w:rsidRDefault="00AF555D" w:rsidP="00AF555D">
            <w:pPr>
              <w:keepNext/>
              <w:keepLines/>
              <w:jc w:val="center"/>
              <w:rPr>
                <w:rFonts w:cs="Arial"/>
                <w:sz w:val="20"/>
                <w:lang w:eastAsia="en-AU"/>
              </w:rPr>
            </w:pPr>
            <w:r w:rsidRPr="00F23FEA">
              <w:rPr>
                <w:rFonts w:cs="Arial"/>
                <w:sz w:val="20"/>
                <w:lang w:eastAsia="en-AU"/>
              </w:rPr>
              <w:t>1%</w:t>
            </w:r>
          </w:p>
        </w:tc>
        <w:tc>
          <w:tcPr>
            <w:tcW w:w="654" w:type="pct"/>
            <w:shd w:val="clear" w:color="auto" w:fill="auto"/>
            <w:noWrap/>
            <w:vAlign w:val="bottom"/>
            <w:hideMark/>
          </w:tcPr>
          <w:p w14:paraId="41888D53" w14:textId="77777777" w:rsidR="00AF555D" w:rsidRPr="00F23FEA" w:rsidRDefault="00AF555D" w:rsidP="00AF555D">
            <w:pPr>
              <w:keepNext/>
              <w:keepLines/>
              <w:jc w:val="center"/>
              <w:rPr>
                <w:rFonts w:cs="Arial"/>
                <w:sz w:val="20"/>
                <w:lang w:eastAsia="en-AU"/>
              </w:rPr>
            </w:pPr>
            <w:r w:rsidRPr="00F23FEA">
              <w:rPr>
                <w:rFonts w:cs="Arial"/>
                <w:sz w:val="20"/>
                <w:lang w:eastAsia="en-AU"/>
              </w:rPr>
              <w:t>2%</w:t>
            </w:r>
          </w:p>
        </w:tc>
      </w:tr>
      <w:tr w:rsidR="00AF555D" w:rsidRPr="00F23FEA" w14:paraId="5E3DDD23" w14:textId="77777777" w:rsidTr="00AF555D">
        <w:trPr>
          <w:trHeight w:val="255"/>
        </w:trPr>
        <w:tc>
          <w:tcPr>
            <w:tcW w:w="2888" w:type="pct"/>
            <w:shd w:val="clear" w:color="auto" w:fill="auto"/>
            <w:noWrap/>
            <w:vAlign w:val="bottom"/>
            <w:hideMark/>
          </w:tcPr>
          <w:p w14:paraId="2B295738" w14:textId="77777777" w:rsidR="00AF555D" w:rsidRPr="00F23FEA" w:rsidRDefault="00AF555D" w:rsidP="00AF555D">
            <w:pPr>
              <w:keepNext/>
              <w:keepLines/>
              <w:rPr>
                <w:rFonts w:cs="Arial"/>
                <w:sz w:val="20"/>
                <w:lang w:eastAsia="en-AU"/>
              </w:rPr>
            </w:pPr>
            <w:r w:rsidRPr="00F23FEA">
              <w:rPr>
                <w:rFonts w:cs="Arial"/>
                <w:sz w:val="20"/>
                <w:lang w:eastAsia="en-AU"/>
              </w:rPr>
              <w:t>Financial and Insurance Services</w:t>
            </w:r>
          </w:p>
        </w:tc>
        <w:tc>
          <w:tcPr>
            <w:tcW w:w="1458" w:type="pct"/>
            <w:shd w:val="clear" w:color="auto" w:fill="auto"/>
            <w:noWrap/>
            <w:vAlign w:val="bottom"/>
            <w:hideMark/>
          </w:tcPr>
          <w:p w14:paraId="6C03BE35" w14:textId="77777777" w:rsidR="00AF555D" w:rsidRPr="00F23FEA" w:rsidRDefault="00AF555D" w:rsidP="00AF555D">
            <w:pPr>
              <w:keepNext/>
              <w:keepLines/>
              <w:jc w:val="center"/>
              <w:rPr>
                <w:rFonts w:cs="Arial"/>
                <w:sz w:val="20"/>
                <w:lang w:eastAsia="en-AU"/>
              </w:rPr>
            </w:pPr>
            <w:r w:rsidRPr="00F23FEA">
              <w:rPr>
                <w:rFonts w:cs="Arial"/>
                <w:sz w:val="20"/>
                <w:lang w:eastAsia="en-AU"/>
              </w:rPr>
              <w:t>3%</w:t>
            </w:r>
          </w:p>
        </w:tc>
        <w:tc>
          <w:tcPr>
            <w:tcW w:w="654" w:type="pct"/>
            <w:shd w:val="clear" w:color="auto" w:fill="auto"/>
            <w:noWrap/>
            <w:vAlign w:val="bottom"/>
            <w:hideMark/>
          </w:tcPr>
          <w:p w14:paraId="66A4E04D" w14:textId="77777777" w:rsidR="00AF555D" w:rsidRPr="00F23FEA" w:rsidRDefault="00AF555D" w:rsidP="00AF555D">
            <w:pPr>
              <w:keepNext/>
              <w:keepLines/>
              <w:jc w:val="center"/>
              <w:rPr>
                <w:rFonts w:cs="Arial"/>
                <w:sz w:val="20"/>
                <w:lang w:eastAsia="en-AU"/>
              </w:rPr>
            </w:pPr>
            <w:r w:rsidRPr="00F23FEA">
              <w:rPr>
                <w:rFonts w:cs="Arial"/>
                <w:sz w:val="20"/>
                <w:lang w:eastAsia="en-AU"/>
              </w:rPr>
              <w:t>4%</w:t>
            </w:r>
          </w:p>
        </w:tc>
      </w:tr>
      <w:tr w:rsidR="00AF555D" w:rsidRPr="00F23FEA" w14:paraId="0CE6363C" w14:textId="77777777" w:rsidTr="00AF555D">
        <w:trPr>
          <w:trHeight w:val="255"/>
        </w:trPr>
        <w:tc>
          <w:tcPr>
            <w:tcW w:w="2888" w:type="pct"/>
            <w:shd w:val="clear" w:color="auto" w:fill="auto"/>
            <w:noWrap/>
            <w:vAlign w:val="bottom"/>
            <w:hideMark/>
          </w:tcPr>
          <w:p w14:paraId="06596887" w14:textId="77777777" w:rsidR="00AF555D" w:rsidRPr="00F23FEA" w:rsidRDefault="00AF555D" w:rsidP="00AF555D">
            <w:pPr>
              <w:keepNext/>
              <w:keepLines/>
              <w:rPr>
                <w:rFonts w:cs="Arial"/>
                <w:sz w:val="20"/>
                <w:lang w:eastAsia="en-AU"/>
              </w:rPr>
            </w:pPr>
            <w:r w:rsidRPr="00F23FEA">
              <w:rPr>
                <w:rFonts w:cs="Arial"/>
                <w:sz w:val="20"/>
                <w:lang w:eastAsia="en-AU"/>
              </w:rPr>
              <w:t>Rental, Hiring and Real Estate Services</w:t>
            </w:r>
          </w:p>
        </w:tc>
        <w:tc>
          <w:tcPr>
            <w:tcW w:w="1458" w:type="pct"/>
            <w:shd w:val="clear" w:color="auto" w:fill="auto"/>
            <w:noWrap/>
            <w:vAlign w:val="bottom"/>
            <w:hideMark/>
          </w:tcPr>
          <w:p w14:paraId="2F0BAA3B" w14:textId="77777777" w:rsidR="00AF555D" w:rsidRPr="00F23FEA" w:rsidRDefault="00AF555D" w:rsidP="00AF555D">
            <w:pPr>
              <w:keepNext/>
              <w:keepLines/>
              <w:jc w:val="center"/>
              <w:rPr>
                <w:rFonts w:cs="Arial"/>
                <w:sz w:val="20"/>
                <w:lang w:eastAsia="en-AU"/>
              </w:rPr>
            </w:pPr>
            <w:r w:rsidRPr="00F23FEA">
              <w:rPr>
                <w:rFonts w:cs="Arial"/>
                <w:sz w:val="20"/>
                <w:lang w:eastAsia="en-AU"/>
              </w:rPr>
              <w:t>1%</w:t>
            </w:r>
          </w:p>
        </w:tc>
        <w:tc>
          <w:tcPr>
            <w:tcW w:w="654" w:type="pct"/>
            <w:shd w:val="clear" w:color="auto" w:fill="auto"/>
            <w:noWrap/>
            <w:vAlign w:val="bottom"/>
            <w:hideMark/>
          </w:tcPr>
          <w:p w14:paraId="6D8E7332" w14:textId="77777777" w:rsidR="00AF555D" w:rsidRPr="00F23FEA" w:rsidRDefault="00AF555D" w:rsidP="00AF555D">
            <w:pPr>
              <w:keepNext/>
              <w:keepLines/>
              <w:jc w:val="center"/>
              <w:rPr>
                <w:rFonts w:cs="Arial"/>
                <w:sz w:val="20"/>
                <w:lang w:eastAsia="en-AU"/>
              </w:rPr>
            </w:pPr>
            <w:r w:rsidRPr="00F23FEA">
              <w:rPr>
                <w:rFonts w:cs="Arial"/>
                <w:sz w:val="20"/>
                <w:lang w:eastAsia="en-AU"/>
              </w:rPr>
              <w:t>2%</w:t>
            </w:r>
          </w:p>
        </w:tc>
      </w:tr>
      <w:tr w:rsidR="00AF555D" w:rsidRPr="00F23FEA" w14:paraId="415E221B" w14:textId="77777777" w:rsidTr="00AF555D">
        <w:trPr>
          <w:trHeight w:val="255"/>
        </w:trPr>
        <w:tc>
          <w:tcPr>
            <w:tcW w:w="2888" w:type="pct"/>
            <w:shd w:val="clear" w:color="auto" w:fill="auto"/>
            <w:noWrap/>
            <w:vAlign w:val="bottom"/>
            <w:hideMark/>
          </w:tcPr>
          <w:p w14:paraId="76BB5304" w14:textId="77777777" w:rsidR="00AF555D" w:rsidRPr="00F23FEA" w:rsidRDefault="00AF555D" w:rsidP="00AF555D">
            <w:pPr>
              <w:keepNext/>
              <w:keepLines/>
              <w:rPr>
                <w:rFonts w:cs="Arial"/>
                <w:sz w:val="20"/>
                <w:lang w:eastAsia="en-AU"/>
              </w:rPr>
            </w:pPr>
            <w:r w:rsidRPr="00F23FEA">
              <w:rPr>
                <w:rFonts w:cs="Arial"/>
                <w:sz w:val="20"/>
                <w:lang w:eastAsia="en-AU"/>
              </w:rPr>
              <w:t>Professional, Scientific and Technical Services</w:t>
            </w:r>
          </w:p>
        </w:tc>
        <w:tc>
          <w:tcPr>
            <w:tcW w:w="1458" w:type="pct"/>
            <w:shd w:val="clear" w:color="auto" w:fill="auto"/>
            <w:noWrap/>
            <w:vAlign w:val="bottom"/>
            <w:hideMark/>
          </w:tcPr>
          <w:p w14:paraId="0B6CBBA4" w14:textId="77777777" w:rsidR="00AF555D" w:rsidRPr="00F23FEA" w:rsidRDefault="00AF555D" w:rsidP="00AF555D">
            <w:pPr>
              <w:keepNext/>
              <w:keepLines/>
              <w:jc w:val="center"/>
              <w:rPr>
                <w:rFonts w:cs="Arial"/>
                <w:sz w:val="20"/>
                <w:lang w:eastAsia="en-AU"/>
              </w:rPr>
            </w:pPr>
            <w:r w:rsidRPr="00F23FEA">
              <w:rPr>
                <w:rFonts w:cs="Arial"/>
                <w:sz w:val="20"/>
                <w:lang w:eastAsia="en-AU"/>
              </w:rPr>
              <w:t>6%</w:t>
            </w:r>
          </w:p>
        </w:tc>
        <w:tc>
          <w:tcPr>
            <w:tcW w:w="654" w:type="pct"/>
            <w:shd w:val="clear" w:color="auto" w:fill="auto"/>
            <w:noWrap/>
            <w:vAlign w:val="bottom"/>
            <w:hideMark/>
          </w:tcPr>
          <w:p w14:paraId="6567275E" w14:textId="77777777" w:rsidR="00AF555D" w:rsidRPr="00F23FEA" w:rsidRDefault="00AF555D" w:rsidP="00AF555D">
            <w:pPr>
              <w:keepNext/>
              <w:keepLines/>
              <w:jc w:val="center"/>
              <w:rPr>
                <w:rFonts w:cs="Arial"/>
                <w:sz w:val="20"/>
                <w:lang w:eastAsia="en-AU"/>
              </w:rPr>
            </w:pPr>
            <w:r w:rsidRPr="00F23FEA">
              <w:rPr>
                <w:rFonts w:cs="Arial"/>
                <w:sz w:val="20"/>
                <w:lang w:eastAsia="en-AU"/>
              </w:rPr>
              <w:t>7%</w:t>
            </w:r>
          </w:p>
        </w:tc>
      </w:tr>
      <w:tr w:rsidR="00AF555D" w:rsidRPr="00F23FEA" w14:paraId="66D40E4D" w14:textId="77777777" w:rsidTr="00AF555D">
        <w:trPr>
          <w:trHeight w:val="255"/>
        </w:trPr>
        <w:tc>
          <w:tcPr>
            <w:tcW w:w="2888" w:type="pct"/>
            <w:shd w:val="clear" w:color="auto" w:fill="auto"/>
            <w:noWrap/>
            <w:vAlign w:val="bottom"/>
            <w:hideMark/>
          </w:tcPr>
          <w:p w14:paraId="534F414C" w14:textId="77777777" w:rsidR="00AF555D" w:rsidRPr="00F23FEA" w:rsidRDefault="00AF555D" w:rsidP="00AF555D">
            <w:pPr>
              <w:keepNext/>
              <w:keepLines/>
              <w:rPr>
                <w:rFonts w:cs="Arial"/>
                <w:sz w:val="20"/>
                <w:lang w:eastAsia="en-AU"/>
              </w:rPr>
            </w:pPr>
            <w:r w:rsidRPr="00F23FEA">
              <w:rPr>
                <w:rFonts w:cs="Arial"/>
                <w:sz w:val="20"/>
                <w:lang w:eastAsia="en-AU"/>
              </w:rPr>
              <w:t>Administrative and Support Services</w:t>
            </w:r>
          </w:p>
        </w:tc>
        <w:tc>
          <w:tcPr>
            <w:tcW w:w="1458" w:type="pct"/>
            <w:shd w:val="clear" w:color="auto" w:fill="auto"/>
            <w:noWrap/>
            <w:vAlign w:val="bottom"/>
            <w:hideMark/>
          </w:tcPr>
          <w:p w14:paraId="2288D222" w14:textId="77777777" w:rsidR="00AF555D" w:rsidRPr="00F23FEA" w:rsidRDefault="00AF555D" w:rsidP="00AF555D">
            <w:pPr>
              <w:keepNext/>
              <w:keepLines/>
              <w:jc w:val="center"/>
              <w:rPr>
                <w:rFonts w:cs="Arial"/>
                <w:sz w:val="20"/>
                <w:lang w:eastAsia="en-AU"/>
              </w:rPr>
            </w:pPr>
            <w:r w:rsidRPr="00F23FEA">
              <w:rPr>
                <w:rFonts w:cs="Arial"/>
                <w:sz w:val="20"/>
                <w:lang w:eastAsia="en-AU"/>
              </w:rPr>
              <w:t>2%</w:t>
            </w:r>
          </w:p>
        </w:tc>
        <w:tc>
          <w:tcPr>
            <w:tcW w:w="654" w:type="pct"/>
            <w:shd w:val="clear" w:color="auto" w:fill="auto"/>
            <w:noWrap/>
            <w:vAlign w:val="bottom"/>
            <w:hideMark/>
          </w:tcPr>
          <w:p w14:paraId="75F22DCD" w14:textId="77777777" w:rsidR="00AF555D" w:rsidRPr="00F23FEA" w:rsidRDefault="00AF555D" w:rsidP="00AF555D">
            <w:pPr>
              <w:keepNext/>
              <w:keepLines/>
              <w:jc w:val="center"/>
              <w:rPr>
                <w:rFonts w:cs="Arial"/>
                <w:sz w:val="20"/>
                <w:lang w:eastAsia="en-AU"/>
              </w:rPr>
            </w:pPr>
            <w:r w:rsidRPr="00F23FEA">
              <w:rPr>
                <w:rFonts w:cs="Arial"/>
                <w:sz w:val="20"/>
                <w:lang w:eastAsia="en-AU"/>
              </w:rPr>
              <w:t>3%</w:t>
            </w:r>
          </w:p>
        </w:tc>
      </w:tr>
      <w:tr w:rsidR="00AF555D" w:rsidRPr="00F23FEA" w14:paraId="006D7C56" w14:textId="77777777" w:rsidTr="00AF555D">
        <w:trPr>
          <w:trHeight w:val="255"/>
        </w:trPr>
        <w:tc>
          <w:tcPr>
            <w:tcW w:w="2888" w:type="pct"/>
            <w:shd w:val="clear" w:color="auto" w:fill="auto"/>
            <w:noWrap/>
            <w:vAlign w:val="bottom"/>
            <w:hideMark/>
          </w:tcPr>
          <w:p w14:paraId="70359156" w14:textId="77777777" w:rsidR="00AF555D" w:rsidRPr="00F23FEA" w:rsidRDefault="00AF555D" w:rsidP="00AF555D">
            <w:pPr>
              <w:keepNext/>
              <w:keepLines/>
              <w:rPr>
                <w:rFonts w:cs="Arial"/>
                <w:sz w:val="20"/>
                <w:lang w:eastAsia="en-AU"/>
              </w:rPr>
            </w:pPr>
            <w:r w:rsidRPr="00F23FEA">
              <w:rPr>
                <w:rFonts w:cs="Arial"/>
                <w:sz w:val="20"/>
                <w:lang w:eastAsia="en-AU"/>
              </w:rPr>
              <w:t>Public Administration and Safety</w:t>
            </w:r>
          </w:p>
        </w:tc>
        <w:tc>
          <w:tcPr>
            <w:tcW w:w="1458" w:type="pct"/>
            <w:shd w:val="clear" w:color="auto" w:fill="auto"/>
            <w:noWrap/>
            <w:vAlign w:val="bottom"/>
            <w:hideMark/>
          </w:tcPr>
          <w:p w14:paraId="521589A0" w14:textId="77777777" w:rsidR="00AF555D" w:rsidRPr="00F23FEA" w:rsidRDefault="00AF555D" w:rsidP="00AF555D">
            <w:pPr>
              <w:keepNext/>
              <w:keepLines/>
              <w:jc w:val="center"/>
              <w:rPr>
                <w:rFonts w:cs="Arial"/>
                <w:sz w:val="20"/>
                <w:lang w:eastAsia="en-AU"/>
              </w:rPr>
            </w:pPr>
            <w:r w:rsidRPr="00F23FEA">
              <w:rPr>
                <w:rFonts w:cs="Arial"/>
                <w:sz w:val="20"/>
                <w:lang w:eastAsia="en-AU"/>
              </w:rPr>
              <w:t>5%</w:t>
            </w:r>
          </w:p>
        </w:tc>
        <w:tc>
          <w:tcPr>
            <w:tcW w:w="654" w:type="pct"/>
            <w:shd w:val="clear" w:color="auto" w:fill="auto"/>
            <w:noWrap/>
            <w:vAlign w:val="bottom"/>
            <w:hideMark/>
          </w:tcPr>
          <w:p w14:paraId="1F4DA2DB" w14:textId="77777777" w:rsidR="00AF555D" w:rsidRPr="00F23FEA" w:rsidRDefault="00AF555D" w:rsidP="00AF555D">
            <w:pPr>
              <w:keepNext/>
              <w:keepLines/>
              <w:jc w:val="center"/>
              <w:rPr>
                <w:rFonts w:cs="Arial"/>
                <w:sz w:val="20"/>
                <w:lang w:eastAsia="en-AU"/>
              </w:rPr>
            </w:pPr>
            <w:r w:rsidRPr="00F23FEA">
              <w:rPr>
                <w:rFonts w:cs="Arial"/>
                <w:sz w:val="20"/>
                <w:lang w:eastAsia="en-AU"/>
              </w:rPr>
              <w:t>7%</w:t>
            </w:r>
          </w:p>
        </w:tc>
      </w:tr>
      <w:tr w:rsidR="00AF555D" w:rsidRPr="00F23FEA" w14:paraId="59DD9A81" w14:textId="77777777" w:rsidTr="00AF555D">
        <w:trPr>
          <w:trHeight w:val="255"/>
        </w:trPr>
        <w:tc>
          <w:tcPr>
            <w:tcW w:w="2888" w:type="pct"/>
            <w:shd w:val="clear" w:color="auto" w:fill="auto"/>
            <w:noWrap/>
            <w:vAlign w:val="bottom"/>
            <w:hideMark/>
          </w:tcPr>
          <w:p w14:paraId="03479B61" w14:textId="77777777" w:rsidR="00AF555D" w:rsidRPr="00F23FEA" w:rsidRDefault="00AF555D" w:rsidP="00AF555D">
            <w:pPr>
              <w:keepNext/>
              <w:keepLines/>
              <w:rPr>
                <w:rFonts w:cs="Arial"/>
                <w:sz w:val="20"/>
                <w:lang w:eastAsia="en-AU"/>
              </w:rPr>
            </w:pPr>
            <w:r w:rsidRPr="00F23FEA">
              <w:rPr>
                <w:rFonts w:cs="Arial"/>
                <w:sz w:val="20"/>
                <w:lang w:eastAsia="en-AU"/>
              </w:rPr>
              <w:t>Education and Training</w:t>
            </w:r>
          </w:p>
        </w:tc>
        <w:tc>
          <w:tcPr>
            <w:tcW w:w="1458" w:type="pct"/>
            <w:shd w:val="clear" w:color="auto" w:fill="auto"/>
            <w:noWrap/>
            <w:vAlign w:val="bottom"/>
            <w:hideMark/>
          </w:tcPr>
          <w:p w14:paraId="6D208B30" w14:textId="77777777" w:rsidR="00AF555D" w:rsidRPr="00F23FEA" w:rsidRDefault="00AF555D" w:rsidP="00AF555D">
            <w:pPr>
              <w:keepNext/>
              <w:keepLines/>
              <w:jc w:val="center"/>
              <w:rPr>
                <w:rFonts w:cs="Arial"/>
                <w:sz w:val="20"/>
                <w:lang w:eastAsia="en-AU"/>
              </w:rPr>
            </w:pPr>
            <w:r w:rsidRPr="00F23FEA">
              <w:rPr>
                <w:rFonts w:cs="Arial"/>
                <w:sz w:val="20"/>
                <w:lang w:eastAsia="en-AU"/>
              </w:rPr>
              <w:t>21%</w:t>
            </w:r>
          </w:p>
        </w:tc>
        <w:tc>
          <w:tcPr>
            <w:tcW w:w="654" w:type="pct"/>
            <w:shd w:val="clear" w:color="auto" w:fill="auto"/>
            <w:noWrap/>
            <w:vAlign w:val="bottom"/>
            <w:hideMark/>
          </w:tcPr>
          <w:p w14:paraId="1488A98F" w14:textId="77777777" w:rsidR="00AF555D" w:rsidRPr="00F23FEA" w:rsidRDefault="00AF555D" w:rsidP="00AF555D">
            <w:pPr>
              <w:keepNext/>
              <w:keepLines/>
              <w:jc w:val="center"/>
              <w:rPr>
                <w:rFonts w:cs="Arial"/>
                <w:sz w:val="20"/>
                <w:lang w:eastAsia="en-AU"/>
              </w:rPr>
            </w:pPr>
            <w:r w:rsidRPr="00F23FEA">
              <w:rPr>
                <w:rFonts w:cs="Arial"/>
                <w:sz w:val="20"/>
                <w:lang w:eastAsia="en-AU"/>
              </w:rPr>
              <w:t>8%</w:t>
            </w:r>
          </w:p>
        </w:tc>
      </w:tr>
      <w:tr w:rsidR="00AF555D" w:rsidRPr="00F23FEA" w14:paraId="4BC65F94" w14:textId="77777777" w:rsidTr="00AF555D">
        <w:trPr>
          <w:trHeight w:val="255"/>
        </w:trPr>
        <w:tc>
          <w:tcPr>
            <w:tcW w:w="2888" w:type="pct"/>
            <w:shd w:val="clear" w:color="auto" w:fill="auto"/>
            <w:noWrap/>
            <w:vAlign w:val="bottom"/>
            <w:hideMark/>
          </w:tcPr>
          <w:p w14:paraId="257D329D" w14:textId="77777777" w:rsidR="00AF555D" w:rsidRPr="00F23FEA" w:rsidRDefault="00AF555D" w:rsidP="00AF555D">
            <w:pPr>
              <w:keepNext/>
              <w:keepLines/>
              <w:rPr>
                <w:rFonts w:cs="Arial"/>
                <w:sz w:val="20"/>
                <w:lang w:eastAsia="en-AU"/>
              </w:rPr>
            </w:pPr>
            <w:r w:rsidRPr="00F23FEA">
              <w:rPr>
                <w:rFonts w:cs="Arial"/>
                <w:sz w:val="20"/>
                <w:lang w:eastAsia="en-AU"/>
              </w:rPr>
              <w:t>Health Care and Social Assistance</w:t>
            </w:r>
          </w:p>
        </w:tc>
        <w:tc>
          <w:tcPr>
            <w:tcW w:w="1458" w:type="pct"/>
            <w:shd w:val="clear" w:color="auto" w:fill="auto"/>
            <w:noWrap/>
            <w:vAlign w:val="bottom"/>
            <w:hideMark/>
          </w:tcPr>
          <w:p w14:paraId="4F0B6C27" w14:textId="77777777" w:rsidR="00AF555D" w:rsidRPr="00F23FEA" w:rsidRDefault="00AF555D" w:rsidP="00AF555D">
            <w:pPr>
              <w:keepNext/>
              <w:keepLines/>
              <w:jc w:val="center"/>
              <w:rPr>
                <w:rFonts w:cs="Arial"/>
                <w:sz w:val="20"/>
                <w:lang w:eastAsia="en-AU"/>
              </w:rPr>
            </w:pPr>
            <w:r w:rsidRPr="00F23FEA">
              <w:rPr>
                <w:rFonts w:cs="Arial"/>
                <w:sz w:val="20"/>
                <w:lang w:eastAsia="en-AU"/>
              </w:rPr>
              <w:t>13%</w:t>
            </w:r>
          </w:p>
        </w:tc>
        <w:tc>
          <w:tcPr>
            <w:tcW w:w="654" w:type="pct"/>
            <w:shd w:val="clear" w:color="auto" w:fill="auto"/>
            <w:noWrap/>
            <w:vAlign w:val="bottom"/>
            <w:hideMark/>
          </w:tcPr>
          <w:p w14:paraId="0440FA13" w14:textId="77777777" w:rsidR="00AF555D" w:rsidRPr="00F23FEA" w:rsidRDefault="00AF555D" w:rsidP="00AF555D">
            <w:pPr>
              <w:keepNext/>
              <w:keepLines/>
              <w:jc w:val="center"/>
              <w:rPr>
                <w:rFonts w:cs="Arial"/>
                <w:sz w:val="20"/>
                <w:lang w:eastAsia="en-AU"/>
              </w:rPr>
            </w:pPr>
            <w:r w:rsidRPr="00F23FEA">
              <w:rPr>
                <w:rFonts w:cs="Arial"/>
                <w:sz w:val="20"/>
                <w:lang w:eastAsia="en-AU"/>
              </w:rPr>
              <w:t>12%</w:t>
            </w:r>
          </w:p>
        </w:tc>
      </w:tr>
      <w:tr w:rsidR="00AF555D" w:rsidRPr="00F23FEA" w14:paraId="4BEDD8CB" w14:textId="77777777" w:rsidTr="00AF555D">
        <w:trPr>
          <w:trHeight w:val="255"/>
        </w:trPr>
        <w:tc>
          <w:tcPr>
            <w:tcW w:w="2888" w:type="pct"/>
            <w:shd w:val="clear" w:color="auto" w:fill="auto"/>
            <w:noWrap/>
            <w:vAlign w:val="bottom"/>
            <w:hideMark/>
          </w:tcPr>
          <w:p w14:paraId="144D7ED8" w14:textId="77777777" w:rsidR="00AF555D" w:rsidRPr="00F23FEA" w:rsidRDefault="00AF555D" w:rsidP="00AF555D">
            <w:pPr>
              <w:keepNext/>
              <w:keepLines/>
              <w:rPr>
                <w:rFonts w:cs="Arial"/>
                <w:sz w:val="20"/>
                <w:lang w:eastAsia="en-AU"/>
              </w:rPr>
            </w:pPr>
            <w:r w:rsidRPr="00F23FEA">
              <w:rPr>
                <w:rFonts w:cs="Arial"/>
                <w:sz w:val="20"/>
                <w:lang w:eastAsia="en-AU"/>
              </w:rPr>
              <w:t>Arts and Recreation Services</w:t>
            </w:r>
          </w:p>
        </w:tc>
        <w:tc>
          <w:tcPr>
            <w:tcW w:w="1458" w:type="pct"/>
            <w:shd w:val="clear" w:color="auto" w:fill="auto"/>
            <w:noWrap/>
            <w:vAlign w:val="bottom"/>
            <w:hideMark/>
          </w:tcPr>
          <w:p w14:paraId="7C07E248" w14:textId="77777777" w:rsidR="00AF555D" w:rsidRPr="00F23FEA" w:rsidRDefault="00AF555D" w:rsidP="00AF555D">
            <w:pPr>
              <w:keepNext/>
              <w:keepLines/>
              <w:jc w:val="center"/>
              <w:rPr>
                <w:rFonts w:cs="Arial"/>
                <w:sz w:val="20"/>
                <w:lang w:eastAsia="en-AU"/>
              </w:rPr>
            </w:pPr>
            <w:r w:rsidRPr="00F23FEA">
              <w:rPr>
                <w:rFonts w:cs="Arial"/>
                <w:sz w:val="20"/>
                <w:lang w:eastAsia="en-AU"/>
              </w:rPr>
              <w:t>1%</w:t>
            </w:r>
          </w:p>
        </w:tc>
        <w:tc>
          <w:tcPr>
            <w:tcW w:w="654" w:type="pct"/>
            <w:shd w:val="clear" w:color="auto" w:fill="auto"/>
            <w:noWrap/>
            <w:vAlign w:val="bottom"/>
            <w:hideMark/>
          </w:tcPr>
          <w:p w14:paraId="5580DEBD" w14:textId="77777777" w:rsidR="00AF555D" w:rsidRPr="00F23FEA" w:rsidRDefault="00AF555D" w:rsidP="00AF555D">
            <w:pPr>
              <w:keepNext/>
              <w:keepLines/>
              <w:jc w:val="center"/>
              <w:rPr>
                <w:rFonts w:cs="Arial"/>
                <w:sz w:val="20"/>
                <w:lang w:eastAsia="en-AU"/>
              </w:rPr>
            </w:pPr>
            <w:r w:rsidRPr="00F23FEA">
              <w:rPr>
                <w:rFonts w:cs="Arial"/>
                <w:sz w:val="20"/>
                <w:lang w:eastAsia="en-AU"/>
              </w:rPr>
              <w:t>2%</w:t>
            </w:r>
          </w:p>
        </w:tc>
      </w:tr>
      <w:tr w:rsidR="00AF555D" w:rsidRPr="00F23FEA" w14:paraId="09F83411" w14:textId="77777777" w:rsidTr="00AF555D">
        <w:trPr>
          <w:trHeight w:val="255"/>
        </w:trPr>
        <w:tc>
          <w:tcPr>
            <w:tcW w:w="2888" w:type="pct"/>
            <w:shd w:val="clear" w:color="auto" w:fill="auto"/>
            <w:noWrap/>
            <w:vAlign w:val="bottom"/>
            <w:hideMark/>
          </w:tcPr>
          <w:p w14:paraId="7EA2BF4E" w14:textId="77777777" w:rsidR="00AF555D" w:rsidRPr="00F23FEA" w:rsidRDefault="00AF555D" w:rsidP="00AF555D">
            <w:pPr>
              <w:keepNext/>
              <w:keepLines/>
              <w:rPr>
                <w:rFonts w:cs="Arial"/>
                <w:sz w:val="20"/>
                <w:lang w:eastAsia="en-AU"/>
              </w:rPr>
            </w:pPr>
            <w:r w:rsidRPr="00F23FEA">
              <w:rPr>
                <w:rFonts w:cs="Arial"/>
                <w:sz w:val="20"/>
                <w:lang w:eastAsia="en-AU"/>
              </w:rPr>
              <w:t>Other Services</w:t>
            </w:r>
          </w:p>
        </w:tc>
        <w:tc>
          <w:tcPr>
            <w:tcW w:w="1458" w:type="pct"/>
            <w:shd w:val="clear" w:color="auto" w:fill="auto"/>
            <w:noWrap/>
            <w:vAlign w:val="bottom"/>
            <w:hideMark/>
          </w:tcPr>
          <w:p w14:paraId="44921231" w14:textId="77777777" w:rsidR="00AF555D" w:rsidRPr="00F23FEA" w:rsidRDefault="00AF555D" w:rsidP="00AF555D">
            <w:pPr>
              <w:keepNext/>
              <w:keepLines/>
              <w:jc w:val="center"/>
              <w:rPr>
                <w:rFonts w:cs="Arial"/>
                <w:sz w:val="20"/>
                <w:lang w:eastAsia="en-AU"/>
              </w:rPr>
            </w:pPr>
            <w:r w:rsidRPr="00F23FEA">
              <w:rPr>
                <w:rFonts w:cs="Arial"/>
                <w:sz w:val="20"/>
                <w:lang w:eastAsia="en-AU"/>
              </w:rPr>
              <w:t>4%</w:t>
            </w:r>
          </w:p>
        </w:tc>
        <w:tc>
          <w:tcPr>
            <w:tcW w:w="654" w:type="pct"/>
            <w:shd w:val="clear" w:color="auto" w:fill="auto"/>
            <w:noWrap/>
            <w:vAlign w:val="bottom"/>
            <w:hideMark/>
          </w:tcPr>
          <w:p w14:paraId="32D0A935" w14:textId="77777777" w:rsidR="00AF555D" w:rsidRPr="00F23FEA" w:rsidRDefault="00AF555D" w:rsidP="00AF555D">
            <w:pPr>
              <w:keepNext/>
              <w:keepLines/>
              <w:jc w:val="center"/>
              <w:rPr>
                <w:rFonts w:cs="Arial"/>
                <w:sz w:val="20"/>
                <w:lang w:eastAsia="en-AU"/>
              </w:rPr>
            </w:pPr>
            <w:r w:rsidRPr="00F23FEA">
              <w:rPr>
                <w:rFonts w:cs="Arial"/>
                <w:sz w:val="20"/>
                <w:lang w:eastAsia="en-AU"/>
              </w:rPr>
              <w:t>4%</w:t>
            </w:r>
          </w:p>
        </w:tc>
      </w:tr>
    </w:tbl>
    <w:p w14:paraId="11F2338A" w14:textId="77777777" w:rsidR="00AF555D" w:rsidRPr="00F23FEA" w:rsidRDefault="00AF555D" w:rsidP="00AF555D">
      <w:pPr>
        <w:keepNext/>
        <w:keepLines/>
        <w:spacing w:after="120"/>
        <w:contextualSpacing/>
        <w:rPr>
          <w:rFonts w:cs="Arial"/>
          <w:sz w:val="18"/>
        </w:rPr>
      </w:pPr>
      <w:r w:rsidRPr="00F23FEA">
        <w:rPr>
          <w:rFonts w:cs="Arial"/>
          <w:sz w:val="18"/>
        </w:rPr>
        <w:t>Source: 2011 Census of Population and Housing</w:t>
      </w:r>
    </w:p>
    <w:p w14:paraId="13AFF3ED" w14:textId="77777777" w:rsidR="00AF555D" w:rsidRPr="00F23FEA" w:rsidRDefault="00AF555D" w:rsidP="00163EA3">
      <w:pPr>
        <w:pStyle w:val="HeadingC"/>
        <w:outlineLvl w:val="0"/>
        <w:rPr>
          <w:lang w:eastAsia="en-AU"/>
        </w:rPr>
      </w:pPr>
      <w:r w:rsidRPr="00F23FEA">
        <w:rPr>
          <w:lang w:eastAsia="en-AU"/>
        </w:rPr>
        <w:t>University of New England profile</w:t>
      </w:r>
    </w:p>
    <w:p w14:paraId="602D86D0" w14:textId="77777777" w:rsidR="00AF555D" w:rsidRPr="00F23FEA" w:rsidRDefault="00AF555D" w:rsidP="00AF555D">
      <w:pPr>
        <w:spacing w:before="240"/>
        <w:jc w:val="both"/>
        <w:rPr>
          <w:lang w:eastAsia="en-AU"/>
        </w:rPr>
      </w:pPr>
      <w:r w:rsidRPr="00F23FEA">
        <w:rPr>
          <w:lang w:eastAsia="en-AU"/>
        </w:rPr>
        <w:t xml:space="preserve">The University </w:t>
      </w:r>
      <w:proofErr w:type="gramStart"/>
      <w:r w:rsidRPr="00F23FEA">
        <w:rPr>
          <w:lang w:eastAsia="en-AU"/>
        </w:rPr>
        <w:t>of</w:t>
      </w:r>
      <w:proofErr w:type="gramEnd"/>
      <w:r w:rsidRPr="00F23FEA">
        <w:rPr>
          <w:lang w:eastAsia="en-AU"/>
        </w:rPr>
        <w:t xml:space="preserve"> New England (</w:t>
      </w:r>
      <w:proofErr w:type="spellStart"/>
      <w:r w:rsidRPr="00F23FEA">
        <w:rPr>
          <w:lang w:eastAsia="en-AU"/>
        </w:rPr>
        <w:t>UNE</w:t>
      </w:r>
      <w:proofErr w:type="spellEnd"/>
      <w:r w:rsidRPr="00F23FEA">
        <w:rPr>
          <w:lang w:eastAsia="en-AU"/>
        </w:rPr>
        <w:t xml:space="preserve">), founded in 1938, is the oldest Australian University located outside of a state capital city. In 2014, 979 international students were enrolled in the University of New England, making up nearly 5% of the total 21,419 in student </w:t>
      </w:r>
      <w:r w:rsidRPr="00E4503E">
        <w:rPr>
          <w:lang w:eastAsia="en-AU"/>
        </w:rPr>
        <w:t xml:space="preserve">enrolments </w:t>
      </w:r>
      <w:r w:rsidRPr="00EA1B94">
        <w:rPr>
          <w:lang w:eastAsia="en-AU"/>
        </w:rPr>
        <w:t>(</w:t>
      </w:r>
      <w:proofErr w:type="spellStart"/>
      <w:r w:rsidRPr="00EA1B94">
        <w:rPr>
          <w:lang w:eastAsia="en-AU"/>
        </w:rPr>
        <w:t>DET</w:t>
      </w:r>
      <w:proofErr w:type="spellEnd"/>
      <w:r w:rsidRPr="00EA1B94">
        <w:rPr>
          <w:lang w:eastAsia="en-AU"/>
        </w:rPr>
        <w:t xml:space="preserve">, </w:t>
      </w:r>
      <w:proofErr w:type="spellStart"/>
      <w:r w:rsidRPr="00EA1B94">
        <w:rPr>
          <w:lang w:eastAsia="en-AU"/>
        </w:rPr>
        <w:t>2015d</w:t>
      </w:r>
      <w:proofErr w:type="spellEnd"/>
      <w:r w:rsidRPr="00EA1B94">
        <w:rPr>
          <w:lang w:eastAsia="en-AU"/>
        </w:rPr>
        <w:t>)</w:t>
      </w:r>
      <w:r w:rsidRPr="00E4503E">
        <w:rPr>
          <w:lang w:eastAsia="en-AU"/>
        </w:rPr>
        <w:t>.</w:t>
      </w:r>
      <w:r w:rsidRPr="00F23FEA">
        <w:rPr>
          <w:lang w:eastAsia="en-AU"/>
        </w:rPr>
        <w:t xml:space="preserve"> </w:t>
      </w:r>
    </w:p>
    <w:p w14:paraId="4D99D0D9" w14:textId="77777777" w:rsidR="00AF555D" w:rsidRPr="00F23FEA" w:rsidRDefault="00AF555D" w:rsidP="00AF555D">
      <w:pPr>
        <w:spacing w:before="240"/>
        <w:jc w:val="both"/>
        <w:rPr>
          <w:lang w:eastAsia="en-AU"/>
        </w:rPr>
      </w:pPr>
      <w:r w:rsidRPr="00F23FEA">
        <w:rPr>
          <w:lang w:eastAsia="en-AU"/>
        </w:rPr>
        <w:t xml:space="preserve">While a 5% international student share appears low compared to the national average of 18% </w:t>
      </w:r>
      <w:r w:rsidRPr="00EA1B94">
        <w:rPr>
          <w:lang w:eastAsia="en-AU"/>
        </w:rPr>
        <w:t xml:space="preserve">(Productivity Commission, </w:t>
      </w:r>
      <w:proofErr w:type="spellStart"/>
      <w:r w:rsidRPr="00EA1B94">
        <w:rPr>
          <w:lang w:eastAsia="en-AU"/>
        </w:rPr>
        <w:t>2015</w:t>
      </w:r>
      <w:r>
        <w:rPr>
          <w:lang w:eastAsia="en-AU"/>
        </w:rPr>
        <w:t>a</w:t>
      </w:r>
      <w:proofErr w:type="spellEnd"/>
      <w:r w:rsidRPr="00EA1B94">
        <w:rPr>
          <w:lang w:eastAsia="en-AU"/>
        </w:rPr>
        <w:t>),</w:t>
      </w:r>
      <w:r w:rsidRPr="00E4503E">
        <w:rPr>
          <w:lang w:eastAsia="en-AU"/>
        </w:rPr>
        <w:t xml:space="preserve"> their o</w:t>
      </w:r>
      <w:r w:rsidRPr="00F23FEA">
        <w:rPr>
          <w:lang w:eastAsia="en-AU"/>
        </w:rPr>
        <w:t xml:space="preserve">n-campus representation is greater. Indeed, </w:t>
      </w:r>
      <w:r w:rsidRPr="00F23FEA">
        <w:rPr>
          <w:lang w:eastAsia="en-AU"/>
        </w:rPr>
        <w:lastRenderedPageBreak/>
        <w:t xml:space="preserve">given that the University has a sizeable distance education domestic cohort, when students under the ‘external mode of attendance’ are excluded, international students make up 19% of </w:t>
      </w:r>
      <w:r>
        <w:rPr>
          <w:lang w:eastAsia="en-AU"/>
        </w:rPr>
        <w:t xml:space="preserve">the </w:t>
      </w:r>
      <w:r w:rsidRPr="00F23FEA">
        <w:rPr>
          <w:lang w:eastAsia="en-AU"/>
        </w:rPr>
        <w:t xml:space="preserve">total </w:t>
      </w:r>
      <w:r w:rsidRPr="00F23FEA">
        <w:t xml:space="preserve">‘internal’ and ‘multi-modal’ </w:t>
      </w:r>
      <w:r w:rsidRPr="00F23FEA">
        <w:rPr>
          <w:lang w:eastAsia="en-AU"/>
        </w:rPr>
        <w:t xml:space="preserve">enrolment </w:t>
      </w:r>
      <w:r w:rsidRPr="00E4503E">
        <w:rPr>
          <w:lang w:eastAsia="en-AU"/>
        </w:rPr>
        <w:t xml:space="preserve">population </w:t>
      </w:r>
      <w:r w:rsidRPr="00EA1B94">
        <w:rPr>
          <w:lang w:eastAsia="en-AU"/>
        </w:rPr>
        <w:t>(</w:t>
      </w:r>
      <w:proofErr w:type="spellStart"/>
      <w:r w:rsidRPr="00EA1B94">
        <w:rPr>
          <w:lang w:eastAsia="en-AU"/>
        </w:rPr>
        <w:t>DET</w:t>
      </w:r>
      <w:proofErr w:type="spellEnd"/>
      <w:r w:rsidRPr="00EA1B94">
        <w:rPr>
          <w:lang w:eastAsia="en-AU"/>
        </w:rPr>
        <w:t xml:space="preserve"> </w:t>
      </w:r>
      <w:proofErr w:type="spellStart"/>
      <w:r w:rsidRPr="00EA1B94">
        <w:rPr>
          <w:lang w:eastAsia="en-AU"/>
        </w:rPr>
        <w:t>2015d</w:t>
      </w:r>
      <w:proofErr w:type="spellEnd"/>
      <w:r w:rsidRPr="00EA1B94">
        <w:rPr>
          <w:lang w:eastAsia="en-AU"/>
        </w:rPr>
        <w:t>)</w:t>
      </w:r>
      <w:r w:rsidRPr="00E4503E">
        <w:rPr>
          <w:lang w:eastAsia="en-AU"/>
        </w:rPr>
        <w:t>. When</w:t>
      </w:r>
      <w:r w:rsidRPr="00F23FEA">
        <w:rPr>
          <w:lang w:eastAsia="en-AU"/>
        </w:rPr>
        <w:t xml:space="preserve"> ‘multi-modal’ students are also excluded, international students make up 23% of ‘internal mode of attendance’ students at the University. </w:t>
      </w:r>
    </w:p>
    <w:p w14:paraId="20EDF544" w14:textId="77777777" w:rsidR="00AF555D" w:rsidRPr="00F23FEA" w:rsidRDefault="00AF555D" w:rsidP="00AF555D">
      <w:pPr>
        <w:spacing w:before="240"/>
        <w:jc w:val="both"/>
        <w:rPr>
          <w:lang w:eastAsia="en-AU"/>
        </w:rPr>
      </w:pPr>
      <w:r w:rsidRPr="00F23FEA">
        <w:rPr>
          <w:lang w:eastAsia="en-AU"/>
        </w:rPr>
        <w:t xml:space="preserve">Further, international students also represent a significant portion of the total local population, making up approximately 4% of the </w:t>
      </w:r>
      <w:proofErr w:type="spellStart"/>
      <w:r w:rsidRPr="00F23FEA">
        <w:rPr>
          <w:lang w:eastAsia="en-AU"/>
        </w:rPr>
        <w:t>LGA</w:t>
      </w:r>
      <w:proofErr w:type="spellEnd"/>
      <w:r w:rsidRPr="00F23FEA">
        <w:rPr>
          <w:lang w:eastAsia="en-AU"/>
        </w:rPr>
        <w:t xml:space="preserve"> population. This is higher than the State average, where international student enrolments make up 3% of the total New South Wales population.</w:t>
      </w:r>
    </w:p>
    <w:p w14:paraId="63E702C6" w14:textId="77777777" w:rsidR="00AF555D" w:rsidRPr="00F23FEA" w:rsidRDefault="00AF555D" w:rsidP="00163EA3">
      <w:pPr>
        <w:keepLines/>
        <w:pBdr>
          <w:top w:val="single" w:sz="8" w:space="5" w:color="002776"/>
          <w:left w:val="single" w:sz="8" w:space="5" w:color="002776"/>
          <w:bottom w:val="single" w:sz="8" w:space="5" w:color="002776"/>
          <w:right w:val="single" w:sz="8" w:space="5" w:color="002776"/>
        </w:pBdr>
        <w:shd w:val="solid" w:color="E1E1E1" w:fill="C0C0C0"/>
        <w:spacing w:before="240" w:after="240"/>
        <w:ind w:left="567" w:right="567"/>
        <w:jc w:val="both"/>
        <w:outlineLvl w:val="0"/>
        <w:rPr>
          <w:rFonts w:cs="Arial"/>
          <w:b/>
          <w:color w:val="002776"/>
          <w:sz w:val="18"/>
          <w:szCs w:val="22"/>
          <w:lang w:eastAsia="en-AU"/>
        </w:rPr>
      </w:pPr>
      <w:r w:rsidRPr="00F23FEA">
        <w:rPr>
          <w:rFonts w:cs="Arial"/>
          <w:b/>
          <w:color w:val="002776"/>
          <w:szCs w:val="22"/>
          <w:lang w:eastAsia="en-AU"/>
        </w:rPr>
        <w:t>Regional benefits of international education: local community involvement</w:t>
      </w:r>
    </w:p>
    <w:p w14:paraId="3062544D" w14:textId="77777777" w:rsidR="00AF555D" w:rsidRPr="00F23FEA" w:rsidRDefault="00AF555D" w:rsidP="00AF555D">
      <w:pPr>
        <w:keepLines/>
        <w:pBdr>
          <w:top w:val="single" w:sz="8" w:space="5" w:color="002776"/>
          <w:left w:val="single" w:sz="8" w:space="5" w:color="002776"/>
          <w:bottom w:val="single" w:sz="8" w:space="5" w:color="002776"/>
          <w:right w:val="single" w:sz="8" w:space="5" w:color="002776"/>
        </w:pBdr>
        <w:shd w:val="solid" w:color="E1E1E1" w:fill="C0C0C0"/>
        <w:spacing w:before="240" w:after="240"/>
        <w:ind w:left="567" w:right="567"/>
        <w:jc w:val="both"/>
        <w:rPr>
          <w:rFonts w:cs="Arial"/>
          <w:color w:val="000000"/>
          <w:sz w:val="18"/>
          <w:szCs w:val="22"/>
          <w:shd w:val="clear" w:color="auto" w:fill="FFFFFF"/>
        </w:rPr>
      </w:pPr>
      <w:r w:rsidRPr="00F23FEA">
        <w:rPr>
          <w:rFonts w:cs="Arial"/>
          <w:szCs w:val="22"/>
          <w:lang w:eastAsia="en-AU"/>
        </w:rPr>
        <w:t xml:space="preserve">The smaller population in regional areas gives international students a greater chance of integrating into the local community and making a </w:t>
      </w:r>
      <w:r>
        <w:rPr>
          <w:rFonts w:cs="Arial"/>
          <w:szCs w:val="22"/>
          <w:lang w:eastAsia="en-AU"/>
        </w:rPr>
        <w:t xml:space="preserve">significant </w:t>
      </w:r>
      <w:r w:rsidRPr="00F23FEA">
        <w:rPr>
          <w:rFonts w:cs="Arial"/>
          <w:szCs w:val="22"/>
          <w:lang w:eastAsia="en-AU"/>
        </w:rPr>
        <w:t xml:space="preserve">positive contribution. For instance, </w:t>
      </w:r>
      <w:proofErr w:type="spellStart"/>
      <w:r w:rsidRPr="00F23FEA">
        <w:rPr>
          <w:rFonts w:cs="Arial"/>
          <w:szCs w:val="22"/>
        </w:rPr>
        <w:t>Dunya</w:t>
      </w:r>
      <w:proofErr w:type="spellEnd"/>
      <w:r w:rsidRPr="00F23FEA">
        <w:rPr>
          <w:rFonts w:cs="Arial"/>
          <w:szCs w:val="22"/>
        </w:rPr>
        <w:t xml:space="preserve"> </w:t>
      </w:r>
      <w:proofErr w:type="spellStart"/>
      <w:r w:rsidRPr="00F23FEA">
        <w:rPr>
          <w:rFonts w:cs="Arial"/>
          <w:szCs w:val="22"/>
        </w:rPr>
        <w:t>Alruhaim</w:t>
      </w:r>
      <w:proofErr w:type="spellEnd"/>
      <w:r w:rsidRPr="00F23FEA">
        <w:rPr>
          <w:rFonts w:cs="Arial"/>
          <w:szCs w:val="22"/>
        </w:rPr>
        <w:t xml:space="preserve">, who is studying Masters of Education at </w:t>
      </w:r>
      <w:proofErr w:type="spellStart"/>
      <w:r w:rsidRPr="00F23FEA">
        <w:rPr>
          <w:rFonts w:cs="Arial"/>
          <w:szCs w:val="22"/>
        </w:rPr>
        <w:t>UNE</w:t>
      </w:r>
      <w:proofErr w:type="spellEnd"/>
      <w:r w:rsidRPr="00F23FEA">
        <w:rPr>
          <w:rFonts w:cs="Arial"/>
          <w:szCs w:val="22"/>
        </w:rPr>
        <w:t xml:space="preserve">, is involved in a number of community groups helping Arabic speaking women and families to settle into Armidale (ABC, 2015). </w:t>
      </w:r>
      <w:r w:rsidRPr="00F23FEA">
        <w:rPr>
          <w:rFonts w:cs="Arial"/>
          <w:szCs w:val="22"/>
          <w:lang w:eastAsia="en-AU"/>
        </w:rPr>
        <w:t xml:space="preserve">Recognising her contribution to the community, she was awarded </w:t>
      </w:r>
      <w:r w:rsidRPr="00F23FEA">
        <w:rPr>
          <w:rFonts w:cs="Arial"/>
          <w:color w:val="000000"/>
          <w:szCs w:val="22"/>
          <w:lang w:eastAsia="en-AU"/>
        </w:rPr>
        <w:t>the 2015 New South Wales International Student of the Year Award under the Higher Education category (</w:t>
      </w:r>
      <w:r>
        <w:rPr>
          <w:rFonts w:cs="Arial"/>
          <w:color w:val="000000"/>
          <w:szCs w:val="22"/>
          <w:lang w:eastAsia="en-AU"/>
        </w:rPr>
        <w:t>NSW Government, 2015</w:t>
      </w:r>
      <w:r w:rsidRPr="00F23FEA">
        <w:rPr>
          <w:rFonts w:cs="Arial"/>
          <w:color w:val="000000"/>
          <w:szCs w:val="22"/>
          <w:lang w:eastAsia="en-AU"/>
        </w:rPr>
        <w:t>).</w:t>
      </w:r>
    </w:p>
    <w:p w14:paraId="4748D6CE" w14:textId="77777777" w:rsidR="00AF555D" w:rsidRDefault="00AF555D" w:rsidP="00AF555D">
      <w:pPr>
        <w:spacing w:before="240"/>
        <w:jc w:val="both"/>
        <w:rPr>
          <w:lang w:eastAsia="en-AU"/>
        </w:rPr>
      </w:pPr>
      <w:r w:rsidRPr="00F23FEA">
        <w:rPr>
          <w:lang w:eastAsia="en-AU"/>
        </w:rPr>
        <w:t xml:space="preserve">As noted by consultation participants, regional universities are more likely to attract research students to their fields of expertise.  In 2014, 22% of international students in </w:t>
      </w:r>
      <w:proofErr w:type="spellStart"/>
      <w:r w:rsidRPr="00F23FEA">
        <w:rPr>
          <w:lang w:eastAsia="en-AU"/>
        </w:rPr>
        <w:t>UNE</w:t>
      </w:r>
      <w:proofErr w:type="spellEnd"/>
      <w:r w:rsidRPr="00F23FEA">
        <w:rPr>
          <w:lang w:eastAsia="en-AU"/>
        </w:rPr>
        <w:t xml:space="preserve"> were completing a doctorate by research. This is significantly higher than New South Wales average of 6% (</w:t>
      </w:r>
      <w:proofErr w:type="spellStart"/>
      <w:r w:rsidRPr="00EA1B94">
        <w:rPr>
          <w:lang w:eastAsia="en-AU"/>
        </w:rPr>
        <w:t>DET</w:t>
      </w:r>
      <w:proofErr w:type="spellEnd"/>
      <w:r w:rsidRPr="00EA1B94">
        <w:rPr>
          <w:lang w:eastAsia="en-AU"/>
        </w:rPr>
        <w:t xml:space="preserve"> </w:t>
      </w:r>
      <w:proofErr w:type="spellStart"/>
      <w:r w:rsidRPr="00EA1B94">
        <w:rPr>
          <w:lang w:eastAsia="en-AU"/>
        </w:rPr>
        <w:t>2015</w:t>
      </w:r>
      <w:r w:rsidRPr="00E4503E">
        <w:rPr>
          <w:lang w:eastAsia="en-AU"/>
        </w:rPr>
        <w:t>d</w:t>
      </w:r>
      <w:proofErr w:type="spellEnd"/>
      <w:r w:rsidRPr="00E4503E">
        <w:rPr>
          <w:lang w:eastAsia="en-AU"/>
        </w:rPr>
        <w:t>). There</w:t>
      </w:r>
      <w:r w:rsidRPr="00F23FEA">
        <w:rPr>
          <w:lang w:eastAsia="en-AU"/>
        </w:rPr>
        <w:t xml:space="preserve"> are also fewer undergraduate students at the </w:t>
      </w:r>
      <w:proofErr w:type="spellStart"/>
      <w:r w:rsidRPr="00F23FEA">
        <w:rPr>
          <w:lang w:eastAsia="en-AU"/>
        </w:rPr>
        <w:t>UNE</w:t>
      </w:r>
      <w:proofErr w:type="spellEnd"/>
      <w:r w:rsidRPr="00F23FEA">
        <w:rPr>
          <w:lang w:eastAsia="en-AU"/>
        </w:rPr>
        <w:t xml:space="preserve">, with Bachelor students making up 34% of the international student population, compared to </w:t>
      </w:r>
      <w:r>
        <w:rPr>
          <w:lang w:eastAsia="en-AU"/>
        </w:rPr>
        <w:t>4</w:t>
      </w:r>
      <w:r w:rsidRPr="00F23FEA">
        <w:rPr>
          <w:lang w:eastAsia="en-AU"/>
        </w:rPr>
        <w:t xml:space="preserve">5% for the State as a whole. </w:t>
      </w:r>
      <w:r w:rsidR="00251F8B">
        <w:rPr>
          <w:lang w:eastAsia="en-AU"/>
        </w:rPr>
        <w:fldChar w:fldCharType="begin"/>
      </w:r>
      <w:r w:rsidR="00251F8B">
        <w:rPr>
          <w:lang w:eastAsia="en-AU"/>
        </w:rPr>
        <w:instrText xml:space="preserve"> REF _Ref442337613 \r \h </w:instrText>
      </w:r>
      <w:r w:rsidR="00251F8B">
        <w:rPr>
          <w:lang w:eastAsia="en-AU"/>
        </w:rPr>
      </w:r>
      <w:r w:rsidR="00251F8B">
        <w:rPr>
          <w:lang w:eastAsia="en-AU"/>
        </w:rPr>
        <w:fldChar w:fldCharType="separate"/>
      </w:r>
      <w:r w:rsidR="00F03FA0">
        <w:rPr>
          <w:lang w:eastAsia="en-AU"/>
        </w:rPr>
        <w:t xml:space="preserve">Chart </w:t>
      </w:r>
      <w:proofErr w:type="spellStart"/>
      <w:r w:rsidR="00F03FA0">
        <w:rPr>
          <w:lang w:eastAsia="en-AU"/>
        </w:rPr>
        <w:t>E.1</w:t>
      </w:r>
      <w:proofErr w:type="spellEnd"/>
      <w:r w:rsidR="00251F8B">
        <w:rPr>
          <w:lang w:eastAsia="en-AU"/>
        </w:rPr>
        <w:fldChar w:fldCharType="end"/>
      </w:r>
      <w:r w:rsidR="00251F8B">
        <w:rPr>
          <w:lang w:eastAsia="en-AU"/>
        </w:rPr>
        <w:t xml:space="preserve"> </w:t>
      </w:r>
      <w:r w:rsidRPr="00F23FEA">
        <w:rPr>
          <w:lang w:eastAsia="en-AU"/>
        </w:rPr>
        <w:t xml:space="preserve">shows the level of course profile of international students in </w:t>
      </w:r>
      <w:proofErr w:type="spellStart"/>
      <w:r w:rsidRPr="00F23FEA">
        <w:rPr>
          <w:lang w:eastAsia="en-AU"/>
        </w:rPr>
        <w:t>UNE</w:t>
      </w:r>
      <w:proofErr w:type="spellEnd"/>
      <w:r w:rsidRPr="00F23FEA">
        <w:rPr>
          <w:lang w:eastAsia="en-AU"/>
        </w:rPr>
        <w:t xml:space="preserve"> compared to overall Higher Education institutions in New South Wales. </w:t>
      </w:r>
    </w:p>
    <w:p w14:paraId="50656597" w14:textId="77777777" w:rsidR="00251F8B" w:rsidRPr="00F23FEA" w:rsidRDefault="00251F8B" w:rsidP="00AF555D">
      <w:pPr>
        <w:spacing w:before="240"/>
        <w:jc w:val="both"/>
        <w:rPr>
          <w:lang w:eastAsia="en-AU"/>
        </w:rPr>
      </w:pPr>
    </w:p>
    <w:p w14:paraId="5CF73A01" w14:textId="77777777" w:rsidR="00AF555D" w:rsidRPr="00F23FEA" w:rsidRDefault="00AF555D" w:rsidP="00E74E03">
      <w:pPr>
        <w:pStyle w:val="AppendixChartCaption"/>
      </w:pPr>
      <w:bookmarkStart w:id="426" w:name="_Ref442337613"/>
      <w:bookmarkStart w:id="427" w:name="_Toc450809277"/>
      <w:r w:rsidRPr="00F23FEA">
        <w:lastRenderedPageBreak/>
        <w:t>: International student enrolments by broad level of course, 2014</w:t>
      </w:r>
      <w:bookmarkEnd w:id="426"/>
      <w:bookmarkEnd w:id="427"/>
      <w:r w:rsidRPr="00F23FEA">
        <w:t xml:space="preserve"> </w:t>
      </w:r>
    </w:p>
    <w:p w14:paraId="137924A3" w14:textId="77777777" w:rsidR="00AF555D" w:rsidRPr="00F23FEA" w:rsidRDefault="00AF555D" w:rsidP="00AF555D">
      <w:pPr>
        <w:spacing w:before="240"/>
        <w:ind w:firstLine="567"/>
        <w:jc w:val="both"/>
        <w:rPr>
          <w:lang w:eastAsia="en-AU"/>
        </w:rPr>
      </w:pPr>
      <w:r w:rsidRPr="00F23FEA">
        <w:rPr>
          <w:noProof/>
          <w:lang w:eastAsia="en-AU"/>
        </w:rPr>
        <w:drawing>
          <wp:inline distT="0" distB="0" distL="0" distR="0" wp14:anchorId="2FB06B5B" wp14:editId="3EF3FA38">
            <wp:extent cx="4572000" cy="2732405"/>
            <wp:effectExtent l="0" t="0" r="0" b="10795"/>
            <wp:docPr id="7" name="Picture 7" descr="The chart shows the proportion of international student enrolments by broad level of course in year 2014.&#10;" title="Chart E.1: International student enrolments by broad level of course,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72000" cy="2732405"/>
                    </a:xfrm>
                    <a:prstGeom prst="rect">
                      <a:avLst/>
                    </a:prstGeom>
                    <a:noFill/>
                    <a:ln>
                      <a:noFill/>
                    </a:ln>
                  </pic:spPr>
                </pic:pic>
              </a:graphicData>
            </a:graphic>
          </wp:inline>
        </w:drawing>
      </w:r>
    </w:p>
    <w:p w14:paraId="297F46C0" w14:textId="77777777" w:rsidR="00AF555D" w:rsidRPr="00F23FEA" w:rsidRDefault="00AF555D" w:rsidP="00163EA3">
      <w:pPr>
        <w:keepNext/>
        <w:keepLines/>
        <w:spacing w:after="120"/>
        <w:contextualSpacing/>
        <w:outlineLvl w:val="0"/>
        <w:rPr>
          <w:rFonts w:cs="Arial"/>
          <w:sz w:val="18"/>
        </w:rPr>
      </w:pPr>
      <w:r w:rsidRPr="00F23FEA">
        <w:rPr>
          <w:rFonts w:cs="Arial"/>
          <w:sz w:val="18"/>
        </w:rPr>
        <w:t xml:space="preserve">Source: </w:t>
      </w:r>
      <w:proofErr w:type="spellStart"/>
      <w:r w:rsidRPr="00EA1B94">
        <w:rPr>
          <w:rFonts w:cs="Arial"/>
          <w:sz w:val="18"/>
        </w:rPr>
        <w:t>DET</w:t>
      </w:r>
      <w:proofErr w:type="spellEnd"/>
      <w:r w:rsidRPr="00EA1B94">
        <w:rPr>
          <w:rFonts w:cs="Arial"/>
          <w:sz w:val="18"/>
        </w:rPr>
        <w:t xml:space="preserve">, </w:t>
      </w:r>
      <w:proofErr w:type="spellStart"/>
      <w:r w:rsidRPr="00EA1B94">
        <w:rPr>
          <w:rFonts w:cs="Arial"/>
          <w:sz w:val="18"/>
        </w:rPr>
        <w:t>2015d</w:t>
      </w:r>
      <w:proofErr w:type="spellEnd"/>
    </w:p>
    <w:p w14:paraId="12C9FCCF" w14:textId="77777777" w:rsidR="00AF555D" w:rsidRPr="00F23FEA" w:rsidRDefault="00AF555D" w:rsidP="00AF555D">
      <w:pPr>
        <w:spacing w:before="240"/>
        <w:jc w:val="both"/>
        <w:rPr>
          <w:lang w:eastAsia="en-AU"/>
        </w:rPr>
      </w:pPr>
      <w:r w:rsidRPr="00F23FEA">
        <w:rPr>
          <w:lang w:eastAsia="en-AU"/>
        </w:rPr>
        <w:t xml:space="preserve">The University also attracts students to different broad fields of education compared to the New South Wales Higher Education sector as a whole. In 2014, while Management and Commerce was the most popular specialisation for international students at </w:t>
      </w:r>
      <w:proofErr w:type="spellStart"/>
      <w:r w:rsidRPr="00F23FEA">
        <w:rPr>
          <w:lang w:eastAsia="en-AU"/>
        </w:rPr>
        <w:t>UNE</w:t>
      </w:r>
      <w:proofErr w:type="spellEnd"/>
      <w:r w:rsidRPr="00F23FEA">
        <w:rPr>
          <w:lang w:eastAsia="en-AU"/>
        </w:rPr>
        <w:t xml:space="preserve"> (making up 33% of total enrolments), it was lower than the state average of 49%. International students were significantly more likely to study in ‘Agriculture, Environmental and Related Studies’, ‘Health’, and ‘Education’ compared to overall international students in the State</w:t>
      </w:r>
      <w:r>
        <w:rPr>
          <w:lang w:eastAsia="en-AU"/>
        </w:rPr>
        <w:t>,</w:t>
      </w:r>
      <w:r w:rsidRPr="00F23FEA">
        <w:rPr>
          <w:lang w:eastAsia="en-AU"/>
        </w:rPr>
        <w:t xml:space="preserve"> </w:t>
      </w:r>
      <w:r>
        <w:rPr>
          <w:lang w:eastAsia="en-AU"/>
        </w:rPr>
        <w:t xml:space="preserve">while </w:t>
      </w:r>
      <w:r w:rsidRPr="00F23FEA">
        <w:rPr>
          <w:lang w:eastAsia="en-AU"/>
        </w:rPr>
        <w:t>significantly less likely to choose ‘Engineering and Related Technologies’ compared to the State average</w:t>
      </w:r>
      <w:r>
        <w:rPr>
          <w:lang w:eastAsia="en-AU"/>
        </w:rPr>
        <w:t xml:space="preserve"> </w:t>
      </w:r>
      <w:r w:rsidRPr="00F23FEA">
        <w:rPr>
          <w:lang w:eastAsia="en-AU"/>
        </w:rPr>
        <w:t>(</w:t>
      </w:r>
      <w:proofErr w:type="spellStart"/>
      <w:r w:rsidRPr="00EF06C1">
        <w:rPr>
          <w:lang w:eastAsia="en-AU"/>
        </w:rPr>
        <w:t>DET</w:t>
      </w:r>
      <w:proofErr w:type="spellEnd"/>
      <w:r w:rsidRPr="00EF06C1">
        <w:rPr>
          <w:lang w:eastAsia="en-AU"/>
        </w:rPr>
        <w:t xml:space="preserve"> </w:t>
      </w:r>
      <w:proofErr w:type="spellStart"/>
      <w:r w:rsidRPr="00EF06C1">
        <w:rPr>
          <w:lang w:eastAsia="en-AU"/>
        </w:rPr>
        <w:t>2015</w:t>
      </w:r>
      <w:r w:rsidRPr="00E4503E">
        <w:rPr>
          <w:lang w:eastAsia="en-AU"/>
        </w:rPr>
        <w:t>d</w:t>
      </w:r>
      <w:proofErr w:type="spellEnd"/>
      <w:r w:rsidRPr="00F568D1">
        <w:rPr>
          <w:lang w:eastAsia="en-AU"/>
        </w:rPr>
        <w:t>)</w:t>
      </w:r>
      <w:r w:rsidRPr="00F23FEA">
        <w:rPr>
          <w:lang w:eastAsia="en-AU"/>
        </w:rPr>
        <w:t>.</w:t>
      </w:r>
    </w:p>
    <w:p w14:paraId="69F4487E" w14:textId="77777777" w:rsidR="00251F8B" w:rsidRDefault="00251F8B" w:rsidP="00163EA3">
      <w:pPr>
        <w:pStyle w:val="HeadingC"/>
        <w:outlineLvl w:val="0"/>
        <w:rPr>
          <w:lang w:eastAsia="en-AU"/>
        </w:rPr>
      </w:pPr>
      <w:r>
        <w:rPr>
          <w:lang w:eastAsia="en-AU"/>
        </w:rPr>
        <w:t>Economic contribution</w:t>
      </w:r>
    </w:p>
    <w:p w14:paraId="5B8E0BEC" w14:textId="77777777" w:rsidR="00251F8B" w:rsidRPr="00F23FEA" w:rsidRDefault="00251F8B" w:rsidP="00251F8B">
      <w:pPr>
        <w:spacing w:before="240"/>
        <w:jc w:val="both"/>
        <w:rPr>
          <w:lang w:eastAsia="en-AU"/>
        </w:rPr>
      </w:pPr>
      <w:r>
        <w:rPr>
          <w:lang w:eastAsia="en-AU"/>
        </w:rPr>
        <w:t xml:space="preserve">The contribution methodology broadly follows those described in </w:t>
      </w:r>
      <w:r>
        <w:rPr>
          <w:lang w:eastAsia="en-AU"/>
        </w:rPr>
        <w:fldChar w:fldCharType="begin"/>
      </w:r>
      <w:r>
        <w:rPr>
          <w:lang w:eastAsia="en-AU"/>
        </w:rPr>
        <w:instrText xml:space="preserve"> REF _Ref442002716 \r \h </w:instrText>
      </w:r>
      <w:r>
        <w:rPr>
          <w:lang w:eastAsia="en-AU"/>
        </w:rPr>
      </w:r>
      <w:r>
        <w:rPr>
          <w:lang w:eastAsia="en-AU"/>
        </w:rPr>
        <w:fldChar w:fldCharType="separate"/>
      </w:r>
      <w:r w:rsidR="00F03FA0">
        <w:rPr>
          <w:lang w:eastAsia="en-AU"/>
        </w:rPr>
        <w:t>Appendix D</w:t>
      </w:r>
      <w:r>
        <w:rPr>
          <w:lang w:eastAsia="en-AU"/>
        </w:rPr>
        <w:fldChar w:fldCharType="end"/>
      </w:r>
      <w:r>
        <w:rPr>
          <w:lang w:eastAsia="en-AU"/>
        </w:rPr>
        <w:t>.</w:t>
      </w:r>
      <w:r w:rsidR="00873B43">
        <w:rPr>
          <w:lang w:eastAsia="en-AU"/>
        </w:rPr>
        <w:t xml:space="preserve"> </w:t>
      </w:r>
      <w:r w:rsidRPr="00F23FEA">
        <w:rPr>
          <w:lang w:eastAsia="en-AU"/>
        </w:rPr>
        <w:t xml:space="preserve">International student fees to the University are taken from the </w:t>
      </w:r>
      <w:proofErr w:type="spellStart"/>
      <w:r w:rsidRPr="00F23FEA">
        <w:rPr>
          <w:lang w:eastAsia="en-AU"/>
        </w:rPr>
        <w:t>DET</w:t>
      </w:r>
      <w:proofErr w:type="spellEnd"/>
      <w:r w:rsidRPr="00F23FEA">
        <w:rPr>
          <w:lang w:eastAsia="en-AU"/>
        </w:rPr>
        <w:t xml:space="preserve"> publication, and totalled $13 million in 2014, or approximately 5% of the University’s total revenue. This is scaled up to account for differences between </w:t>
      </w:r>
      <w:proofErr w:type="spellStart"/>
      <w:r w:rsidRPr="00F23FEA">
        <w:rPr>
          <w:lang w:eastAsia="en-AU"/>
        </w:rPr>
        <w:t>DET</w:t>
      </w:r>
      <w:proofErr w:type="spellEnd"/>
      <w:r w:rsidRPr="00F23FEA">
        <w:rPr>
          <w:lang w:eastAsia="en-AU"/>
        </w:rPr>
        <w:t xml:space="preserve"> and ABS data sources according to the common New South Wales multiplier. The analysis assumes that University expenditure on intermediate inputs is in the same proportions as in past contribution studies</w:t>
      </w:r>
      <w:r>
        <w:rPr>
          <w:lang w:eastAsia="en-AU"/>
        </w:rPr>
        <w:t xml:space="preserve"> by Deloitte Access Economics</w:t>
      </w:r>
      <w:r w:rsidRPr="00F23FEA">
        <w:rPr>
          <w:lang w:eastAsia="en-AU"/>
        </w:rPr>
        <w:t>.</w:t>
      </w:r>
    </w:p>
    <w:p w14:paraId="736C4A20" w14:textId="77777777" w:rsidR="00251F8B" w:rsidRPr="00F23FEA" w:rsidRDefault="00251F8B" w:rsidP="00251F8B">
      <w:pPr>
        <w:spacing w:before="240"/>
        <w:jc w:val="both"/>
        <w:rPr>
          <w:lang w:eastAsia="en-AU"/>
        </w:rPr>
      </w:pPr>
      <w:r w:rsidRPr="00F23FEA">
        <w:rPr>
          <w:lang w:eastAsia="en-AU"/>
        </w:rPr>
        <w:t>The analysis also assumes that international Higher Education student expenditure on goods and services are the same as New South Wales as a whole, with the average Higher Education student enrolment estimated to be spending $27,758 per year on goods and services. Given that there is mixed evidence for whether average student living expenses would be higher or lower in Armidale, the above figure is an appropriate first estimation. For instance, consultation participants have noted that while accommodation is likely to be cheaper in Armidale, costs for groceries and transportation are likely to be higher. Further, past studies have found that the average international postgraduate (</w:t>
      </w:r>
      <w:proofErr w:type="spellStart"/>
      <w:r w:rsidRPr="00F23FEA">
        <w:rPr>
          <w:lang w:eastAsia="en-AU"/>
        </w:rPr>
        <w:t>HDR</w:t>
      </w:r>
      <w:proofErr w:type="spellEnd"/>
      <w:r w:rsidRPr="00F23FEA">
        <w:rPr>
          <w:lang w:eastAsia="en-AU"/>
        </w:rPr>
        <w:t xml:space="preserve">) student spends 46% more on general living expenses than the average international undergraduate student </w:t>
      </w:r>
      <w:r w:rsidRPr="00EA1B94">
        <w:rPr>
          <w:lang w:eastAsia="en-AU"/>
        </w:rPr>
        <w:t>(UA, 2012).</w:t>
      </w:r>
      <w:r w:rsidRPr="00F568D1">
        <w:rPr>
          <w:lang w:eastAsia="en-AU"/>
        </w:rPr>
        <w:t xml:space="preserve"> Given</w:t>
      </w:r>
      <w:r w:rsidRPr="00F23FEA">
        <w:rPr>
          <w:lang w:eastAsia="en-AU"/>
        </w:rPr>
        <w:t xml:space="preserve"> the higher proportion of research doctorate international students at the University, it is another indicator that average living expenses may not necessarily be lower in Armidale. </w:t>
      </w:r>
    </w:p>
    <w:p w14:paraId="1C64B553" w14:textId="77777777" w:rsidR="00CC40D6" w:rsidRDefault="00873B43" w:rsidP="00E74E03">
      <w:pPr>
        <w:pStyle w:val="HeadingA"/>
      </w:pPr>
      <w:bookmarkStart w:id="428" w:name="_Toc450809261"/>
      <w:r>
        <w:lastRenderedPageBreak/>
        <w:t xml:space="preserve">Case study 2: </w:t>
      </w:r>
      <w:r w:rsidR="00CC40D6">
        <w:t>Impact of international economic activity on regional Victoria</w:t>
      </w:r>
      <w:bookmarkEnd w:id="428"/>
    </w:p>
    <w:p w14:paraId="5E8CE2D4" w14:textId="77777777" w:rsidR="00EF5885" w:rsidRPr="00F23FEA" w:rsidRDefault="00EF5885" w:rsidP="00163EA3">
      <w:pPr>
        <w:pStyle w:val="HeadingC"/>
        <w:outlineLvl w:val="0"/>
      </w:pPr>
      <w:r w:rsidRPr="00F23FEA">
        <w:t>Tourism Satellite Accounting Framework</w:t>
      </w:r>
    </w:p>
    <w:p w14:paraId="5DE6C943" w14:textId="77777777" w:rsidR="00EF5885" w:rsidRPr="00F23FEA" w:rsidRDefault="00EF5885" w:rsidP="00EF5885">
      <w:pPr>
        <w:spacing w:before="240"/>
        <w:jc w:val="both"/>
      </w:pPr>
      <w:r w:rsidRPr="00F23FEA">
        <w:t xml:space="preserve">There are a number of intermediate concepts that are used in the </w:t>
      </w:r>
      <w:proofErr w:type="spellStart"/>
      <w:r w:rsidRPr="00F23FEA">
        <w:t>TSA</w:t>
      </w:r>
      <w:proofErr w:type="spellEnd"/>
      <w:r w:rsidRPr="00F23FEA">
        <w:t xml:space="preserve"> framework to determine the contribution of tourism expenditure to gross value added and employment. They include:</w:t>
      </w:r>
    </w:p>
    <w:p w14:paraId="79C3FEE8" w14:textId="77777777" w:rsidR="00EF5885" w:rsidRPr="00F23FEA" w:rsidRDefault="00EF5885" w:rsidP="00EF5885">
      <w:pPr>
        <w:numPr>
          <w:ilvl w:val="0"/>
          <w:numId w:val="6"/>
        </w:numPr>
        <w:spacing w:before="60"/>
        <w:ind w:left="567" w:hanging="567"/>
        <w:jc w:val="both"/>
        <w:rPr>
          <w:rFonts w:cs="Arial"/>
          <w:lang w:eastAsia="en-AU"/>
        </w:rPr>
      </w:pPr>
      <w:r w:rsidRPr="00F23FEA">
        <w:rPr>
          <w:rFonts w:cs="Arial"/>
          <w:b/>
          <w:color w:val="002776"/>
          <w:lang w:eastAsia="en-AU"/>
        </w:rPr>
        <w:t>expenditure or consumption</w:t>
      </w:r>
      <w:r w:rsidRPr="00F23FEA">
        <w:rPr>
          <w:rFonts w:cs="Arial"/>
          <w:lang w:eastAsia="en-AU"/>
        </w:rPr>
        <w:t>: the total value of goods and services consumed by visitors in purchaser’s prices;</w:t>
      </w:r>
    </w:p>
    <w:p w14:paraId="6F16F5E0" w14:textId="77777777" w:rsidR="00EF5885" w:rsidRPr="00F23FEA" w:rsidRDefault="00EF5885" w:rsidP="00EF5885">
      <w:pPr>
        <w:numPr>
          <w:ilvl w:val="0"/>
          <w:numId w:val="6"/>
        </w:numPr>
        <w:spacing w:before="60"/>
        <w:ind w:left="567" w:hanging="567"/>
        <w:jc w:val="both"/>
        <w:rPr>
          <w:rFonts w:cs="Arial"/>
          <w:lang w:eastAsia="en-AU"/>
        </w:rPr>
      </w:pPr>
      <w:r w:rsidRPr="00F23FEA">
        <w:rPr>
          <w:rFonts w:cs="Arial"/>
          <w:b/>
          <w:color w:val="002776"/>
          <w:lang w:eastAsia="en-AU"/>
        </w:rPr>
        <w:t>output:</w:t>
      </w:r>
      <w:r w:rsidRPr="00F23FEA">
        <w:rPr>
          <w:rFonts w:cs="Arial"/>
          <w:color w:val="002776"/>
          <w:lang w:eastAsia="en-AU"/>
        </w:rPr>
        <w:t xml:space="preserve"> </w:t>
      </w:r>
      <w:r w:rsidRPr="00F23FEA">
        <w:rPr>
          <w:rFonts w:cs="Arial"/>
          <w:lang w:eastAsia="en-AU"/>
        </w:rPr>
        <w:t>the total value of goods and services produced to meet visitor consumption in basic prices;</w:t>
      </w:r>
    </w:p>
    <w:p w14:paraId="5EE38C48" w14:textId="77777777" w:rsidR="00EF5885" w:rsidRPr="00F23FEA" w:rsidRDefault="00EF5885" w:rsidP="00EF5885">
      <w:pPr>
        <w:numPr>
          <w:ilvl w:val="0"/>
          <w:numId w:val="6"/>
        </w:numPr>
        <w:spacing w:before="60"/>
        <w:ind w:left="567" w:hanging="567"/>
        <w:jc w:val="both"/>
        <w:rPr>
          <w:rFonts w:cs="Arial"/>
          <w:lang w:eastAsia="en-AU"/>
        </w:rPr>
      </w:pPr>
      <w:r w:rsidRPr="00F23FEA">
        <w:rPr>
          <w:rFonts w:cs="Arial"/>
          <w:b/>
          <w:color w:val="002776"/>
          <w:lang w:eastAsia="en-AU"/>
        </w:rPr>
        <w:t>tourism gross value added (</w:t>
      </w:r>
      <w:proofErr w:type="spellStart"/>
      <w:r w:rsidRPr="00F23FEA">
        <w:rPr>
          <w:rFonts w:cs="Arial"/>
          <w:b/>
          <w:color w:val="002776"/>
          <w:lang w:eastAsia="en-AU"/>
        </w:rPr>
        <w:t>GVA</w:t>
      </w:r>
      <w:proofErr w:type="spellEnd"/>
      <w:r w:rsidRPr="00F23FEA">
        <w:rPr>
          <w:rFonts w:cs="Arial"/>
          <w:b/>
          <w:color w:val="002776"/>
          <w:lang w:eastAsia="en-AU"/>
        </w:rPr>
        <w:t>):</w:t>
      </w:r>
      <w:r w:rsidRPr="00F23FEA">
        <w:rPr>
          <w:rFonts w:cs="Arial"/>
          <w:b/>
          <w:lang w:eastAsia="en-AU"/>
        </w:rPr>
        <w:t xml:space="preserve"> </w:t>
      </w:r>
      <w:r w:rsidRPr="00F23FEA">
        <w:rPr>
          <w:rFonts w:cs="Arial"/>
          <w:lang w:eastAsia="en-AU"/>
        </w:rPr>
        <w:t>the total labour income and revenue attributable to the industry, less net taxes paid on products and is measured in basic prices; and</w:t>
      </w:r>
    </w:p>
    <w:p w14:paraId="5A899460" w14:textId="77777777" w:rsidR="00EF5885" w:rsidRPr="00F23FEA" w:rsidRDefault="00EF5885" w:rsidP="00EF5885">
      <w:pPr>
        <w:numPr>
          <w:ilvl w:val="0"/>
          <w:numId w:val="6"/>
        </w:numPr>
        <w:spacing w:before="60"/>
        <w:ind w:left="567" w:hanging="567"/>
        <w:jc w:val="both"/>
        <w:rPr>
          <w:rFonts w:cs="Arial"/>
          <w:lang w:eastAsia="en-AU"/>
        </w:rPr>
      </w:pPr>
      <w:proofErr w:type="gramStart"/>
      <w:r w:rsidRPr="00F23FEA">
        <w:rPr>
          <w:rFonts w:cs="Arial"/>
          <w:b/>
          <w:color w:val="002776"/>
          <w:lang w:eastAsia="en-AU"/>
        </w:rPr>
        <w:t>employment</w:t>
      </w:r>
      <w:proofErr w:type="gramEnd"/>
      <w:r w:rsidRPr="00F23FEA">
        <w:rPr>
          <w:rFonts w:cs="Arial"/>
          <w:b/>
          <w:color w:val="002776"/>
          <w:lang w:eastAsia="en-AU"/>
        </w:rPr>
        <w:t>:</w:t>
      </w:r>
      <w:r w:rsidRPr="00F23FEA">
        <w:rPr>
          <w:rFonts w:cs="Arial"/>
          <w:lang w:eastAsia="en-AU"/>
        </w:rPr>
        <w:t xml:space="preserve"> the number of part-time and full-time employed persons.</w:t>
      </w:r>
    </w:p>
    <w:p w14:paraId="6B0E0821" w14:textId="77777777" w:rsidR="00EF5885" w:rsidRPr="00F23FEA" w:rsidRDefault="00EF5885" w:rsidP="00EF5885">
      <w:pPr>
        <w:spacing w:before="60"/>
        <w:jc w:val="both"/>
        <w:rPr>
          <w:rFonts w:cs="Arial"/>
          <w:lang w:eastAsia="en-AU"/>
        </w:rPr>
      </w:pPr>
    </w:p>
    <w:p w14:paraId="145AD15A" w14:textId="77777777" w:rsidR="00EF5885" w:rsidRPr="00F23FEA" w:rsidRDefault="00EF5885" w:rsidP="00EF5885">
      <w:pPr>
        <w:spacing w:before="60"/>
        <w:jc w:val="both"/>
        <w:rPr>
          <w:rFonts w:cs="Arial"/>
          <w:lang w:eastAsia="en-AU"/>
        </w:rPr>
      </w:pPr>
      <w:r w:rsidRPr="00F23FEA">
        <w:rPr>
          <w:rFonts w:cs="Arial"/>
          <w:lang w:eastAsia="en-AU"/>
        </w:rPr>
        <w:t xml:space="preserve">Similar to the IO framework, the indirect contribution of tourism expenditure in the </w:t>
      </w:r>
      <w:proofErr w:type="spellStart"/>
      <w:r w:rsidRPr="00F23FEA">
        <w:rPr>
          <w:rFonts w:cs="Arial"/>
          <w:lang w:eastAsia="en-AU"/>
        </w:rPr>
        <w:t>TSA</w:t>
      </w:r>
      <w:proofErr w:type="spellEnd"/>
      <w:r w:rsidRPr="00F23FEA">
        <w:rPr>
          <w:rFonts w:cs="Arial"/>
          <w:lang w:eastAsia="en-AU"/>
        </w:rPr>
        <w:t xml:space="preserve"> framework are based on the upstream effects. For instance, when an international student eats out at a restaurant in Melbourne, the direct output would be approximately equal to the price received by the restaurant. However, the indirect output would capture the restaurant‘s purchase of meat and vegetables from food suppliers, and the food suppliers’ purchase of those products from a farming company. Although the upstream sectors had no direct relation to the international student, they indirectly benefit from international student expenditure.</w:t>
      </w:r>
    </w:p>
    <w:p w14:paraId="7B1E2ACE" w14:textId="77777777" w:rsidR="00AF555D" w:rsidRDefault="00EF5885" w:rsidP="00E74E03">
      <w:pPr>
        <w:spacing w:before="240"/>
        <w:jc w:val="both"/>
      </w:pPr>
      <w:r w:rsidRPr="00F23FEA">
        <w:t xml:space="preserve">The </w:t>
      </w:r>
      <w:proofErr w:type="spellStart"/>
      <w:r w:rsidRPr="00F23FEA">
        <w:t>TSA</w:t>
      </w:r>
      <w:proofErr w:type="spellEnd"/>
      <w:r w:rsidRPr="00F23FEA">
        <w:t xml:space="preserve"> modelling results are not directly comparable to the contribution analysis results in </w:t>
      </w:r>
      <w:r>
        <w:t>section</w:t>
      </w:r>
      <w:r w:rsidRPr="00F568D1">
        <w:t xml:space="preserve"> </w:t>
      </w:r>
      <w:r>
        <w:fldChar w:fldCharType="begin"/>
      </w:r>
      <w:r>
        <w:instrText xml:space="preserve"> REF _Ref437349660 \r \h </w:instrText>
      </w:r>
      <w:r>
        <w:fldChar w:fldCharType="separate"/>
      </w:r>
      <w:r w:rsidR="00F03FA0">
        <w:t>3.1</w:t>
      </w:r>
      <w:r>
        <w:fldChar w:fldCharType="end"/>
      </w:r>
      <w:r>
        <w:t xml:space="preserve">, </w:t>
      </w:r>
      <w:r w:rsidRPr="00F568D1">
        <w:t>as different multipliers, industry aggregations,</w:t>
      </w:r>
      <w:r w:rsidRPr="00F23FEA">
        <w:t xml:space="preserve"> and conversion</w:t>
      </w:r>
      <w:r>
        <w:t xml:space="preserve"> factors</w:t>
      </w:r>
      <w:r w:rsidRPr="00F23FEA">
        <w:t xml:space="preserve"> from basic to purchaser’s price, have been applied. However, it does offer a parallel framework that provides an additional geographic dimension for considering the indirect linkages and contribution from international education. </w:t>
      </w:r>
      <w:r>
        <w:t xml:space="preserve">These results should also not be compared to </w:t>
      </w:r>
      <w:proofErr w:type="spellStart"/>
      <w:r>
        <w:t>TSA</w:t>
      </w:r>
      <w:proofErr w:type="spellEnd"/>
      <w:r>
        <w:t xml:space="preserve"> tourism contribution, which only include the expenditure of students staying in Australia for under 12 months, and does not consider the expenditure of longer-term students, such as in higher education.</w:t>
      </w:r>
    </w:p>
    <w:p w14:paraId="4F5D1B1E" w14:textId="77777777" w:rsidR="007065D5" w:rsidRDefault="007065D5" w:rsidP="00163EA3">
      <w:pPr>
        <w:pStyle w:val="HeadingC"/>
        <w:outlineLvl w:val="0"/>
      </w:pPr>
      <w:r>
        <w:t>Assumptions</w:t>
      </w:r>
    </w:p>
    <w:p w14:paraId="41E63886" w14:textId="77777777" w:rsidR="007065D5" w:rsidRPr="00E74E03" w:rsidRDefault="007065D5" w:rsidP="00E74E03">
      <w:pPr>
        <w:spacing w:before="240"/>
        <w:jc w:val="both"/>
        <w:rPr>
          <w:lang w:eastAsia="en-AU"/>
        </w:rPr>
      </w:pPr>
      <w:r>
        <w:rPr>
          <w:lang w:eastAsia="en-AU"/>
        </w:rPr>
        <w:t>In attributing 96% of total onshore international student expenditure</w:t>
      </w:r>
      <w:r w:rsidR="00CC40D6">
        <w:rPr>
          <w:lang w:eastAsia="en-AU"/>
        </w:rPr>
        <w:t xml:space="preserve"> ($2.8 billion)</w:t>
      </w:r>
      <w:r>
        <w:rPr>
          <w:lang w:eastAsia="en-AU"/>
        </w:rPr>
        <w:t xml:space="preserve"> to </w:t>
      </w:r>
      <w:r w:rsidR="00CC40D6">
        <w:rPr>
          <w:lang w:eastAsia="en-AU"/>
        </w:rPr>
        <w:t xml:space="preserve">Melbourne based on its share of student nights, it has been implicitly assumed that there is a </w:t>
      </w:r>
      <w:r w:rsidRPr="00F23FEA">
        <w:rPr>
          <w:lang w:eastAsia="en-AU"/>
        </w:rPr>
        <w:t>similar cost of living in e</w:t>
      </w:r>
      <w:r>
        <w:rPr>
          <w:lang w:eastAsia="en-AU"/>
        </w:rPr>
        <w:t>ach of the tourism r</w:t>
      </w:r>
      <w:r w:rsidR="00CC40D6">
        <w:rPr>
          <w:lang w:eastAsia="en-AU"/>
        </w:rPr>
        <w:t>egions. I</w:t>
      </w:r>
      <w:r w:rsidRPr="00F23FEA">
        <w:rPr>
          <w:lang w:eastAsia="en-AU"/>
        </w:rPr>
        <w:t xml:space="preserve">t also assumes a constant proportion of students between the education sectors in each of the regions. This might not necessarily be the case, with the majority of Higher Education campuses in Victoria concentrated in the regions of Melbourne, Geelong, and Ballarat. International students in Melbourne are also assumed to have the same consumption bundle as international students in Australia as a whole. </w:t>
      </w:r>
    </w:p>
    <w:p w14:paraId="3813325D" w14:textId="77777777" w:rsidR="00B76D22" w:rsidRDefault="00E62540" w:rsidP="00E74E03">
      <w:pPr>
        <w:pStyle w:val="Appendix"/>
      </w:pPr>
      <w:bookmarkStart w:id="429" w:name="_Toc450809262"/>
      <w:bookmarkStart w:id="430" w:name="_Ref442004295"/>
      <w:r>
        <w:lastRenderedPageBreak/>
        <w:t xml:space="preserve">: </w:t>
      </w:r>
      <w:proofErr w:type="spellStart"/>
      <w:r>
        <w:t>VFR</w:t>
      </w:r>
      <w:proofErr w:type="spellEnd"/>
      <w:r>
        <w:t xml:space="preserve"> contribution estimation</w:t>
      </w:r>
      <w:bookmarkEnd w:id="429"/>
    </w:p>
    <w:p w14:paraId="537FF0C7" w14:textId="77777777" w:rsidR="00B76D22" w:rsidRDefault="00B76D22" w:rsidP="00163EA3">
      <w:pPr>
        <w:pStyle w:val="HeadingC"/>
        <w:outlineLvl w:val="0"/>
      </w:pPr>
      <w:r>
        <w:t>Distribution of visitor nights for those visiting an international student</w:t>
      </w:r>
    </w:p>
    <w:p w14:paraId="6E44D7B5" w14:textId="77777777" w:rsidR="00B76D22" w:rsidRDefault="00B76D22" w:rsidP="00B76D22">
      <w:pPr>
        <w:pStyle w:val="BodyText"/>
      </w:pPr>
      <w:r>
        <w:t xml:space="preserve">The relative distribution of those visiting a student by state and territory is illustrated in </w:t>
      </w:r>
      <w:r>
        <w:fldChar w:fldCharType="begin"/>
      </w:r>
      <w:r>
        <w:instrText xml:space="preserve"> REF _Ref442367986 \r \h </w:instrText>
      </w:r>
      <w:r>
        <w:fldChar w:fldCharType="separate"/>
      </w:r>
      <w:r w:rsidR="00F03FA0">
        <w:t xml:space="preserve">Figure </w:t>
      </w:r>
      <w:proofErr w:type="spellStart"/>
      <w:r w:rsidR="00F03FA0">
        <w:t>F.1</w:t>
      </w:r>
      <w:proofErr w:type="spellEnd"/>
      <w:r>
        <w:fldChar w:fldCharType="end"/>
      </w:r>
      <w:r>
        <w:t xml:space="preserve">. Consistent with the distribution of international students, visitors were mainly based in NSW, Queensland and Victoria. These states collectively account for 80% of visitor nights for those who visit an international student while in Australia. </w:t>
      </w:r>
    </w:p>
    <w:p w14:paraId="62143DA7" w14:textId="77777777" w:rsidR="00B76D22" w:rsidRDefault="00B76D22" w:rsidP="00B76D22">
      <w:pPr>
        <w:spacing w:after="120"/>
        <w:rPr>
          <w:rFonts w:cs="Arial"/>
          <w:sz w:val="18"/>
        </w:rPr>
      </w:pPr>
    </w:p>
    <w:p w14:paraId="3D8E1618" w14:textId="77777777" w:rsidR="00B76D22" w:rsidRDefault="00B76D22" w:rsidP="00E74E03">
      <w:pPr>
        <w:pStyle w:val="AppendixFigureCaption"/>
      </w:pPr>
      <w:bookmarkStart w:id="431" w:name="_Ref442367986"/>
      <w:bookmarkStart w:id="432" w:name="_Toc450809302"/>
      <w:r>
        <w:t>: Distribution of visitors visiting an international student, 2014</w:t>
      </w:r>
      <w:bookmarkEnd w:id="431"/>
      <w:bookmarkEnd w:id="432"/>
    </w:p>
    <w:p w14:paraId="0EF27C2D" w14:textId="77777777" w:rsidR="00B76D22" w:rsidRDefault="00B76D22" w:rsidP="00B76D22">
      <w:pPr>
        <w:pStyle w:val="BodyText"/>
      </w:pPr>
      <w:r w:rsidRPr="003439C6">
        <w:rPr>
          <w:noProof/>
          <w:lang w:eastAsia="en-AU"/>
        </w:rPr>
        <w:drawing>
          <wp:inline distT="0" distB="0" distL="0" distR="0" wp14:anchorId="64E50FD1" wp14:editId="6072C44A">
            <wp:extent cx="5219700" cy="3979198"/>
            <wp:effectExtent l="0" t="0" r="0" b="8890"/>
            <wp:docPr id="10" name="Picture 10" descr="The figure shows the distribution of visitors visiting an international student in year 2014." title="Figure F.1: Distribution of visitors visiting an international student,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19700" cy="3979198"/>
                    </a:xfrm>
                    <a:prstGeom prst="rect">
                      <a:avLst/>
                    </a:prstGeom>
                    <a:noFill/>
                    <a:ln>
                      <a:noFill/>
                    </a:ln>
                  </pic:spPr>
                </pic:pic>
              </a:graphicData>
            </a:graphic>
          </wp:inline>
        </w:drawing>
      </w:r>
    </w:p>
    <w:p w14:paraId="07927B94" w14:textId="77777777" w:rsidR="00B76D22" w:rsidRPr="00CF61F7" w:rsidRDefault="00B76D22" w:rsidP="00B76D22">
      <w:pPr>
        <w:pStyle w:val="Source"/>
      </w:pPr>
      <w:r>
        <w:t xml:space="preserve">Source: </w:t>
      </w:r>
      <w:proofErr w:type="spellStart"/>
      <w:r>
        <w:t>TRA</w:t>
      </w:r>
      <w:proofErr w:type="spellEnd"/>
      <w:r>
        <w:t>, Deloitte Access Economics.</w:t>
      </w:r>
    </w:p>
    <w:p w14:paraId="199B9D35" w14:textId="77777777" w:rsidR="00B76D22" w:rsidRDefault="00B76D22" w:rsidP="00E74E03">
      <w:pPr>
        <w:pStyle w:val="HeadingC"/>
      </w:pPr>
      <w:r>
        <w:t>Previous studies of the link between international students and visiting friends and relatives</w:t>
      </w:r>
    </w:p>
    <w:p w14:paraId="01EAB5D3" w14:textId="77777777" w:rsidR="00B76D22" w:rsidRPr="00B1604E" w:rsidRDefault="00B76D22" w:rsidP="00B76D22">
      <w:pPr>
        <w:spacing w:before="240"/>
        <w:jc w:val="both"/>
      </w:pPr>
      <w:r>
        <w:t>There have been a number of other studies of the links between international students and visiting friends and relatives, although relatively few of these studies have looked in detail at whether visiting an international student was a reason for the visitors’ trip to Australia. A survey of international students</w:t>
      </w:r>
      <w:r w:rsidRPr="00B1604E">
        <w:t xml:space="preserve"> by Tourism Research Australia (</w:t>
      </w:r>
      <w:proofErr w:type="spellStart"/>
      <w:r>
        <w:t>TRA</w:t>
      </w:r>
      <w:proofErr w:type="spellEnd"/>
      <w:r>
        <w:t xml:space="preserve"> </w:t>
      </w:r>
      <w:r w:rsidRPr="00B1604E">
        <w:t xml:space="preserve">2007) found that for </w:t>
      </w:r>
      <w:r w:rsidRPr="00B1604E">
        <w:lastRenderedPageBreak/>
        <w:t xml:space="preserve">every two formal student visitors, approximately 1 family or friend </w:t>
      </w:r>
      <w:r>
        <w:t>visited them</w:t>
      </w:r>
      <w:r w:rsidRPr="00B1604E">
        <w:t xml:space="preserve"> in Australia on their current trip. This estimate is actually quite conservative because the survey did not ask whether those who had a friend or family member visit actually had more than one friend or family member visit or were visited more than once. </w:t>
      </w:r>
    </w:p>
    <w:p w14:paraId="244E22A4" w14:textId="77777777" w:rsidR="00B76D22" w:rsidRDefault="00B76D22" w:rsidP="00E74E03">
      <w:pPr>
        <w:spacing w:before="240"/>
        <w:jc w:val="both"/>
      </w:pPr>
      <w:r>
        <w:t>Subsequent</w:t>
      </w:r>
      <w:r w:rsidRPr="00B1604E">
        <w:t xml:space="preserve"> research has found that students are </w:t>
      </w:r>
      <w:r>
        <w:t xml:space="preserve">often </w:t>
      </w:r>
      <w:r w:rsidRPr="00B1604E">
        <w:t xml:space="preserve">visited by multiple friends and family or </w:t>
      </w:r>
      <w:r>
        <w:t xml:space="preserve">are visited </w:t>
      </w:r>
      <w:r w:rsidRPr="00B1604E">
        <w:t>on more than one occasion. A survey by Davidson et al (2010) on behalf of the Sustainable Tourism CRC found relatively higher levels of visitation by family and friends with students being more likely to be visited by two or more friends or family than they were to be visited by just one</w:t>
      </w:r>
      <w:r>
        <w:t>,</w:t>
      </w:r>
      <w:r w:rsidRPr="00B1604E">
        <w:t xml:space="preserve"> and 4.5% stating they had </w:t>
      </w:r>
      <w:r>
        <w:t xml:space="preserve">been visited by </w:t>
      </w:r>
      <w:r w:rsidRPr="00B1604E">
        <w:t xml:space="preserve">10 or more friends during their time in Australia. Another survey of international students in the ACT by </w:t>
      </w:r>
      <w:r>
        <w:t>Greenhill (2013)</w:t>
      </w:r>
      <w:r w:rsidRPr="00B1604E">
        <w:t xml:space="preserve"> found that of those who indicated they had be</w:t>
      </w:r>
      <w:r>
        <w:t>en visited by family or friends:</w:t>
      </w:r>
      <w:r w:rsidRPr="00B1604E">
        <w:t xml:space="preserve"> 65% had been visited by friends or relatives more than once</w:t>
      </w:r>
      <w:r>
        <w:t>;</w:t>
      </w:r>
      <w:r w:rsidRPr="00B1604E">
        <w:t xml:space="preserve"> and 40% had been visited more than twice.</w:t>
      </w:r>
    </w:p>
    <w:bookmarkEnd w:id="430"/>
    <w:p w14:paraId="6493AFE4" w14:textId="77777777" w:rsidR="00E62540" w:rsidRDefault="00B76D22" w:rsidP="00E74E03">
      <w:pPr>
        <w:pStyle w:val="HeadingC"/>
      </w:pPr>
      <w:r>
        <w:t>Methodology for estimating the economic contribution of visiting friends and relatives</w:t>
      </w:r>
    </w:p>
    <w:p w14:paraId="10CFA528" w14:textId="7ED7B26C" w:rsidR="00E62540" w:rsidRPr="004A6626" w:rsidRDefault="00E62540" w:rsidP="00E62540">
      <w:pPr>
        <w:spacing w:before="240"/>
        <w:jc w:val="both"/>
      </w:pPr>
      <w:r w:rsidRPr="004A6626">
        <w:t xml:space="preserve">To estimate the economic contribution of those </w:t>
      </w:r>
      <w:r>
        <w:t xml:space="preserve">coming to Australia to </w:t>
      </w:r>
      <w:r w:rsidRPr="004A6626">
        <w:t xml:space="preserve">visit </w:t>
      </w:r>
      <w:r>
        <w:t>an international student</w:t>
      </w:r>
      <w:r w:rsidRPr="004A6626">
        <w:t>, a number of adjustments need to be made to the expenditure figure</w:t>
      </w:r>
      <w:r>
        <w:t xml:space="preserve"> of $282 million</w:t>
      </w:r>
      <w:r w:rsidRPr="004A6626">
        <w:t xml:space="preserve"> shown in</w:t>
      </w:r>
      <w:r w:rsidR="007B20B2">
        <w:t xml:space="preserve"> </w:t>
      </w:r>
      <w:r w:rsidR="007B20B2">
        <w:fldChar w:fldCharType="begin"/>
      </w:r>
      <w:r w:rsidR="007B20B2">
        <w:instrText xml:space="preserve"> REF _Ref442004050 \r \h </w:instrText>
      </w:r>
      <w:r w:rsidR="007B20B2">
        <w:fldChar w:fldCharType="separate"/>
      </w:r>
      <w:r w:rsidR="00F03FA0">
        <w:t xml:space="preserve">Figure </w:t>
      </w:r>
      <w:proofErr w:type="spellStart"/>
      <w:r w:rsidR="00F03FA0">
        <w:t>F.2</w:t>
      </w:r>
      <w:proofErr w:type="spellEnd"/>
      <w:r w:rsidR="007B20B2">
        <w:fldChar w:fldCharType="end"/>
      </w:r>
      <w:r w:rsidRPr="004A6626">
        <w:t xml:space="preserve">. The five main stages in this adjustment process are </w:t>
      </w:r>
      <w:r>
        <w:t>illustrated</w:t>
      </w:r>
      <w:r w:rsidRPr="004A6626">
        <w:t xml:space="preserve"> in </w:t>
      </w:r>
      <w:r>
        <w:fldChar w:fldCharType="begin"/>
      </w:r>
      <w:r>
        <w:instrText xml:space="preserve"> REF _Ref442004050 \r \h </w:instrText>
      </w:r>
      <w:r>
        <w:fldChar w:fldCharType="separate"/>
      </w:r>
      <w:r w:rsidR="00F03FA0">
        <w:t xml:space="preserve">Figure </w:t>
      </w:r>
      <w:proofErr w:type="spellStart"/>
      <w:r w:rsidR="00F03FA0">
        <w:t>F.2</w:t>
      </w:r>
      <w:proofErr w:type="spellEnd"/>
      <w:r>
        <w:fldChar w:fldCharType="end"/>
      </w:r>
      <w:r>
        <w:t xml:space="preserve"> </w:t>
      </w:r>
      <w:r w:rsidRPr="004A6626">
        <w:t xml:space="preserve">below. </w:t>
      </w:r>
    </w:p>
    <w:p w14:paraId="08FFB585" w14:textId="77777777" w:rsidR="00E62540" w:rsidRPr="004A6626" w:rsidRDefault="00E62540" w:rsidP="00E74E03">
      <w:pPr>
        <w:pStyle w:val="AppendixFigureCaption"/>
      </w:pPr>
      <w:bookmarkStart w:id="433" w:name="_Ref442004050"/>
      <w:bookmarkStart w:id="434" w:name="_Toc450809303"/>
      <w:r w:rsidRPr="004A6626">
        <w:t>: Adjustment process</w:t>
      </w:r>
      <w:r>
        <w:t xml:space="preserve"> for the Input-Output modelling</w:t>
      </w:r>
      <w:bookmarkEnd w:id="433"/>
      <w:bookmarkEnd w:id="434"/>
    </w:p>
    <w:p w14:paraId="54E35574" w14:textId="77777777" w:rsidR="00E62540" w:rsidRPr="004A6626" w:rsidRDefault="00E62540" w:rsidP="00E62540">
      <w:pPr>
        <w:pStyle w:val="BodyText"/>
      </w:pPr>
      <w:r w:rsidRPr="003439C6">
        <w:rPr>
          <w:noProof/>
          <w:lang w:eastAsia="en-AU"/>
        </w:rPr>
        <w:drawing>
          <wp:inline distT="0" distB="0" distL="0" distR="0" wp14:anchorId="123DC06F" wp14:editId="3EB82AF1">
            <wp:extent cx="5219700" cy="1220391"/>
            <wp:effectExtent l="0" t="0" r="0" b="0"/>
            <wp:docPr id="5" name="Picture 5" descr="The figure shows the adjustment process for the Input-Output modelling." title="Figure F.2: Adjustment process for the Input-Output model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19700" cy="1220391"/>
                    </a:xfrm>
                    <a:prstGeom prst="rect">
                      <a:avLst/>
                    </a:prstGeom>
                    <a:noFill/>
                    <a:ln>
                      <a:noFill/>
                    </a:ln>
                  </pic:spPr>
                </pic:pic>
              </a:graphicData>
            </a:graphic>
          </wp:inline>
        </w:drawing>
      </w:r>
    </w:p>
    <w:p w14:paraId="30522E70" w14:textId="77777777" w:rsidR="00E62540" w:rsidRPr="004A6626" w:rsidRDefault="00E62540" w:rsidP="00163EA3">
      <w:pPr>
        <w:pStyle w:val="Source"/>
        <w:outlineLvl w:val="0"/>
      </w:pPr>
      <w:r w:rsidRPr="004A6626">
        <w:t>Source: Deloitte Access Economics</w:t>
      </w:r>
    </w:p>
    <w:p w14:paraId="5BCC5CB9" w14:textId="77777777" w:rsidR="00E62540" w:rsidRPr="004A6626" w:rsidRDefault="00E62540" w:rsidP="00E62540">
      <w:pPr>
        <w:spacing w:before="240"/>
        <w:jc w:val="both"/>
      </w:pPr>
      <w:r w:rsidRPr="004A6626">
        <w:t xml:space="preserve">The first stage involves </w:t>
      </w:r>
      <w:r>
        <w:t>breaking down</w:t>
      </w:r>
      <w:r w:rsidRPr="004A6626">
        <w:t xml:space="preserve"> aggregate tourism expenditure into different expenditure items such as airfares and accommodation. At the national level, information</w:t>
      </w:r>
      <w:r>
        <w:t xml:space="preserve"> on this breakdown is </w:t>
      </w:r>
      <w:r w:rsidRPr="004A6626">
        <w:t xml:space="preserve">provided by Tourism Research Australia.  </w:t>
      </w:r>
      <w:r>
        <w:t xml:space="preserve">At the state and territory level, no estimates of aggregate expenditure or expenditure by item are available. </w:t>
      </w:r>
      <w:r w:rsidRPr="004A6626">
        <w:t>Expenditure at the state</w:t>
      </w:r>
      <w:r>
        <w:t xml:space="preserve"> and territory</w:t>
      </w:r>
      <w:r w:rsidRPr="004A6626">
        <w:t xml:space="preserve"> level was estimated by </w:t>
      </w:r>
      <w:r>
        <w:t xml:space="preserve">applying expenditure by visitor night for each source country to number of visitor nights spent in each state and territory by source country. Expenditure by item was then estimated based on the relative share of total expenditure on each item by visitors from each source country. </w:t>
      </w:r>
    </w:p>
    <w:p w14:paraId="4A0DFD79" w14:textId="77777777" w:rsidR="00E62540" w:rsidRPr="004A6626" w:rsidRDefault="00E62540" w:rsidP="00E62540">
      <w:pPr>
        <w:spacing w:before="240"/>
        <w:jc w:val="both"/>
      </w:pPr>
      <w:r w:rsidRPr="004A6626">
        <w:t xml:space="preserve">In the second stage, </w:t>
      </w:r>
      <w:r>
        <w:t>e</w:t>
      </w:r>
      <w:r w:rsidRPr="004A6626">
        <w:t xml:space="preserve">xpenditure by item was mapped to the Tourism Product categories contained in the ABS Tourism Satellite Accounts based on a correspondence matrix developed by Deloitte Access Economics. </w:t>
      </w:r>
    </w:p>
    <w:p w14:paraId="15C1E3C0" w14:textId="77777777" w:rsidR="00E62540" w:rsidRDefault="00E62540" w:rsidP="00E62540">
      <w:pPr>
        <w:spacing w:before="240"/>
        <w:jc w:val="both"/>
      </w:pPr>
      <w:r w:rsidRPr="004A6626">
        <w:t xml:space="preserve">In the third stage, expenditure </w:t>
      </w:r>
      <w:r>
        <w:t>on recreational, cultural and sporting services</w:t>
      </w:r>
      <w:r w:rsidRPr="004A6626">
        <w:t xml:space="preserve"> w</w:t>
      </w:r>
      <w:r>
        <w:t>as</w:t>
      </w:r>
      <w:r w:rsidRPr="004A6626">
        <w:t xml:space="preserve"> adjusted upwards to account for non-market consumption based on ratios contained in the ABS Tourism Satellite Account (2014). </w:t>
      </w:r>
    </w:p>
    <w:p w14:paraId="4A4AF997" w14:textId="77777777" w:rsidR="00E62540" w:rsidRPr="004A6626" w:rsidRDefault="00E62540" w:rsidP="00E62540">
      <w:pPr>
        <w:spacing w:before="240"/>
        <w:jc w:val="both"/>
      </w:pPr>
      <w:r w:rsidRPr="004A6626">
        <w:lastRenderedPageBreak/>
        <w:t>Imputation is used by the ABS to adjust consumption by tourists for certain goods and services for which they do not make a payment such as non-market goods and services and goods and services provided by host family/friends including accommodation</w:t>
      </w:r>
      <w:r>
        <w:t xml:space="preserve">. </w:t>
      </w:r>
      <w:r w:rsidRPr="004A6626">
        <w:t xml:space="preserve">However, in this context it is possible that some imputed expenditure associated with a visitor’s host family or friends may be captured elsewhere in the expenditure of international students themselves. For this reason, </w:t>
      </w:r>
      <w:r>
        <w:t>only</w:t>
      </w:r>
      <w:r w:rsidRPr="004A6626">
        <w:t xml:space="preserve"> imputed expenditure ratios for recreational, cultural and sporting services </w:t>
      </w:r>
      <w:r>
        <w:t xml:space="preserve">are included </w:t>
      </w:r>
      <w:r w:rsidRPr="004A6626">
        <w:t xml:space="preserve">here since expenditure on these items are likely to reflect expenditure on non-market goods and services. </w:t>
      </w:r>
    </w:p>
    <w:p w14:paraId="39560294" w14:textId="77777777" w:rsidR="00E62540" w:rsidRPr="004A6626" w:rsidRDefault="00E62540" w:rsidP="00E62540">
      <w:pPr>
        <w:spacing w:before="240"/>
        <w:jc w:val="both"/>
      </w:pPr>
      <w:r w:rsidRPr="004A6626">
        <w:t>In the fourth stage, expenditure by tourism product category was adjusted downward to convert purchaser prices to basic prices, by excluding net taxes on products. This reduced the total level of expenditure to $</w:t>
      </w:r>
      <w:r>
        <w:t>252.6 million</w:t>
      </w:r>
      <w:r w:rsidRPr="004A6626">
        <w:t xml:space="preserve">. </w:t>
      </w:r>
    </w:p>
    <w:p w14:paraId="33ADB0BF" w14:textId="33E4D04C" w:rsidR="00E62540" w:rsidRPr="004A6626" w:rsidRDefault="00E62540" w:rsidP="00E62540">
      <w:pPr>
        <w:spacing w:before="240"/>
        <w:jc w:val="both"/>
      </w:pPr>
      <w:r w:rsidRPr="004A6626">
        <w:t xml:space="preserve">In the final stage, estimates of consumption by tourism product category by </w:t>
      </w:r>
      <w:r>
        <w:t>state and territory</w:t>
      </w:r>
      <w:r w:rsidRPr="004A6626">
        <w:t xml:space="preserve"> were allocated to the most appropriate Input-Output category in the ABS Input-Output Tables (</w:t>
      </w:r>
      <w:proofErr w:type="spellStart"/>
      <w:r w:rsidRPr="004A6626">
        <w:t>2015</w:t>
      </w:r>
      <w:r w:rsidR="009C0383">
        <w:t>b</w:t>
      </w:r>
      <w:proofErr w:type="spellEnd"/>
      <w:r w:rsidRPr="004A6626">
        <w:t xml:space="preserve">). This tourism consumption was then used in the Deloitte Access Economics Regional Input-Output model to estimate the impact expenditure by those visiting international students in Australia on value added and employment at a national and state level. </w:t>
      </w:r>
    </w:p>
    <w:p w14:paraId="29626615" w14:textId="77777777" w:rsidR="00E62540" w:rsidRPr="00E62540" w:rsidRDefault="00E62540" w:rsidP="00E74E03"/>
    <w:p w14:paraId="3EF2ED2D" w14:textId="77777777" w:rsidR="00E62540" w:rsidRDefault="00E62540" w:rsidP="00E74E03">
      <w:pPr>
        <w:pStyle w:val="TableNote"/>
        <w:keepNext/>
        <w:keepLines/>
        <w:contextualSpacing/>
        <w:jc w:val="left"/>
        <w:sectPr w:rsidR="00E62540" w:rsidSect="00FB224E">
          <w:headerReference w:type="even" r:id="rId61"/>
          <w:headerReference w:type="default" r:id="rId62"/>
          <w:footerReference w:type="even" r:id="rId63"/>
          <w:footerReference w:type="default" r:id="rId64"/>
          <w:headerReference w:type="first" r:id="rId65"/>
          <w:footerReference w:type="first" r:id="rId66"/>
          <w:pgSz w:w="11906" w:h="16838" w:code="9"/>
          <w:pgMar w:top="2268" w:right="1134" w:bottom="1134" w:left="2552" w:header="720" w:footer="720" w:gutter="0"/>
          <w:pgNumType w:start="0"/>
          <w:cols w:space="720"/>
          <w:docGrid w:linePitch="360"/>
        </w:sectPr>
      </w:pPr>
    </w:p>
    <w:p w14:paraId="08819E02" w14:textId="4F5CD51C" w:rsidR="006B29A4" w:rsidRPr="006345F9" w:rsidRDefault="006B29A4" w:rsidP="006B29A4">
      <w:pPr>
        <w:pStyle w:val="BSubheading-Bluedk"/>
        <w:rPr>
          <w:rFonts w:ascii="Calibri" w:hAnsi="Calibri"/>
          <w:sz w:val="44"/>
        </w:rPr>
      </w:pPr>
      <w:bookmarkStart w:id="435" w:name="_Toc288029464"/>
      <w:bookmarkStart w:id="436" w:name="_Toc288198028"/>
      <w:bookmarkStart w:id="437" w:name="_Toc450809263"/>
      <w:r w:rsidRPr="006345F9">
        <w:rPr>
          <w:rFonts w:ascii="Calibri" w:hAnsi="Calibri"/>
          <w:sz w:val="44"/>
        </w:rPr>
        <w:lastRenderedPageBreak/>
        <w:t>Limitation of our work</w:t>
      </w:r>
      <w:bookmarkEnd w:id="435"/>
      <w:bookmarkEnd w:id="436"/>
      <w:r w:rsidR="00B52BB1">
        <w:rPr>
          <w:rFonts w:ascii="Calibri" w:hAnsi="Calibri"/>
          <w:sz w:val="44"/>
        </w:rPr>
        <w:t xml:space="preserve"> (Deloitte Access Economics)</w:t>
      </w:r>
      <w:bookmarkEnd w:id="437"/>
    </w:p>
    <w:p w14:paraId="6F977137" w14:textId="77777777" w:rsidR="006B29A4" w:rsidRDefault="006B29A4" w:rsidP="00163EA3">
      <w:pPr>
        <w:pStyle w:val="HeadingB"/>
        <w:spacing w:after="240"/>
        <w:outlineLvl w:val="0"/>
      </w:pPr>
      <w:r w:rsidRPr="006345F9">
        <w:t>General use restriction</w:t>
      </w:r>
    </w:p>
    <w:p w14:paraId="51357166" w14:textId="6FBA3EAF" w:rsidR="006B29A4" w:rsidRPr="004812BE" w:rsidRDefault="00065970" w:rsidP="00465110">
      <w:pPr>
        <w:pStyle w:val="Bodycopy"/>
        <w:jc w:val="left"/>
        <w:rPr>
          <w:rFonts w:asciiTheme="minorHAnsi" w:hAnsiTheme="minorHAnsi"/>
          <w:sz w:val="22"/>
          <w:szCs w:val="22"/>
        </w:rPr>
        <w:sectPr w:rsidR="006B29A4" w:rsidRPr="004812BE" w:rsidSect="001C6442">
          <w:headerReference w:type="even" r:id="rId67"/>
          <w:headerReference w:type="default" r:id="rId68"/>
          <w:headerReference w:type="first" r:id="rId69"/>
          <w:footerReference w:type="first" r:id="rId70"/>
          <w:pgSz w:w="11907" w:h="16840" w:code="9"/>
          <w:pgMar w:top="2268" w:right="1134" w:bottom="1134" w:left="2552" w:header="567" w:footer="567" w:gutter="0"/>
          <w:cols w:space="708"/>
          <w:titlePg/>
          <w:docGrid w:linePitch="360"/>
        </w:sectPr>
      </w:pPr>
      <w:r w:rsidRPr="00065970">
        <w:rPr>
          <w:rFonts w:asciiTheme="minorHAnsi" w:hAnsiTheme="minorHAnsi"/>
          <w:sz w:val="22"/>
          <w:szCs w:val="22"/>
        </w:rPr>
        <w:t xml:space="preserve">This report </w:t>
      </w:r>
      <w:r w:rsidR="00B52BB1">
        <w:rPr>
          <w:rFonts w:asciiTheme="minorHAnsi" w:hAnsiTheme="minorHAnsi"/>
          <w:sz w:val="22"/>
          <w:szCs w:val="22"/>
        </w:rPr>
        <w:t>has been</w:t>
      </w:r>
      <w:r w:rsidRPr="00065970">
        <w:rPr>
          <w:rFonts w:asciiTheme="minorHAnsi" w:hAnsiTheme="minorHAnsi"/>
          <w:sz w:val="22"/>
          <w:szCs w:val="22"/>
        </w:rPr>
        <w:t xml:space="preserve"> prepared solely for the use of the</w:t>
      </w:r>
      <w:r w:rsidR="005C6A9F">
        <w:rPr>
          <w:rFonts w:asciiTheme="minorHAnsi" w:hAnsiTheme="minorHAnsi"/>
          <w:sz w:val="22"/>
          <w:szCs w:val="22"/>
        </w:rPr>
        <w:t xml:space="preserve"> Australian Government</w:t>
      </w:r>
      <w:r w:rsidRPr="00065970">
        <w:rPr>
          <w:rFonts w:asciiTheme="minorHAnsi" w:hAnsiTheme="minorHAnsi"/>
          <w:sz w:val="22"/>
          <w:szCs w:val="22"/>
        </w:rPr>
        <w:t xml:space="preserve"> Department of Education and Training.  This report is not intended to and should not be used or relied upon by anyone else and we accept no duty of care to any other person or entity.  The report has been prepared for the pu</w:t>
      </w:r>
      <w:r w:rsidR="00465110">
        <w:rPr>
          <w:rFonts w:asciiTheme="minorHAnsi" w:hAnsiTheme="minorHAnsi"/>
          <w:sz w:val="22"/>
          <w:szCs w:val="22"/>
        </w:rPr>
        <w:t xml:space="preserve">rpose of analysing the value of </w:t>
      </w:r>
      <w:r w:rsidR="0075149A">
        <w:rPr>
          <w:rFonts w:asciiTheme="minorHAnsi" w:hAnsiTheme="minorHAnsi"/>
          <w:sz w:val="22"/>
          <w:szCs w:val="22"/>
        </w:rPr>
        <w:t>I</w:t>
      </w:r>
      <w:r w:rsidRPr="00065970">
        <w:rPr>
          <w:rFonts w:asciiTheme="minorHAnsi" w:hAnsiTheme="minorHAnsi"/>
          <w:sz w:val="22"/>
          <w:szCs w:val="22"/>
        </w:rPr>
        <w:t xml:space="preserve">nternational </w:t>
      </w:r>
      <w:r w:rsidR="0075149A">
        <w:rPr>
          <w:rFonts w:asciiTheme="minorHAnsi" w:hAnsiTheme="minorHAnsi"/>
          <w:sz w:val="22"/>
          <w:szCs w:val="22"/>
        </w:rPr>
        <w:t>E</w:t>
      </w:r>
      <w:r w:rsidRPr="00065970">
        <w:rPr>
          <w:rFonts w:asciiTheme="minorHAnsi" w:hAnsiTheme="minorHAnsi"/>
          <w:sz w:val="22"/>
          <w:szCs w:val="22"/>
        </w:rPr>
        <w:t>ducation to Australia.  You should not refer to or use our name or t</w:t>
      </w:r>
      <w:r w:rsidR="004812BE">
        <w:rPr>
          <w:rFonts w:asciiTheme="minorHAnsi" w:hAnsiTheme="minorHAnsi"/>
          <w:sz w:val="22"/>
          <w:szCs w:val="22"/>
        </w:rPr>
        <w:t>he advice for any other purpos</w:t>
      </w:r>
      <w:r w:rsidR="005334A6">
        <w:rPr>
          <w:rFonts w:asciiTheme="minorHAnsi" w:hAnsiTheme="minorHAnsi"/>
          <w:sz w:val="22"/>
          <w:szCs w:val="22"/>
        </w:rPr>
        <w:t>e.</w:t>
      </w:r>
    </w:p>
    <w:p w14:paraId="0A4C2A47" w14:textId="77777777" w:rsidR="006B29A4" w:rsidRDefault="006B29A4" w:rsidP="006B29A4">
      <w:pPr>
        <w:pStyle w:val="DBody"/>
        <w:rPr>
          <w:b/>
          <w:color w:val="00A1DE" w:themeColor="accent2"/>
          <w:sz w:val="24"/>
          <w:lang w:val="en-AU"/>
        </w:rPr>
        <w:sectPr w:rsidR="006B29A4" w:rsidSect="001C6442">
          <w:headerReference w:type="even" r:id="rId71"/>
          <w:headerReference w:type="default" r:id="rId72"/>
          <w:headerReference w:type="first" r:id="rId73"/>
          <w:type w:val="continuous"/>
          <w:pgSz w:w="11907" w:h="16840" w:code="9"/>
          <w:pgMar w:top="6345" w:right="1134" w:bottom="567" w:left="1134" w:header="567" w:footer="500" w:gutter="0"/>
          <w:cols w:num="2" w:space="708"/>
          <w:docGrid w:linePitch="360"/>
        </w:sectPr>
      </w:pPr>
    </w:p>
    <w:p w14:paraId="44F2A8F5" w14:textId="77777777" w:rsidR="006B29A4" w:rsidRPr="00471F42" w:rsidRDefault="006B29A4">
      <w:pPr>
        <w:rPr>
          <w:sz w:val="18"/>
          <w:szCs w:val="18"/>
        </w:rPr>
      </w:pPr>
    </w:p>
    <w:sectPr w:rsidR="006B29A4" w:rsidRPr="00471F42" w:rsidSect="006B29A4">
      <w:headerReference w:type="even" r:id="rId74"/>
      <w:headerReference w:type="default" r:id="rId75"/>
      <w:footerReference w:type="default" r:id="rId76"/>
      <w:headerReference w:type="first" r:id="rId77"/>
      <w:pgSz w:w="11906" w:h="16838" w:code="9"/>
      <w:pgMar w:top="2268" w:right="1134" w:bottom="1134" w:left="2552" w:header="720" w:footer="720" w:gutter="0"/>
      <w:pgNumType w:start="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DECA3" w14:textId="77777777" w:rsidR="00A4167A" w:rsidRDefault="00A4167A" w:rsidP="00680968">
      <w:pPr>
        <w:pStyle w:val="Tabletotals"/>
      </w:pPr>
      <w:r>
        <w:separator/>
      </w:r>
    </w:p>
  </w:endnote>
  <w:endnote w:type="continuationSeparator" w:id="0">
    <w:p w14:paraId="0906EC3E" w14:textId="77777777" w:rsidR="00A4167A" w:rsidRDefault="00A4167A" w:rsidP="00680968">
      <w:pPr>
        <w:pStyle w:val="Tabletotals"/>
      </w:pPr>
      <w:r>
        <w:continuationSeparator/>
      </w:r>
    </w:p>
  </w:endnote>
  <w:endnote w:type="continuationNotice" w:id="1">
    <w:p w14:paraId="7B1912CD" w14:textId="77777777" w:rsidR="00A4167A" w:rsidRDefault="00A416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embedRegular r:id="rId1" w:fontKey="{BDB56692-F3B1-485B-A0C0-7CBB3A7FD502}"/>
    <w:embedBold r:id="rId2" w:fontKey="{AC831184-AEFB-44FF-9D98-089862BCC8DA}"/>
    <w:embedItalic r:id="rId3" w:fontKey="{7A9540B1-312F-488E-9714-81205166DC29}"/>
    <w:embedBoldItalic r:id="rId4" w:fontKey="{81A24719-6887-4415-8006-728A33E4A114}"/>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auto"/>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Swis721 Md BT">
    <w:altName w:val="Arial"/>
    <w:charset w:val="00"/>
    <w:family w:val="swiss"/>
    <w:pitch w:val="variable"/>
    <w:sig w:usb0="00000087" w:usb1="00000000" w:usb2="00000000" w:usb3="00000000" w:csb0="0000001B" w:csb1="00000000"/>
  </w:font>
  <w:font w:name="Swis721 LtCn BT">
    <w:altName w:val="Arial Narrow"/>
    <w:charset w:val="00"/>
    <w:family w:val="swiss"/>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NeueLTStd-Lt">
    <w:altName w:val="HelveticaNeueLT Std L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Univers 45 Light">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5B01C" w14:textId="77777777" w:rsidR="00163EA3" w:rsidRDefault="00163EA3" w:rsidP="003E4A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AA7561" w14:textId="77777777" w:rsidR="00163EA3" w:rsidRDefault="00163EA3" w:rsidP="00D72A59">
    <w:pPr>
      <w:pStyle w:val="Footer"/>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6521" w:type="dxa"/>
      <w:shd w:val="clear" w:color="auto" w:fill="931638"/>
      <w:tblLook w:val="01E0" w:firstRow="1" w:lastRow="1" w:firstColumn="1" w:lastColumn="1" w:noHBand="0" w:noVBand="0"/>
    </w:tblPr>
    <w:tblGrid>
      <w:gridCol w:w="260"/>
      <w:gridCol w:w="1655"/>
    </w:tblGrid>
    <w:tr w:rsidR="00A4167A" w14:paraId="06B94941" w14:textId="77777777">
      <w:trPr>
        <w:trHeight w:hRule="exact" w:val="284"/>
      </w:trPr>
      <w:tc>
        <w:tcPr>
          <w:tcW w:w="284" w:type="dxa"/>
          <w:shd w:val="clear" w:color="auto" w:fill="827F77"/>
        </w:tcPr>
        <w:p w14:paraId="612FCB1C" w14:textId="77777777" w:rsidR="00A4167A" w:rsidRDefault="00A4167A" w:rsidP="0062411D"/>
      </w:tc>
      <w:tc>
        <w:tcPr>
          <w:tcW w:w="2552" w:type="dxa"/>
          <w:shd w:val="clear" w:color="auto" w:fill="931638"/>
          <w:vAlign w:val="center"/>
        </w:tcPr>
        <w:p w14:paraId="018FDA60" w14:textId="77777777" w:rsidR="00A4167A" w:rsidRDefault="00A4167A" w:rsidP="0062411D"/>
      </w:tc>
    </w:tr>
  </w:tbl>
  <w:p w14:paraId="0D3BF4D2" w14:textId="77777777" w:rsidR="00A4167A" w:rsidRPr="00D435D3" w:rsidRDefault="00A4167A" w:rsidP="0062411D">
    <w:pPr>
      <w:jc w:val="both"/>
    </w:pPr>
    <w:r>
      <w:rPr>
        <w:noProof/>
        <w:lang w:eastAsia="en-AU"/>
      </w:rPr>
      <w:drawing>
        <wp:anchor distT="0" distB="0" distL="114300" distR="114300" simplePos="0" relativeHeight="251681280" behindDoc="0" locked="0" layoutInCell="1" allowOverlap="1" wp14:anchorId="788A1B43" wp14:editId="6544DDBC">
          <wp:simplePos x="0" y="0"/>
          <wp:positionH relativeFrom="column">
            <wp:posOffset>14605</wp:posOffset>
          </wp:positionH>
          <wp:positionV relativeFrom="paragraph">
            <wp:posOffset>-180340</wp:posOffset>
          </wp:positionV>
          <wp:extent cx="655320" cy="179705"/>
          <wp:effectExtent l="19050" t="0" r="0" b="0"/>
          <wp:wrapNone/>
          <wp:docPr id="3" name="Picture 2" descr="AE ID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 ID Title"/>
                  <pic:cNvPicPr>
                    <a:picLocks noChangeAspect="1" noChangeArrowheads="1"/>
                  </pic:cNvPicPr>
                </pic:nvPicPr>
                <pic:blipFill>
                  <a:blip r:embed="rId1"/>
                  <a:srcRect/>
                  <a:stretch>
                    <a:fillRect/>
                  </a:stretch>
                </pic:blipFill>
                <pic:spPr bwMode="auto">
                  <a:xfrm>
                    <a:off x="0" y="0"/>
                    <a:ext cx="655320" cy="179705"/>
                  </a:xfrm>
                  <a:prstGeom prst="rect">
                    <a:avLst/>
                  </a:prstGeom>
                  <a:noFill/>
                  <a:ln w="9525">
                    <a:noFill/>
                    <a:miter lim="800000"/>
                    <a:headEnd/>
                    <a:tailEnd/>
                  </a:ln>
                </pic:spPr>
              </pic:pic>
            </a:graphicData>
          </a:graphic>
        </wp:anchor>
      </w:drawing>
    </w:r>
    <w:r>
      <w:t>Disclaimer</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F10A2" w14:textId="77777777" w:rsidR="0087626A" w:rsidRDefault="0087626A" w:rsidP="003E4A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4524">
      <w:rPr>
        <w:rStyle w:val="PageNumber"/>
        <w:noProof/>
      </w:rPr>
      <w:t>80</w:t>
    </w:r>
    <w:r>
      <w:rPr>
        <w:rStyle w:val="PageNumber"/>
      </w:rPr>
      <w:fldChar w:fldCharType="end"/>
    </w:r>
  </w:p>
  <w:p w14:paraId="7750FF79" w14:textId="77777777" w:rsidR="00A4167A" w:rsidRPr="006345F9" w:rsidRDefault="00A4167A" w:rsidP="00D72A59">
    <w:pPr>
      <w:pStyle w:val="Footer"/>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A8EE8" w14:textId="77777777" w:rsidR="00A4167A" w:rsidRPr="006B29A4" w:rsidRDefault="00A4167A" w:rsidP="006B29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727D5" w14:textId="77777777" w:rsidR="00C222A5" w:rsidRDefault="00C222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21AD9" w14:textId="77777777" w:rsidR="00C222A5" w:rsidRDefault="00C222A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1EDB2" w14:textId="77777777" w:rsidR="00163EA3" w:rsidRDefault="00163EA3" w:rsidP="003E4A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4524">
      <w:rPr>
        <w:rStyle w:val="PageNumber"/>
        <w:noProof/>
      </w:rPr>
      <w:t>iii</w:t>
    </w:r>
    <w:r>
      <w:rPr>
        <w:rStyle w:val="PageNumber"/>
      </w:rPr>
      <w:fldChar w:fldCharType="end"/>
    </w:r>
  </w:p>
  <w:p w14:paraId="344A276C" w14:textId="77777777" w:rsidR="00A4167A" w:rsidRPr="009C2BE6" w:rsidRDefault="00A4167A" w:rsidP="00D72A59">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8C71F" w14:textId="0BE849D5" w:rsidR="00A4167A" w:rsidRPr="00ED79CD" w:rsidRDefault="00A4167A" w:rsidP="00D52DE2">
    <w:pPr>
      <w:rPr>
        <w:sz w:val="16"/>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3053F" w14:textId="77777777" w:rsidR="00163EA3" w:rsidRDefault="00163EA3" w:rsidP="003E4A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4524">
      <w:rPr>
        <w:rStyle w:val="PageNumber"/>
        <w:noProof/>
      </w:rPr>
      <w:t>vi</w:t>
    </w:r>
    <w:r>
      <w:rPr>
        <w:rStyle w:val="PageNumber"/>
      </w:rPr>
      <w:fldChar w:fldCharType="end"/>
    </w:r>
  </w:p>
  <w:p w14:paraId="7C5A9334" w14:textId="77777777" w:rsidR="00A4167A" w:rsidRPr="009C2BE6" w:rsidRDefault="00A4167A" w:rsidP="00D72A59">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48C89" w14:textId="66E12874" w:rsidR="00A4167A" w:rsidRDefault="00A4167A" w:rsidP="00FC0FA3">
    <w:pPr>
      <w:pStyle w:val="Footer"/>
      <w:jc w:val="right"/>
      <w:rPr>
        <w:noProof/>
      </w:rPr>
    </w:pPr>
    <w:r>
      <w:fldChar w:fldCharType="begin"/>
    </w:r>
    <w:r>
      <w:instrText xml:space="preserve"> PAGE   \* MERGEFORMAT </w:instrText>
    </w:r>
    <w:r>
      <w:fldChar w:fldCharType="separate"/>
    </w:r>
    <w:r w:rsidR="00C54524">
      <w:rPr>
        <w:noProof/>
      </w:rPr>
      <w:t>1</w:t>
    </w:r>
    <w:r>
      <w:rPr>
        <w:noProof/>
      </w:rPr>
      <w:fldChar w:fldCharType="end"/>
    </w:r>
  </w:p>
  <w:p w14:paraId="0BC02DB6" w14:textId="77777777" w:rsidR="00A4167A" w:rsidRPr="009C2BE6" w:rsidRDefault="00A4167A" w:rsidP="009C2BE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99E58" w14:textId="77777777" w:rsidR="00A4167A" w:rsidRDefault="00A4167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DF3D8" w14:textId="66D9E2D9" w:rsidR="00A4167A" w:rsidRDefault="00A4167A" w:rsidP="00BE3B64">
    <w:pPr>
      <w:pStyle w:val="Footer"/>
      <w:jc w:val="right"/>
    </w:pPr>
    <w:r>
      <w:fldChar w:fldCharType="begin"/>
    </w:r>
    <w:r>
      <w:instrText xml:space="preserve"> PAGE   \* MERGEFORMAT </w:instrText>
    </w:r>
    <w:r>
      <w:fldChar w:fldCharType="separate"/>
    </w:r>
    <w:r w:rsidR="00C54524">
      <w:rPr>
        <w:noProof/>
      </w:rPr>
      <w:t>3</w:t>
    </w:r>
    <w:r>
      <w:rPr>
        <w:noProof/>
      </w:rPr>
      <w:fldChar w:fldCharType="end"/>
    </w:r>
  </w:p>
  <w:p w14:paraId="06608FF2" w14:textId="4FE09093" w:rsidR="00A4167A" w:rsidRPr="00BE3B64" w:rsidRDefault="00A4167A" w:rsidP="00BE3B64">
    <w:pPr>
      <w:pStyle w:val="FooterLine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81B50F" w14:textId="77777777" w:rsidR="00A4167A" w:rsidRDefault="00A4167A" w:rsidP="00680968">
      <w:pPr>
        <w:pStyle w:val="Tabletotals"/>
      </w:pPr>
      <w:r>
        <w:separator/>
      </w:r>
    </w:p>
  </w:footnote>
  <w:footnote w:type="continuationSeparator" w:id="0">
    <w:p w14:paraId="35100E15" w14:textId="77777777" w:rsidR="00A4167A" w:rsidRDefault="00A4167A" w:rsidP="00680968">
      <w:pPr>
        <w:pStyle w:val="Tabletotals"/>
      </w:pPr>
      <w:r>
        <w:continuationSeparator/>
      </w:r>
    </w:p>
  </w:footnote>
  <w:footnote w:type="continuationNotice" w:id="1">
    <w:p w14:paraId="46ED006D" w14:textId="77777777" w:rsidR="00A4167A" w:rsidRDefault="00A4167A"/>
  </w:footnote>
  <w:footnote w:id="2">
    <w:p w14:paraId="2C48A2F6" w14:textId="77777777" w:rsidR="00A4167A" w:rsidRDefault="00A4167A" w:rsidP="00705599">
      <w:pPr>
        <w:pStyle w:val="FootnoteText"/>
        <w:tabs>
          <w:tab w:val="left" w:pos="7179"/>
        </w:tabs>
      </w:pPr>
      <w:r>
        <w:rPr>
          <w:rStyle w:val="FootnoteReference"/>
        </w:rPr>
        <w:footnoteRef/>
      </w:r>
      <w:r>
        <w:t xml:space="preserve"> This enrolment figure only includes ELICOS students on student visas. </w:t>
      </w:r>
      <w:r>
        <w:tab/>
      </w:r>
    </w:p>
  </w:footnote>
  <w:footnote w:id="3">
    <w:p w14:paraId="79A076AE" w14:textId="77777777" w:rsidR="00A4167A" w:rsidRDefault="00A4167A" w:rsidP="00705599">
      <w:pPr>
        <w:pStyle w:val="FootnoteText"/>
      </w:pPr>
      <w:r>
        <w:rPr>
          <w:rStyle w:val="FootnoteReference"/>
        </w:rPr>
        <w:footnoteRef/>
      </w:r>
      <w:r>
        <w:t xml:space="preserve"> The survey reports </w:t>
      </w:r>
      <w:r w:rsidRPr="002A2826">
        <w:rPr>
          <w:i/>
        </w:rPr>
        <w:t>student</w:t>
      </w:r>
      <w:r>
        <w:t xml:space="preserve"> </w:t>
      </w:r>
      <w:r w:rsidRPr="002A2826">
        <w:rPr>
          <w:i/>
        </w:rPr>
        <w:t>enrolments</w:t>
      </w:r>
      <w:r>
        <w:t xml:space="preserve"> and not </w:t>
      </w:r>
      <w:r w:rsidRPr="002A2826">
        <w:rPr>
          <w:i/>
        </w:rPr>
        <w:t>student numbers</w:t>
      </w:r>
      <w:r>
        <w:t xml:space="preserve">. For instance, if SV students study for comparatively longer periods of time compared to NSV counterparts and enrol in multiple courses, it may be the case that NSV </w:t>
      </w:r>
      <w:r w:rsidRPr="003B260D">
        <w:rPr>
          <w:i/>
        </w:rPr>
        <w:t>students</w:t>
      </w:r>
      <w:r>
        <w:t xml:space="preserve"> make up a higher proportion of total ELICOS students than suggested by the enrolment data.  </w:t>
      </w:r>
    </w:p>
  </w:footnote>
  <w:footnote w:id="4">
    <w:p w14:paraId="1BF5DDB6" w14:textId="77777777" w:rsidR="00A4167A" w:rsidRDefault="00A4167A" w:rsidP="00E74E03">
      <w:pPr>
        <w:pStyle w:val="BodyText"/>
      </w:pPr>
      <w:r>
        <w:rPr>
          <w:rStyle w:val="FootnoteReference"/>
        </w:rPr>
        <w:footnoteRef/>
      </w:r>
      <w:r>
        <w:t xml:space="preserve"> </w:t>
      </w:r>
      <w:r w:rsidRPr="00E74E03">
        <w:rPr>
          <w:sz w:val="18"/>
          <w:szCs w:val="18"/>
        </w:rPr>
        <w:t>All</w:t>
      </w:r>
      <w:r>
        <w:t xml:space="preserve"> </w:t>
      </w:r>
      <w:r w:rsidRPr="00E74E03">
        <w:rPr>
          <w:sz w:val="18"/>
          <w:szCs w:val="18"/>
        </w:rPr>
        <w:t xml:space="preserve">living expenses during the study period for NSV students </w:t>
      </w:r>
      <w:r>
        <w:rPr>
          <w:sz w:val="18"/>
          <w:szCs w:val="18"/>
        </w:rPr>
        <w:t xml:space="preserve">are </w:t>
      </w:r>
      <w:r w:rsidRPr="00E74E03">
        <w:rPr>
          <w:sz w:val="18"/>
          <w:szCs w:val="18"/>
        </w:rPr>
        <w:t xml:space="preserve">attributed to the international education sector. </w:t>
      </w:r>
      <w:r>
        <w:rPr>
          <w:sz w:val="18"/>
          <w:szCs w:val="18"/>
        </w:rPr>
        <w:t>T</w:t>
      </w:r>
      <w:r w:rsidRPr="00E74E03">
        <w:rPr>
          <w:sz w:val="18"/>
          <w:szCs w:val="18"/>
        </w:rPr>
        <w:t>his is a simplifying assumption, and can be thought of as an upper-bound on the goods and services export revenue attributable to NSV ELICOS students. For instance, for a student who is primarily in Australia for sightseeing, it might not be appropriate to attribute their entire living expenses during their study period to the international education sector.</w:t>
      </w:r>
    </w:p>
  </w:footnote>
  <w:footnote w:id="5">
    <w:p w14:paraId="42474331" w14:textId="77777777" w:rsidR="00A4167A" w:rsidRDefault="00A4167A">
      <w:pPr>
        <w:pStyle w:val="FootnoteText"/>
      </w:pPr>
      <w:r>
        <w:rPr>
          <w:rStyle w:val="FootnoteReference"/>
        </w:rPr>
        <w:footnoteRef/>
      </w:r>
      <w:r>
        <w:t xml:space="preserve"> The five states and territories were New South Wales, Victoria, South Australia, Tasmania, and Australian Capital Territory.</w:t>
      </w:r>
    </w:p>
  </w:footnote>
  <w:footnote w:id="6">
    <w:p w14:paraId="42E991DB" w14:textId="77777777" w:rsidR="00A4167A" w:rsidRDefault="00A4167A" w:rsidP="00823123">
      <w:pPr>
        <w:pStyle w:val="FootnoteText"/>
      </w:pPr>
      <w:r>
        <w:rPr>
          <w:rStyle w:val="FootnoteReference"/>
        </w:rPr>
        <w:footnoteRef/>
      </w:r>
      <w:r>
        <w:t xml:space="preserve"> </w:t>
      </w:r>
      <w:r w:rsidRPr="006E15A5">
        <w:t>It should be noted that the non-TAFE enrolment component of this figure is likely an underestimate of the total offshore VET activity due to the reporting exemptions provided to some private VET providers as part of the first year of data collection for the NCVER’s TVA initiative. However, the public TAFE enrolment figure for 2013 may be an overestimate for 2014 due to a trend in declining enrolments in recent years.</w:t>
      </w:r>
    </w:p>
  </w:footnote>
  <w:footnote w:id="7">
    <w:p w14:paraId="158D5D59" w14:textId="77777777" w:rsidR="00A4167A" w:rsidRDefault="00A4167A" w:rsidP="00823123">
      <w:pPr>
        <w:pStyle w:val="FootnoteText"/>
      </w:pPr>
      <w:r>
        <w:rPr>
          <w:rStyle w:val="FootnoteReference"/>
        </w:rPr>
        <w:footnoteRef/>
      </w:r>
      <w:r>
        <w:t xml:space="preserve"> </w:t>
      </w:r>
      <w:r>
        <w:rPr>
          <w:lang w:eastAsia="en-AU"/>
        </w:rPr>
        <w:t>This figure is likely to include revenue from students studying online. It should also be noted that this figure does not include non-student revenue (i.e. research and consultancy revenue) and that there may be other offshore entities owned by universities which may not have been identified in the annual reports of universities in 2014. Further, some non-university higher education providers may also have offshore facilities. As such, this total figure may represent an underestimate of the total revenue earned through offshore international education (mode 3) delivered by Australian higher education providers.</w:t>
      </w:r>
    </w:p>
  </w:footnote>
  <w:footnote w:id="8">
    <w:p w14:paraId="6B42CA30" w14:textId="77777777" w:rsidR="00A4167A" w:rsidRDefault="00A4167A" w:rsidP="00274309">
      <w:pPr>
        <w:pStyle w:val="FootnoteText"/>
      </w:pPr>
      <w:r>
        <w:rPr>
          <w:rStyle w:val="FootnoteReference"/>
        </w:rPr>
        <w:footnoteRef/>
      </w:r>
      <w:r>
        <w:t xml:space="preserve"> ABS catalogue 5209.0.55.001 Australian National Accounts: Input-Output Tables, 2012-13.</w:t>
      </w:r>
    </w:p>
  </w:footnote>
  <w:footnote w:id="9">
    <w:p w14:paraId="7C538FBD" w14:textId="77777777" w:rsidR="00A4167A" w:rsidRDefault="00A4167A" w:rsidP="00F86B13">
      <w:pPr>
        <w:pStyle w:val="FootnoteText"/>
      </w:pPr>
      <w:r>
        <w:rPr>
          <w:rStyle w:val="FootnoteReference"/>
        </w:rPr>
        <w:footnoteRef/>
      </w:r>
      <w:r>
        <w:t xml:space="preserve"> Also defined as ‘earnings before interest, tax, depreciations and amortization’ (EBITDA)</w:t>
      </w:r>
    </w:p>
  </w:footnote>
  <w:footnote w:id="10">
    <w:p w14:paraId="2CBE530D" w14:textId="77777777" w:rsidR="00A4167A" w:rsidRDefault="00A4167A" w:rsidP="00F86B13">
      <w:pPr>
        <w:pStyle w:val="FootnoteText"/>
      </w:pPr>
      <w:r>
        <w:rPr>
          <w:rStyle w:val="FootnoteReference"/>
        </w:rPr>
        <w:footnoteRef/>
      </w:r>
      <w:r>
        <w:t xml:space="preserve"> New Zealand and </w:t>
      </w:r>
      <w:proofErr w:type="spellStart"/>
      <w:r>
        <w:t>AusAid</w:t>
      </w:r>
      <w:proofErr w:type="spellEnd"/>
      <w:r>
        <w:t>/Defence student expenditure on fees and goods and services have been excluded.</w:t>
      </w:r>
    </w:p>
  </w:footnote>
  <w:footnote w:id="11">
    <w:p w14:paraId="1C84EA46" w14:textId="77777777" w:rsidR="00A4167A" w:rsidRDefault="00A4167A" w:rsidP="00F86B13">
      <w:pPr>
        <w:pStyle w:val="FootnoteText"/>
      </w:pPr>
      <w:r>
        <w:rPr>
          <w:rStyle w:val="FootnoteReference"/>
        </w:rPr>
        <w:footnoteRef/>
      </w:r>
      <w:r>
        <w:t xml:space="preserve"> The $9.3 billion includes total revenue from modes 1 and 4, and the </w:t>
      </w:r>
      <w:r w:rsidRPr="003B260D">
        <w:rPr>
          <w:i/>
        </w:rPr>
        <w:t>fees</w:t>
      </w:r>
      <w:r>
        <w:t xml:space="preserve"> from mode 2 provision of education (including New Zealand, AusAID/Defence, and NSV ELICOS).</w:t>
      </w:r>
    </w:p>
  </w:footnote>
  <w:footnote w:id="12">
    <w:p w14:paraId="321C3D06" w14:textId="6C17BF36" w:rsidR="00A4167A" w:rsidRDefault="00A4167A">
      <w:pPr>
        <w:pStyle w:val="FootnoteText"/>
      </w:pPr>
      <w:r>
        <w:rPr>
          <w:rStyle w:val="FootnoteReference"/>
        </w:rPr>
        <w:footnoteRef/>
      </w:r>
      <w:r>
        <w:t xml:space="preserve"> Student expenditure in </w:t>
      </w:r>
      <w:r w:rsidRPr="00D441DB">
        <w:rPr>
          <w:i/>
        </w:rPr>
        <w:t>the technical, vocational and tertiary education services</w:t>
      </w:r>
      <w:r>
        <w:t xml:space="preserve"> sector includes higher Education and VET international student expenditure on general course related expenses, course related field work, and graduation expenses, which are not covered under their expenditure on fees.</w:t>
      </w:r>
    </w:p>
  </w:footnote>
  <w:footnote w:id="13">
    <w:p w14:paraId="005DCE80" w14:textId="77777777" w:rsidR="00A4167A" w:rsidRDefault="00A4167A">
      <w:pPr>
        <w:pStyle w:val="FootnoteText"/>
      </w:pPr>
      <w:r>
        <w:rPr>
          <w:rStyle w:val="FootnoteReference"/>
        </w:rPr>
        <w:footnoteRef/>
      </w:r>
      <w:r>
        <w:t xml:space="preserve"> Mode 1 and 4 national revenue has been attributed to the states based on the proportion of higher education onshore enrolments in each jurisdiction.</w:t>
      </w:r>
    </w:p>
  </w:footnote>
  <w:footnote w:id="14">
    <w:p w14:paraId="29C7A445" w14:textId="77777777" w:rsidR="00A4167A" w:rsidRDefault="00A4167A" w:rsidP="00F86B13">
      <w:pPr>
        <w:pStyle w:val="FootnoteText"/>
      </w:pPr>
      <w:r>
        <w:rPr>
          <w:rStyle w:val="FootnoteReference"/>
        </w:rPr>
        <w:footnoteRef/>
      </w:r>
      <w:r>
        <w:t xml:space="preserve"> </w:t>
      </w:r>
      <w:proofErr w:type="gramStart"/>
      <w:r>
        <w:t>Includes New Zealand, AusAID/Defence, and NSV ELICOS students.</w:t>
      </w:r>
      <w:proofErr w:type="gramEnd"/>
    </w:p>
  </w:footnote>
  <w:footnote w:id="15">
    <w:p w14:paraId="6AF5C581" w14:textId="77777777" w:rsidR="00A4167A" w:rsidRDefault="00A4167A" w:rsidP="000A151D">
      <w:pPr>
        <w:pStyle w:val="FootnoteText"/>
      </w:pPr>
      <w:r>
        <w:rPr>
          <w:rStyle w:val="FootnoteReference"/>
        </w:rPr>
        <w:footnoteRef/>
      </w:r>
      <w:r>
        <w:t xml:space="preserve"> The other category is broken into exhibition, transit, immigration, purpose not completed, or other reasons.</w:t>
      </w:r>
    </w:p>
  </w:footnote>
  <w:footnote w:id="16">
    <w:p w14:paraId="71A6D74D" w14:textId="77777777" w:rsidR="00A4167A" w:rsidRDefault="00A4167A" w:rsidP="000A151D">
      <w:pPr>
        <w:pStyle w:val="FootnoteText"/>
      </w:pPr>
      <w:r>
        <w:rPr>
          <w:rStyle w:val="FootnoteReference"/>
        </w:rPr>
        <w:footnoteRef/>
      </w:r>
      <w:r>
        <w:t xml:space="preserve"> </w:t>
      </w:r>
      <w:proofErr w:type="gramStart"/>
      <w:r>
        <w:t>Excluding expenditure on education which may be captured by students on non-student visas in chapter 2.</w:t>
      </w:r>
      <w:proofErr w:type="gramEnd"/>
      <w:r>
        <w:t xml:space="preserve"> For consistency with the rest of the document visitors who come to Australia to visit an international student are based on the 2014-15 financial year. The larger group who visited an international student is based on the 2014 calendar year which was the latest period for which this data is available.</w:t>
      </w:r>
    </w:p>
  </w:footnote>
  <w:footnote w:id="17">
    <w:p w14:paraId="289EA554" w14:textId="77777777" w:rsidR="00A4167A" w:rsidRDefault="00A4167A" w:rsidP="00154306">
      <w:pPr>
        <w:pStyle w:val="FootnoteText"/>
      </w:pPr>
      <w:r>
        <w:rPr>
          <w:rStyle w:val="FootnoteReference"/>
        </w:rPr>
        <w:footnoteRef/>
      </w:r>
      <w:r>
        <w:t xml:space="preserve"> It should be noted that the estimated from PC, 2015b relate to all student VISA types, not just higher education and VET. Further, recent changes to post-study work entitlements by the federal government may mean that this rate of articulation to permanent or provisional visa status will be different in future years. However, the relative stability of this estimate over the period 2001 to 2011 implies that this estimate is a reasonable assumption to apply to graduates in future years. </w:t>
      </w:r>
    </w:p>
  </w:footnote>
  <w:footnote w:id="18">
    <w:p w14:paraId="693940D5" w14:textId="77777777" w:rsidR="00A4167A" w:rsidRDefault="00A4167A" w:rsidP="00154306">
      <w:pPr>
        <w:pStyle w:val="FootnoteText"/>
      </w:pPr>
      <w:r w:rsidRPr="00FB7887">
        <w:rPr>
          <w:rStyle w:val="FootnoteReference"/>
        </w:rPr>
        <w:footnoteRef/>
      </w:r>
      <w:r w:rsidRPr="00FB7887">
        <w:t xml:space="preserve"> These results are broadly consistent with results from similar studies of Australia’s total population</w:t>
      </w:r>
      <w:r w:rsidRPr="00E50576">
        <w:t>, such as Leigh (2008) and Wilkins (2015)</w:t>
      </w:r>
    </w:p>
  </w:footnote>
  <w:footnote w:id="19">
    <w:p w14:paraId="547929DB" w14:textId="77777777" w:rsidR="00A4167A" w:rsidRDefault="00A4167A" w:rsidP="00154306">
      <w:pPr>
        <w:pStyle w:val="FootnoteText"/>
      </w:pPr>
      <w:r>
        <w:rPr>
          <w:rStyle w:val="FootnoteReference"/>
        </w:rPr>
        <w:footnoteRef/>
      </w:r>
      <w:r>
        <w:t xml:space="preserve"> It should be noted that this same value is not present for postgraduate higher education qualifications in Chan et al. (2012).</w:t>
      </w:r>
    </w:p>
  </w:footnote>
  <w:footnote w:id="20">
    <w:p w14:paraId="4747A7C6" w14:textId="77777777" w:rsidR="00A4167A" w:rsidRDefault="00A4167A" w:rsidP="00154306">
      <w:pPr>
        <w:pStyle w:val="FootnoteText"/>
      </w:pPr>
      <w:r>
        <w:rPr>
          <w:rStyle w:val="FootnoteReference"/>
        </w:rPr>
        <w:footnoteRef/>
      </w:r>
      <w:r>
        <w:t xml:space="preserve"> It has been estimated that the public spill over value of higher education attainment is approximately equal in magnitude to the private market return to </w:t>
      </w:r>
      <w:r w:rsidRPr="00FB7887">
        <w:t>higher education</w:t>
      </w:r>
      <w:r w:rsidRPr="00E50576">
        <w:t xml:space="preserve"> (McMahon, 200</w:t>
      </w:r>
      <w:r w:rsidRPr="001C2564">
        <w:t>9</w:t>
      </w:r>
      <w:r w:rsidRPr="00FB7887">
        <w:t>)</w:t>
      </w:r>
      <w:r>
        <w:t>. As such, the total value of the economic contribution of higher education attainment generally moves in proportion with the private wage premium.</w:t>
      </w:r>
    </w:p>
  </w:footnote>
  <w:footnote w:id="21">
    <w:p w14:paraId="22FC4261" w14:textId="77777777" w:rsidR="00A4167A" w:rsidRDefault="00A4167A" w:rsidP="00EE4F8C">
      <w:pPr>
        <w:pStyle w:val="FootnoteText"/>
      </w:pPr>
      <w:r>
        <w:rPr>
          <w:rStyle w:val="FootnoteReference"/>
        </w:rPr>
        <w:footnoteRef/>
      </w:r>
      <w:r>
        <w:t xml:space="preserve"> International education is an important source of permanent residents and migration for Australia. Section 6.1 notes that just under a third of international students receive permanent or provisional visas to work in Australia subsequently. </w:t>
      </w:r>
    </w:p>
  </w:footnote>
  <w:footnote w:id="22">
    <w:p w14:paraId="428B48D9" w14:textId="77777777" w:rsidR="00A4167A" w:rsidRDefault="00A4167A" w:rsidP="00921041">
      <w:pPr>
        <w:pStyle w:val="FootnoteText"/>
      </w:pPr>
      <w:r>
        <w:rPr>
          <w:rStyle w:val="FootnoteReference"/>
        </w:rPr>
        <w:footnoteRef/>
      </w:r>
      <w:r>
        <w:t xml:space="preserve"> For the sector New Zealand which had no enrolment data, the national total fee was apportioned based on state enrolments in Higher Education. </w:t>
      </w:r>
    </w:p>
  </w:footnote>
  <w:footnote w:id="23">
    <w:p w14:paraId="74767CDA" w14:textId="77777777" w:rsidR="00A4167A" w:rsidRDefault="00A4167A" w:rsidP="00921041">
      <w:pPr>
        <w:pStyle w:val="FootnoteText"/>
      </w:pPr>
      <w:r>
        <w:rPr>
          <w:rStyle w:val="FootnoteReference"/>
        </w:rPr>
        <w:footnoteRef/>
      </w:r>
      <w:r>
        <w:t xml:space="preserve"> Expenditure from AusAID/Defence students is also taken away from the total state figures, assuming an equal 1% share (national average) across all the states and territories.</w:t>
      </w:r>
    </w:p>
  </w:footnote>
  <w:footnote w:id="24">
    <w:p w14:paraId="00A0B71A" w14:textId="77777777" w:rsidR="00A4167A" w:rsidRDefault="00A4167A" w:rsidP="00CF2485">
      <w:pPr>
        <w:pStyle w:val="FootnoteText"/>
      </w:pPr>
      <w:r>
        <w:rPr>
          <w:rStyle w:val="FootnoteReference"/>
        </w:rPr>
        <w:footnoteRef/>
      </w:r>
      <w:r>
        <w:t xml:space="preserve"> </w:t>
      </w:r>
      <w:r>
        <w:rPr>
          <w:lang w:eastAsia="en-AU"/>
        </w:rPr>
        <w:t>Non-award, New Zealand, and AusAID/Defence are all assigned to ‘</w:t>
      </w:r>
      <w:r w:rsidRPr="003B260D">
        <w:rPr>
          <w:i/>
          <w:lang w:eastAsia="en-AU"/>
        </w:rPr>
        <w:t>Technical, Vocational and Tertiary Education Services</w:t>
      </w:r>
      <w:r>
        <w:rPr>
          <w:lang w:eastAsia="en-AU"/>
        </w:rPr>
        <w:t>’, as it is assumed that the majority of students from those categories are likely to be enrolled in either a Higher Education or VET course.</w:t>
      </w:r>
    </w:p>
  </w:footnote>
  <w:footnote w:id="25">
    <w:p w14:paraId="309D1652" w14:textId="77777777" w:rsidR="00A4167A" w:rsidRDefault="00A4167A" w:rsidP="00CF2485">
      <w:pPr>
        <w:pStyle w:val="BodyText"/>
      </w:pPr>
      <w:r>
        <w:rPr>
          <w:rStyle w:val="FootnoteReference"/>
        </w:rPr>
        <w:footnoteRef/>
      </w:r>
      <w:r>
        <w:t xml:space="preserve"> </w:t>
      </w:r>
      <w:proofErr w:type="gramStart"/>
      <w:r>
        <w:rPr>
          <w:sz w:val="18"/>
          <w:szCs w:val="18"/>
          <w:lang w:eastAsia="en-AU"/>
        </w:rPr>
        <w:t>F</w:t>
      </w:r>
      <w:r w:rsidRPr="002A2826">
        <w:rPr>
          <w:sz w:val="18"/>
          <w:szCs w:val="18"/>
          <w:lang w:eastAsia="en-AU"/>
        </w:rPr>
        <w:t xml:space="preserve">rom </w:t>
      </w:r>
      <w:r>
        <w:rPr>
          <w:sz w:val="18"/>
          <w:szCs w:val="18"/>
          <w:lang w:eastAsia="en-AU"/>
        </w:rPr>
        <w:t xml:space="preserve">the </w:t>
      </w:r>
      <w:r w:rsidRPr="002A2826">
        <w:rPr>
          <w:sz w:val="18"/>
          <w:szCs w:val="18"/>
          <w:lang w:eastAsia="en-AU"/>
        </w:rPr>
        <w:t>DET data, revenue from ‘</w:t>
      </w:r>
      <w:r>
        <w:rPr>
          <w:i/>
          <w:sz w:val="18"/>
          <w:szCs w:val="18"/>
          <w:lang w:eastAsia="en-AU"/>
        </w:rPr>
        <w:t>F</w:t>
      </w:r>
      <w:r w:rsidRPr="002A2826">
        <w:rPr>
          <w:i/>
          <w:sz w:val="18"/>
          <w:szCs w:val="18"/>
          <w:lang w:eastAsia="en-AU"/>
        </w:rPr>
        <w:t>ee Paying Overseas Students’</w:t>
      </w:r>
      <w:r w:rsidRPr="002A2826">
        <w:rPr>
          <w:sz w:val="18"/>
          <w:szCs w:val="18"/>
          <w:lang w:eastAsia="en-AU"/>
        </w:rPr>
        <w:t xml:space="preserve"> in 2014 was equal to $4.7 billion, compared to ABS data of $5.7 billion over the same period.</w:t>
      </w:r>
      <w:proofErr w:type="gramEnd"/>
      <w:r w:rsidRPr="002A2826">
        <w:rPr>
          <w:sz w:val="18"/>
          <w:szCs w:val="18"/>
          <w:lang w:eastAsia="en-AU"/>
        </w:rPr>
        <w:t xml:space="preserve"> It could be the case that the DET figure is excluding some non-universities providing Higher Education, or some other non-fee revenue from students. </w:t>
      </w:r>
    </w:p>
  </w:footnote>
  <w:footnote w:id="26">
    <w:p w14:paraId="156E1246" w14:textId="77777777" w:rsidR="00A4167A" w:rsidRDefault="00A4167A" w:rsidP="00CF2485">
      <w:pPr>
        <w:pStyle w:val="FootnoteText"/>
      </w:pPr>
      <w:r>
        <w:rPr>
          <w:rStyle w:val="FootnoteReference"/>
        </w:rPr>
        <w:footnoteRef/>
      </w:r>
      <w:r>
        <w:t xml:space="preserve"> DET data used for the categories of ‘repairs and maintenance’, ‘non-capitalised equipment’, ‘advertising, marketing and promotional expenses’, while University of New South Wales proportions used to split ‘other expenditure’.</w:t>
      </w:r>
    </w:p>
  </w:footnote>
  <w:footnote w:id="27">
    <w:p w14:paraId="3ABFB52D" w14:textId="77777777" w:rsidR="00A4167A" w:rsidRDefault="00A4167A" w:rsidP="00CF2485">
      <w:pPr>
        <w:pStyle w:val="FootnoteText"/>
      </w:pPr>
      <w:r>
        <w:rPr>
          <w:rStyle w:val="FootnoteReference"/>
        </w:rPr>
        <w:footnoteRef/>
      </w:r>
      <w:r>
        <w:t xml:space="preserve"> This is a reasonable assumption given that whole sectors are unlikely to change production processes over the short term.</w:t>
      </w:r>
    </w:p>
  </w:footnote>
  <w:footnote w:id="28">
    <w:p w14:paraId="679641D8" w14:textId="78793FC0" w:rsidR="00A4167A" w:rsidRDefault="00A4167A" w:rsidP="00CF2485">
      <w:pPr>
        <w:pStyle w:val="FootnoteText"/>
      </w:pPr>
      <w:r>
        <w:rPr>
          <w:rStyle w:val="FootnoteReference"/>
        </w:rPr>
        <w:footnoteRef/>
      </w:r>
      <w:r>
        <w:t xml:space="preserve"> Attributed based on </w:t>
      </w:r>
      <w:r w:rsidRPr="009D03FE">
        <w:t>DET (2014b)</w:t>
      </w:r>
      <w:r>
        <w:t xml:space="preserve"> research paper ‘2014 sample stocktake of international student accommodation in Australia’. It finds that approximately 84% of international students’ expenditure on rent falls under ‘ownership of dwellings’ with the remaining 16% under ‘accommodation’.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B66DF" w14:textId="77777777" w:rsidR="00C222A5" w:rsidRDefault="00C222A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3D19F" w14:textId="77777777" w:rsidR="00A4167A" w:rsidRDefault="00A4167A">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4446C" w14:textId="77777777" w:rsidR="00A4167A" w:rsidRDefault="00A4167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FD2DB" w14:textId="77777777" w:rsidR="00A4167A" w:rsidRDefault="00A4167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271B7" w14:textId="77777777" w:rsidR="00A4167A" w:rsidRDefault="00A4167A">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D6741F" w14:textId="77777777" w:rsidR="00A4167A" w:rsidRPr="00042200" w:rsidRDefault="00A4167A" w:rsidP="00042200">
    <w:pPr>
      <w:pStyle w:val="Header"/>
      <w:rPr>
        <w:szCs w:val="28"/>
      </w:rPr>
    </w:pPr>
    <w:r w:rsidRPr="00CB3C08">
      <w:rPr>
        <w:szCs w:val="28"/>
      </w:rPr>
      <w:t>The value</w:t>
    </w:r>
    <w:r>
      <w:t xml:space="preserve"> of international education to Australia</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6A8A1" w14:textId="77777777" w:rsidR="00A4167A" w:rsidRDefault="00A4167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CF3F1" w14:textId="77777777" w:rsidR="00A4167A" w:rsidRDefault="00A4167A">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0B243" w14:textId="77777777" w:rsidR="00A4167A" w:rsidRPr="00962F39" w:rsidRDefault="00A4167A" w:rsidP="001C6442">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A441B" w14:textId="77777777" w:rsidR="00A4167A" w:rsidRPr="007F362F" w:rsidRDefault="00A4167A" w:rsidP="001C6442">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517AD" w14:textId="77777777" w:rsidR="00A4167A" w:rsidRPr="008B1D0E" w:rsidRDefault="00A4167A" w:rsidP="001C644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F1514" w14:textId="77777777" w:rsidR="00A4167A" w:rsidRDefault="00C54524" w:rsidP="003D4C3E">
    <w:pPr>
      <w:pStyle w:val="Header"/>
      <w:rPr>
        <w:szCs w:val="28"/>
      </w:rPr>
    </w:pPr>
    <w:r>
      <w:fldChar w:fldCharType="begin"/>
    </w:r>
    <w:r>
      <w:instrText xml:space="preserve"> STYLEREF  "Report Title"  \* MERGEFORMAT </w:instrText>
    </w:r>
    <w:r>
      <w:fldChar w:fldCharType="separate"/>
    </w:r>
    <w:r w:rsidR="00D72A59">
      <w:rPr>
        <w:noProof/>
      </w:rPr>
      <w:t>The value of international education to Australia</w:t>
    </w:r>
    <w:r>
      <w:rPr>
        <w:noProof/>
      </w:rPr>
      <w:fldChar w:fldCharType="end"/>
    </w:r>
  </w:p>
  <w:p w14:paraId="07A86B6C" w14:textId="77777777" w:rsidR="00A4167A" w:rsidRDefault="00A4167A" w:rsidP="003D4C3E">
    <w:pPr>
      <w:pStyle w:val="HeaderLine2"/>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F8E04" w14:textId="77777777" w:rsidR="00A4167A" w:rsidRDefault="00A4167A">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05735" w14:textId="77777777" w:rsidR="00A4167A" w:rsidRDefault="00A4167A">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D8B21" w14:textId="77777777" w:rsidR="00A4167A" w:rsidRDefault="00A4167A">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5B80A" w14:textId="77777777" w:rsidR="00A4167A" w:rsidRDefault="00A4167A" w:rsidP="00D72A59">
    <w:pPr>
      <w:pStyle w:val="Header"/>
      <w:jc w:val="lef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0A6BE" w14:textId="77777777" w:rsidR="00A4167A" w:rsidRDefault="00A416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61A42" w14:textId="77777777" w:rsidR="00C222A5" w:rsidRDefault="00C222A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3F5FC" w14:textId="77777777" w:rsidR="00A4167A" w:rsidRDefault="00A4167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64EDF" w14:textId="77777777" w:rsidR="00A4167A" w:rsidRDefault="00A4167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01FB4" w14:textId="77777777" w:rsidR="00A4167A" w:rsidRPr="004E4C58" w:rsidRDefault="00A4167A" w:rsidP="00C45263">
    <w:pPr>
      <w:pStyle w:val="Header"/>
      <w:rPr>
        <w:szCs w:val="28"/>
      </w:rPr>
    </w:pPr>
    <w:r w:rsidRPr="00CB3C08">
      <w:rPr>
        <w:szCs w:val="28"/>
      </w:rPr>
      <w:t>The value</w:t>
    </w:r>
    <w:r>
      <w:t xml:space="preserve"> of international education to Australia</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EAB56" w14:textId="77777777" w:rsidR="00A4167A" w:rsidRDefault="00A4167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165E3" w14:textId="77777777" w:rsidR="00A4167A" w:rsidRDefault="00A4167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5ABF5" w14:textId="77777777" w:rsidR="00A4167A" w:rsidRDefault="00A416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3A7B90"/>
    <w:lvl w:ilvl="0">
      <w:start w:val="1"/>
      <w:numFmt w:val="decimal"/>
      <w:lvlText w:val="%1."/>
      <w:lvlJc w:val="left"/>
      <w:pPr>
        <w:tabs>
          <w:tab w:val="num" w:pos="1492"/>
        </w:tabs>
        <w:ind w:left="1492" w:hanging="360"/>
      </w:pPr>
    </w:lvl>
  </w:abstractNum>
  <w:abstractNum w:abstractNumId="1">
    <w:nsid w:val="FFFFFF7D"/>
    <w:multiLevelType w:val="singleLevel"/>
    <w:tmpl w:val="FBDCDC46"/>
    <w:lvl w:ilvl="0">
      <w:start w:val="1"/>
      <w:numFmt w:val="decimal"/>
      <w:lvlText w:val="%1."/>
      <w:lvlJc w:val="left"/>
      <w:pPr>
        <w:tabs>
          <w:tab w:val="num" w:pos="1209"/>
        </w:tabs>
        <w:ind w:left="1209" w:hanging="360"/>
      </w:pPr>
    </w:lvl>
  </w:abstractNum>
  <w:abstractNum w:abstractNumId="2">
    <w:nsid w:val="FFFFFF7E"/>
    <w:multiLevelType w:val="singleLevel"/>
    <w:tmpl w:val="B5203ACC"/>
    <w:lvl w:ilvl="0">
      <w:start w:val="1"/>
      <w:numFmt w:val="decimal"/>
      <w:lvlText w:val="%1."/>
      <w:lvlJc w:val="left"/>
      <w:pPr>
        <w:tabs>
          <w:tab w:val="num" w:pos="926"/>
        </w:tabs>
        <w:ind w:left="926" w:hanging="360"/>
      </w:pPr>
    </w:lvl>
  </w:abstractNum>
  <w:abstractNum w:abstractNumId="3">
    <w:nsid w:val="FFFFFF7F"/>
    <w:multiLevelType w:val="singleLevel"/>
    <w:tmpl w:val="EDAA3C88"/>
    <w:lvl w:ilvl="0">
      <w:start w:val="1"/>
      <w:numFmt w:val="decimal"/>
      <w:lvlText w:val="%1."/>
      <w:lvlJc w:val="left"/>
      <w:pPr>
        <w:tabs>
          <w:tab w:val="num" w:pos="643"/>
        </w:tabs>
        <w:ind w:left="643" w:hanging="360"/>
      </w:pPr>
    </w:lvl>
  </w:abstractNum>
  <w:abstractNum w:abstractNumId="4">
    <w:nsid w:val="FFFFFF80"/>
    <w:multiLevelType w:val="singleLevel"/>
    <w:tmpl w:val="3B3607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A12ED0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C66196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048ADE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7CA366"/>
    <w:lvl w:ilvl="0">
      <w:start w:val="1"/>
      <w:numFmt w:val="decimal"/>
      <w:lvlText w:val="%1."/>
      <w:lvlJc w:val="left"/>
      <w:pPr>
        <w:tabs>
          <w:tab w:val="num" w:pos="360"/>
        </w:tabs>
        <w:ind w:left="360" w:hanging="360"/>
      </w:pPr>
    </w:lvl>
  </w:abstractNum>
  <w:abstractNum w:abstractNumId="9">
    <w:nsid w:val="FFFFFF89"/>
    <w:multiLevelType w:val="singleLevel"/>
    <w:tmpl w:val="F3B04A5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2430B"/>
    <w:multiLevelType w:val="multilevel"/>
    <w:tmpl w:val="8ADC7B18"/>
    <w:lvl w:ilvl="0">
      <w:start w:val="1"/>
      <w:numFmt w:val="none"/>
      <w:pStyle w:val="ExecTableCaption"/>
      <w:suff w:val="space"/>
      <w:lvlText w:val=""/>
      <w:lvlJc w:val="left"/>
      <w:pPr>
        <w:ind w:left="0" w:hanging="113"/>
      </w:pPr>
      <w:rPr>
        <w:rFonts w:hint="default"/>
      </w:rPr>
    </w:lvl>
    <w:lvl w:ilvl="1">
      <w:start w:val="1"/>
      <w:numFmt w:val="none"/>
      <w:pStyle w:val="ExecTableCaption"/>
      <w:suff w:val="nothing"/>
      <w:lvlText w:val="Table 1"/>
      <w:lvlJc w:val="left"/>
      <w:pPr>
        <w:ind w:left="0" w:firstLine="0"/>
      </w:pPr>
      <w:rPr>
        <w:rFonts w:ascii="Calibri" w:hAnsi="Calibri" w:hint="default"/>
        <w:b/>
        <w:i w:val="0"/>
        <w:color w:val="002776"/>
        <w:sz w:val="22"/>
      </w:rPr>
    </w:lvl>
    <w:lvl w:ilvl="2">
      <w:start w:val="1"/>
      <w:numFmt w:val="lowerRoman"/>
      <w:lvlRestart w:val="1"/>
      <w:pStyle w:val="ExecChartCaption"/>
      <w:suff w:val="nothing"/>
      <w:lvlText w:val="Chart %3"/>
      <w:lvlJc w:val="left"/>
      <w:pPr>
        <w:ind w:left="0" w:firstLine="0"/>
      </w:pPr>
      <w:rPr>
        <w:rFonts w:ascii="Calibri" w:hAnsi="Calibri" w:hint="default"/>
        <w:b/>
        <w:i w:val="0"/>
        <w:color w:val="002776"/>
        <w:sz w:val="22"/>
      </w:rPr>
    </w:lvl>
    <w:lvl w:ilvl="3">
      <w:start w:val="1"/>
      <w:numFmt w:val="lowerRoman"/>
      <w:lvlRestart w:val="1"/>
      <w:pStyle w:val="ExecFigureCaption"/>
      <w:suff w:val="nothing"/>
      <w:lvlText w:val="Figure %4"/>
      <w:lvlJc w:val="left"/>
      <w:pPr>
        <w:ind w:left="0" w:firstLine="0"/>
      </w:pPr>
      <w:rPr>
        <w:rFonts w:ascii="Calibri" w:hAnsi="Calibri" w:hint="default"/>
        <w:b/>
        <w:i w:val="0"/>
        <w:color w:val="002776"/>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20104D1"/>
    <w:multiLevelType w:val="hybridMultilevel"/>
    <w:tmpl w:val="C7024314"/>
    <w:lvl w:ilvl="0" w:tplc="7D989CDA">
      <w:start w:val="1"/>
      <w:numFmt w:val="bullet"/>
      <w:pStyle w:val="Bullet3"/>
      <w:lvlText w:val="•"/>
      <w:lvlJc w:val="left"/>
      <w:pPr>
        <w:ind w:left="1854" w:hanging="360"/>
      </w:pPr>
      <w:rPr>
        <w:rFonts w:ascii="Calibri" w:hAnsi="Calibri" w:hint="default"/>
        <w:color w:val="92D400"/>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nsid w:val="0A3D71DF"/>
    <w:multiLevelType w:val="singleLevel"/>
    <w:tmpl w:val="C5B2C534"/>
    <w:lvl w:ilvl="0">
      <w:start w:val="1"/>
      <w:numFmt w:val="lowerRoman"/>
      <w:pStyle w:val="IndentNumberedList"/>
      <w:lvlText w:val="%1"/>
      <w:lvlJc w:val="left"/>
      <w:pPr>
        <w:tabs>
          <w:tab w:val="num" w:pos="1134"/>
        </w:tabs>
        <w:ind w:left="1134" w:hanging="567"/>
      </w:pPr>
      <w:rPr>
        <w:rFonts w:ascii="Calibri" w:hAnsi="Calibri" w:cs="Arial" w:hint="default"/>
        <w:b w:val="0"/>
        <w:i w:val="0"/>
        <w:color w:val="000000"/>
        <w:sz w:val="22"/>
        <w:szCs w:val="24"/>
      </w:rPr>
    </w:lvl>
  </w:abstractNum>
  <w:abstractNum w:abstractNumId="13">
    <w:nsid w:val="1285206B"/>
    <w:multiLevelType w:val="hybridMultilevel"/>
    <w:tmpl w:val="A8707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82049B9"/>
    <w:multiLevelType w:val="hybridMultilevel"/>
    <w:tmpl w:val="B8506D88"/>
    <w:lvl w:ilvl="0" w:tplc="A4F8682C">
      <w:numFmt w:val="bullet"/>
      <w:pStyle w:val="IndentParaGreyBullet"/>
      <w:lvlText w:val="•"/>
      <w:lvlJc w:val="left"/>
      <w:pPr>
        <w:ind w:left="567" w:hanging="283"/>
      </w:pPr>
      <w:rPr>
        <w:rFonts w:ascii="Arial" w:eastAsia="Times New Roman" w:hAnsi="Aria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5">
    <w:nsid w:val="1C354B73"/>
    <w:multiLevelType w:val="singleLevel"/>
    <w:tmpl w:val="EE4A2D06"/>
    <w:name w:val="NumberedList"/>
    <w:lvl w:ilvl="0">
      <w:start w:val="1"/>
      <w:numFmt w:val="decimal"/>
      <w:lvlRestart w:val="0"/>
      <w:lvlText w:val="%1"/>
      <w:lvlJc w:val="left"/>
      <w:pPr>
        <w:tabs>
          <w:tab w:val="num" w:pos="567"/>
        </w:tabs>
        <w:ind w:left="567" w:hanging="567"/>
      </w:pPr>
      <w:rPr>
        <w:rFonts w:ascii="Arial" w:hAnsi="Arial" w:cs="Arial"/>
      </w:rPr>
    </w:lvl>
  </w:abstractNum>
  <w:abstractNum w:abstractNumId="16">
    <w:nsid w:val="209F2649"/>
    <w:multiLevelType w:val="singleLevel"/>
    <w:tmpl w:val="78AE38C0"/>
    <w:name w:val="AlphabeticList"/>
    <w:lvl w:ilvl="0">
      <w:start w:val="1"/>
      <w:numFmt w:val="upperLetter"/>
      <w:lvlRestart w:val="0"/>
      <w:lvlText w:val="%1"/>
      <w:lvlJc w:val="left"/>
      <w:pPr>
        <w:tabs>
          <w:tab w:val="num" w:pos="567"/>
        </w:tabs>
        <w:ind w:left="567" w:hanging="567"/>
      </w:pPr>
      <w:rPr>
        <w:rFonts w:ascii="Arial" w:hAnsi="Arial" w:cs="Arial" w:hint="default"/>
        <w:b w:val="0"/>
        <w:i w:val="0"/>
        <w:color w:val="000000"/>
        <w:sz w:val="22"/>
        <w:szCs w:val="22"/>
      </w:rPr>
    </w:lvl>
  </w:abstractNum>
  <w:abstractNum w:abstractNumId="17">
    <w:nsid w:val="24DB1375"/>
    <w:multiLevelType w:val="hybridMultilevel"/>
    <w:tmpl w:val="66DED340"/>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8">
    <w:nsid w:val="28D650A0"/>
    <w:multiLevelType w:val="hybridMultilevel"/>
    <w:tmpl w:val="7A6018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nsid w:val="293C1ADA"/>
    <w:multiLevelType w:val="multilevel"/>
    <w:tmpl w:val="D908ABD6"/>
    <w:lvl w:ilvl="0">
      <w:start w:val="1"/>
      <w:numFmt w:val="decimal"/>
      <w:pStyle w:val="Heading1"/>
      <w:lvlText w:val="%1"/>
      <w:lvlJc w:val="left"/>
      <w:pPr>
        <w:ind w:left="360" w:hanging="360"/>
      </w:pPr>
      <w:rPr>
        <w:rFonts w:hint="default"/>
        <w:b/>
        <w:i w:val="0"/>
        <w:color w:val="002776"/>
        <w:sz w:val="56"/>
        <w:szCs w:val="56"/>
      </w:rPr>
    </w:lvl>
    <w:lvl w:ilvl="1">
      <w:start w:val="1"/>
      <w:numFmt w:val="decimal"/>
      <w:pStyle w:val="Heading2"/>
      <w:lvlText w:val="%1.%2"/>
      <w:lvlJc w:val="left"/>
      <w:pPr>
        <w:tabs>
          <w:tab w:val="num" w:pos="709"/>
        </w:tabs>
        <w:ind w:left="709" w:hanging="567"/>
      </w:pPr>
      <w:rPr>
        <w:rFonts w:ascii="Calibri" w:hAnsi="Calibri" w:cs="Arial" w:hint="default"/>
        <w:b/>
        <w:i w:val="0"/>
        <w:color w:val="00A1DE"/>
        <w:sz w:val="40"/>
        <w:szCs w:val="40"/>
      </w:rPr>
    </w:lvl>
    <w:lvl w:ilvl="2">
      <w:start w:val="1"/>
      <w:numFmt w:val="decimal"/>
      <w:pStyle w:val="Heading3"/>
      <w:lvlText w:val="%1.%2.%3"/>
      <w:lvlJc w:val="left"/>
      <w:pPr>
        <w:tabs>
          <w:tab w:val="num" w:pos="1134"/>
        </w:tabs>
        <w:ind w:left="1134" w:hanging="1134"/>
      </w:pPr>
      <w:rPr>
        <w:rFonts w:ascii="Calibri" w:hAnsi="Calibri" w:cs="Arial" w:hint="default"/>
        <w:b w:val="0"/>
        <w:i w:val="0"/>
        <w:color w:val="00A1DE"/>
        <w:sz w:val="26"/>
        <w:szCs w:val="24"/>
      </w:rPr>
    </w:lvl>
    <w:lvl w:ilvl="3">
      <w:start w:val="1"/>
      <w:numFmt w:val="decimal"/>
      <w:pStyle w:val="Heading4"/>
      <w:lvlText w:val="%1.%2.%3.%4"/>
      <w:lvlJc w:val="left"/>
      <w:pPr>
        <w:tabs>
          <w:tab w:val="num" w:pos="1134"/>
        </w:tabs>
        <w:ind w:left="1134" w:hanging="1134"/>
      </w:pPr>
      <w:rPr>
        <w:rFonts w:ascii="Calibri" w:hAnsi="Calibri" w:cs="Arial" w:hint="default"/>
        <w:b/>
        <w:i w:val="0"/>
        <w:color w:val="00A1DE"/>
        <w:sz w:val="24"/>
        <w:szCs w:val="24"/>
        <w:u w:val="none"/>
      </w:rPr>
    </w:lvl>
    <w:lvl w:ilvl="4">
      <w:start w:val="1"/>
      <w:numFmt w:val="decimal"/>
      <w:lvlRestart w:val="1"/>
      <w:pStyle w:val="Heading5"/>
      <w:suff w:val="space"/>
      <w:lvlText w:val="Box %1.%5"/>
      <w:lvlJc w:val="left"/>
      <w:pPr>
        <w:ind w:left="1134" w:hanging="850"/>
      </w:pPr>
      <w:rPr>
        <w:rFonts w:ascii="Calibri" w:hAnsi="Calibri" w:cs="Arial" w:hint="default"/>
        <w:b/>
        <w:i w:val="0"/>
        <w:color w:val="FFFFFF"/>
        <w:sz w:val="20"/>
        <w:szCs w:val="20"/>
      </w:rPr>
    </w:lvl>
    <w:lvl w:ilvl="5">
      <w:start w:val="1"/>
      <w:numFmt w:val="none"/>
      <w:lvlRestart w:val="0"/>
      <w:lvlText w:val=""/>
      <w:lvlJc w:val="center"/>
      <w:pPr>
        <w:ind w:left="0" w:firstLine="0"/>
      </w:pPr>
      <w:rPr>
        <w:rFonts w:ascii="Arial" w:hAnsi="Arial" w:cs="Arial" w:hint="default"/>
        <w:b/>
        <w:i w:val="0"/>
        <w:color w:val="931638"/>
        <w:sz w:val="20"/>
        <w:szCs w:val="20"/>
      </w:rPr>
    </w:lvl>
    <w:lvl w:ilvl="6">
      <w:start w:val="1"/>
      <w:numFmt w:val="decimal"/>
      <w:lvlRestart w:val="1"/>
      <w:pStyle w:val="CaptionTable"/>
      <w:suff w:val="nothing"/>
      <w:lvlText w:val="Table %1.%7"/>
      <w:lvlJc w:val="left"/>
      <w:pPr>
        <w:ind w:left="0" w:firstLine="0"/>
      </w:pPr>
      <w:rPr>
        <w:rFonts w:ascii="Calibri" w:hAnsi="Calibri" w:cs="Arial" w:hint="default"/>
        <w:b/>
        <w:i w:val="0"/>
        <w:color w:val="002776"/>
        <w:sz w:val="22"/>
        <w:szCs w:val="20"/>
      </w:rPr>
    </w:lvl>
    <w:lvl w:ilvl="7">
      <w:start w:val="1"/>
      <w:numFmt w:val="decimal"/>
      <w:lvlRestart w:val="1"/>
      <w:pStyle w:val="CaptionChart"/>
      <w:suff w:val="nothing"/>
      <w:lvlText w:val="Chart %1.%8"/>
      <w:lvlJc w:val="left"/>
      <w:pPr>
        <w:ind w:left="0" w:firstLine="0"/>
      </w:pPr>
      <w:rPr>
        <w:rFonts w:ascii="Calibri" w:hAnsi="Calibri" w:cs="Arial" w:hint="default"/>
        <w:b/>
        <w:i w:val="0"/>
        <w:color w:val="002776"/>
        <w:sz w:val="22"/>
        <w:szCs w:val="20"/>
      </w:rPr>
    </w:lvl>
    <w:lvl w:ilvl="8">
      <w:start w:val="1"/>
      <w:numFmt w:val="decimal"/>
      <w:lvlRestart w:val="1"/>
      <w:pStyle w:val="CaptionFigure"/>
      <w:suff w:val="nothing"/>
      <w:lvlText w:val="Figure %1.%9"/>
      <w:lvlJc w:val="left"/>
      <w:pPr>
        <w:ind w:left="284" w:firstLine="0"/>
      </w:pPr>
      <w:rPr>
        <w:rFonts w:ascii="Calibri" w:hAnsi="Calibri" w:cs="Arial" w:hint="default"/>
        <w:b/>
        <w:i w:val="0"/>
        <w:color w:val="002776"/>
        <w:sz w:val="22"/>
        <w:szCs w:val="20"/>
      </w:rPr>
    </w:lvl>
  </w:abstractNum>
  <w:abstractNum w:abstractNumId="20">
    <w:nsid w:val="2C992C9B"/>
    <w:multiLevelType w:val="hybridMultilevel"/>
    <w:tmpl w:val="D966B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D56711D"/>
    <w:multiLevelType w:val="multilevel"/>
    <w:tmpl w:val="A34AE908"/>
    <w:lvl w:ilvl="0">
      <w:start w:val="1"/>
      <w:numFmt w:val="none"/>
      <w:suff w:val="space"/>
      <w:lvlText w:val=""/>
      <w:lvlJc w:val="left"/>
      <w:pPr>
        <w:ind w:left="0" w:hanging="113"/>
      </w:pPr>
      <w:rPr>
        <w:rFonts w:hint="default"/>
      </w:rPr>
    </w:lvl>
    <w:lvl w:ilvl="1">
      <w:start w:val="1"/>
      <w:numFmt w:val="lowerRoman"/>
      <w:suff w:val="nothing"/>
      <w:lvlText w:val="Table %2"/>
      <w:lvlJc w:val="left"/>
      <w:pPr>
        <w:ind w:left="0" w:firstLine="0"/>
      </w:pPr>
      <w:rPr>
        <w:rFonts w:ascii="Calibri" w:hAnsi="Calibri" w:hint="default"/>
        <w:b/>
        <w:i w:val="0"/>
        <w:color w:val="002776"/>
        <w:sz w:val="22"/>
      </w:rPr>
    </w:lvl>
    <w:lvl w:ilvl="2">
      <w:start w:val="1"/>
      <w:numFmt w:val="lowerRoman"/>
      <w:lvlRestart w:val="1"/>
      <w:suff w:val="nothing"/>
      <w:lvlText w:val="Chart %3"/>
      <w:lvlJc w:val="left"/>
      <w:pPr>
        <w:ind w:left="0" w:firstLine="0"/>
      </w:pPr>
      <w:rPr>
        <w:rFonts w:ascii="Calibri" w:hAnsi="Calibri" w:hint="default"/>
        <w:b/>
        <w:i w:val="0"/>
        <w:color w:val="002776"/>
        <w:sz w:val="22"/>
      </w:rPr>
    </w:lvl>
    <w:lvl w:ilvl="3">
      <w:start w:val="1"/>
      <w:numFmt w:val="lowerRoman"/>
      <w:lvlRestart w:val="1"/>
      <w:suff w:val="nothing"/>
      <w:lvlText w:val="Figure %4"/>
      <w:lvlJc w:val="left"/>
      <w:pPr>
        <w:ind w:left="0" w:firstLine="0"/>
      </w:pPr>
      <w:rPr>
        <w:rFonts w:ascii="Calibri" w:hAnsi="Calibri" w:hint="default"/>
        <w:b/>
        <w:i w:val="0"/>
        <w:color w:val="002776"/>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392B73D6"/>
    <w:multiLevelType w:val="hybridMultilevel"/>
    <w:tmpl w:val="1450AD28"/>
    <w:name w:val="BulletList"/>
    <w:lvl w:ilvl="0" w:tplc="E8882CC4">
      <w:start w:val="1"/>
      <w:numFmt w:val="bullet"/>
      <w:lvlText w:val=""/>
      <w:lvlJc w:val="left"/>
      <w:pPr>
        <w:ind w:left="720" w:hanging="360"/>
      </w:pPr>
      <w:rPr>
        <w:rFonts w:ascii="Symbol" w:hAnsi="Symbol" w:hint="default"/>
      </w:rPr>
    </w:lvl>
    <w:lvl w:ilvl="1" w:tplc="A6F6CB9A" w:tentative="1">
      <w:start w:val="1"/>
      <w:numFmt w:val="bullet"/>
      <w:lvlText w:val="o"/>
      <w:lvlJc w:val="left"/>
      <w:pPr>
        <w:ind w:left="1440" w:hanging="360"/>
      </w:pPr>
      <w:rPr>
        <w:rFonts w:ascii="Courier New" w:hAnsi="Courier New" w:cs="Courier New" w:hint="default"/>
      </w:rPr>
    </w:lvl>
    <w:lvl w:ilvl="2" w:tplc="6A302F10" w:tentative="1">
      <w:start w:val="1"/>
      <w:numFmt w:val="bullet"/>
      <w:lvlText w:val=""/>
      <w:lvlJc w:val="left"/>
      <w:pPr>
        <w:ind w:left="2160" w:hanging="360"/>
      </w:pPr>
      <w:rPr>
        <w:rFonts w:ascii="Wingdings" w:hAnsi="Wingdings" w:hint="default"/>
      </w:rPr>
    </w:lvl>
    <w:lvl w:ilvl="3" w:tplc="C3DC6F38" w:tentative="1">
      <w:start w:val="1"/>
      <w:numFmt w:val="bullet"/>
      <w:lvlText w:val=""/>
      <w:lvlJc w:val="left"/>
      <w:pPr>
        <w:ind w:left="2880" w:hanging="360"/>
      </w:pPr>
      <w:rPr>
        <w:rFonts w:ascii="Symbol" w:hAnsi="Symbol" w:hint="default"/>
      </w:rPr>
    </w:lvl>
    <w:lvl w:ilvl="4" w:tplc="2D28A880" w:tentative="1">
      <w:start w:val="1"/>
      <w:numFmt w:val="bullet"/>
      <w:lvlText w:val="o"/>
      <w:lvlJc w:val="left"/>
      <w:pPr>
        <w:ind w:left="3600" w:hanging="360"/>
      </w:pPr>
      <w:rPr>
        <w:rFonts w:ascii="Courier New" w:hAnsi="Courier New" w:cs="Courier New" w:hint="default"/>
      </w:rPr>
    </w:lvl>
    <w:lvl w:ilvl="5" w:tplc="CDC46302" w:tentative="1">
      <w:start w:val="1"/>
      <w:numFmt w:val="bullet"/>
      <w:lvlText w:val=""/>
      <w:lvlJc w:val="left"/>
      <w:pPr>
        <w:ind w:left="4320" w:hanging="360"/>
      </w:pPr>
      <w:rPr>
        <w:rFonts w:ascii="Wingdings" w:hAnsi="Wingdings" w:hint="default"/>
      </w:rPr>
    </w:lvl>
    <w:lvl w:ilvl="6" w:tplc="C6D0D70C" w:tentative="1">
      <w:start w:val="1"/>
      <w:numFmt w:val="bullet"/>
      <w:lvlText w:val=""/>
      <w:lvlJc w:val="left"/>
      <w:pPr>
        <w:ind w:left="5040" w:hanging="360"/>
      </w:pPr>
      <w:rPr>
        <w:rFonts w:ascii="Symbol" w:hAnsi="Symbol" w:hint="default"/>
      </w:rPr>
    </w:lvl>
    <w:lvl w:ilvl="7" w:tplc="5F6413EE" w:tentative="1">
      <w:start w:val="1"/>
      <w:numFmt w:val="bullet"/>
      <w:lvlText w:val="o"/>
      <w:lvlJc w:val="left"/>
      <w:pPr>
        <w:ind w:left="5760" w:hanging="360"/>
      </w:pPr>
      <w:rPr>
        <w:rFonts w:ascii="Courier New" w:hAnsi="Courier New" w:cs="Courier New" w:hint="default"/>
      </w:rPr>
    </w:lvl>
    <w:lvl w:ilvl="8" w:tplc="05EC6A42" w:tentative="1">
      <w:start w:val="1"/>
      <w:numFmt w:val="bullet"/>
      <w:lvlText w:val=""/>
      <w:lvlJc w:val="left"/>
      <w:pPr>
        <w:ind w:left="6480" w:hanging="360"/>
      </w:pPr>
      <w:rPr>
        <w:rFonts w:ascii="Wingdings" w:hAnsi="Wingdings" w:hint="default"/>
      </w:rPr>
    </w:lvl>
  </w:abstractNum>
  <w:abstractNum w:abstractNumId="23">
    <w:nsid w:val="42142A31"/>
    <w:multiLevelType w:val="multilevel"/>
    <w:tmpl w:val="FA041674"/>
    <w:lvl w:ilvl="0">
      <w:start w:val="1"/>
      <w:numFmt w:val="upperLetter"/>
      <w:pStyle w:val="Appendix"/>
      <w:suff w:val="nothing"/>
      <w:lvlText w:val="Appendix %1"/>
      <w:lvlJc w:val="left"/>
      <w:pPr>
        <w:ind w:left="0" w:firstLine="0"/>
      </w:pPr>
      <w:rPr>
        <w:rFonts w:hint="default"/>
      </w:rPr>
    </w:lvl>
    <w:lvl w:ilvl="1">
      <w:start w:val="1"/>
      <w:numFmt w:val="decimal"/>
      <w:pStyle w:val="AppendixTableCaption"/>
      <w:suff w:val="nothing"/>
      <w:lvlText w:val="Table %1.%2"/>
      <w:lvlJc w:val="left"/>
      <w:pPr>
        <w:ind w:left="0" w:firstLine="0"/>
      </w:pPr>
      <w:rPr>
        <w:rFonts w:ascii="Calibri" w:hAnsi="Calibri" w:cs="Arial" w:hint="default"/>
        <w:b/>
        <w:i w:val="0"/>
        <w:color w:val="002776"/>
        <w:sz w:val="22"/>
      </w:rPr>
    </w:lvl>
    <w:lvl w:ilvl="2">
      <w:start w:val="1"/>
      <w:numFmt w:val="decimal"/>
      <w:lvlRestart w:val="1"/>
      <w:pStyle w:val="AppendixChartCaption"/>
      <w:suff w:val="nothing"/>
      <w:lvlText w:val="Chart %1.%3"/>
      <w:lvlJc w:val="left"/>
      <w:pPr>
        <w:ind w:left="0" w:firstLine="0"/>
      </w:pPr>
      <w:rPr>
        <w:rFonts w:ascii="Calibri" w:hAnsi="Calibri" w:cs="Arial" w:hint="default"/>
        <w:b/>
        <w:i w:val="0"/>
        <w:color w:val="002776"/>
        <w:sz w:val="22"/>
        <w:szCs w:val="24"/>
      </w:rPr>
    </w:lvl>
    <w:lvl w:ilvl="3">
      <w:start w:val="1"/>
      <w:numFmt w:val="decimal"/>
      <w:lvlRestart w:val="1"/>
      <w:pStyle w:val="AppendixFigureCaption"/>
      <w:suff w:val="nothing"/>
      <w:lvlText w:val="Figure %1.%4"/>
      <w:lvlJc w:val="left"/>
      <w:pPr>
        <w:ind w:left="0" w:firstLine="0"/>
      </w:pPr>
      <w:rPr>
        <w:rFonts w:ascii="Calibri" w:hAnsi="Calibri" w:cs="Arial" w:hint="default"/>
        <w:b/>
        <w:i w:val="0"/>
        <w:color w:val="002776"/>
        <w:sz w:val="22"/>
        <w:szCs w:val="24"/>
      </w:rPr>
    </w:lvl>
    <w:lvl w:ilvl="4">
      <w:start w:val="1"/>
      <w:numFmt w:val="decimal"/>
      <w:lvlText w:val="%1.%2.%3.%4.%5"/>
      <w:lvlJc w:val="left"/>
      <w:pPr>
        <w:tabs>
          <w:tab w:val="num" w:pos="1134"/>
        </w:tabs>
        <w:ind w:left="1134" w:hanging="1134"/>
      </w:pPr>
      <w:rPr>
        <w:rFonts w:ascii="Arial" w:hAnsi="Arial" w:cs="Arial" w:hint="default"/>
        <w:b w:val="0"/>
        <w:i w:val="0"/>
        <w:color w:val="931638"/>
        <w:sz w:val="20"/>
      </w:rPr>
    </w:lvl>
    <w:lvl w:ilvl="5">
      <w:start w:val="1"/>
      <w:numFmt w:val="decimal"/>
      <w:lvlText w:val="%1.%2.%3.%4.%5.%6"/>
      <w:lvlJc w:val="left"/>
      <w:pPr>
        <w:tabs>
          <w:tab w:val="num" w:pos="1701"/>
        </w:tabs>
        <w:ind w:left="1701" w:hanging="1701"/>
      </w:pPr>
      <w:rPr>
        <w:rFonts w:ascii="Arial" w:hAnsi="Arial" w:cs="Arial" w:hint="default"/>
        <w:b w:val="0"/>
        <w:i w:val="0"/>
        <w:color w:val="931638"/>
        <w:sz w:val="20"/>
      </w:rPr>
    </w:lvl>
    <w:lvl w:ilvl="6">
      <w:start w:val="1"/>
      <w:numFmt w:val="decimal"/>
      <w:lvlText w:val="%1.%2.%3.%4.%5.%6.%7"/>
      <w:lvlJc w:val="left"/>
      <w:pPr>
        <w:tabs>
          <w:tab w:val="num" w:pos="1701"/>
        </w:tabs>
        <w:ind w:left="1701" w:hanging="1701"/>
      </w:pPr>
      <w:rPr>
        <w:rFonts w:ascii="Arial" w:hAnsi="Arial" w:cs="Arial" w:hint="default"/>
        <w:b w:val="0"/>
        <w:i w:val="0"/>
        <w:color w:val="931638"/>
        <w:sz w:val="20"/>
      </w:rPr>
    </w:lvl>
    <w:lvl w:ilvl="7">
      <w:start w:val="1"/>
      <w:numFmt w:val="decimal"/>
      <w:lvlText w:val="%1.%2.%3.%4.%5.%6.%7.%8"/>
      <w:lvlJc w:val="left"/>
      <w:pPr>
        <w:tabs>
          <w:tab w:val="num" w:pos="1701"/>
        </w:tabs>
        <w:ind w:left="1701" w:hanging="1701"/>
      </w:pPr>
      <w:rPr>
        <w:rFonts w:ascii="Arial" w:hAnsi="Arial" w:cs="Arial" w:hint="default"/>
        <w:b w:val="0"/>
        <w:i w:val="0"/>
        <w:color w:val="931638"/>
        <w:sz w:val="20"/>
      </w:rPr>
    </w:lvl>
    <w:lvl w:ilvl="8">
      <w:start w:val="1"/>
      <w:numFmt w:val="decimal"/>
      <w:lvlText w:val="%1.%2.%3.%4.%5.%6.%7.%8.%9"/>
      <w:lvlJc w:val="left"/>
      <w:pPr>
        <w:tabs>
          <w:tab w:val="num" w:pos="1701"/>
        </w:tabs>
        <w:ind w:left="1701" w:hanging="1701"/>
      </w:pPr>
      <w:rPr>
        <w:rFonts w:ascii="Arial" w:hAnsi="Arial" w:cs="Arial" w:hint="default"/>
        <w:b w:val="0"/>
        <w:i w:val="0"/>
        <w:color w:val="931638"/>
        <w:sz w:val="20"/>
      </w:rPr>
    </w:lvl>
  </w:abstractNum>
  <w:abstractNum w:abstractNumId="24">
    <w:nsid w:val="4393200F"/>
    <w:multiLevelType w:val="singleLevel"/>
    <w:tmpl w:val="4614C302"/>
    <w:lvl w:ilvl="0">
      <w:start w:val="1"/>
      <w:numFmt w:val="lowerLetter"/>
      <w:pStyle w:val="IndentAlphabeticList"/>
      <w:lvlText w:val="%1"/>
      <w:lvlJc w:val="left"/>
      <w:pPr>
        <w:ind w:left="927" w:hanging="360"/>
      </w:pPr>
      <w:rPr>
        <w:rFonts w:ascii="Calibri" w:hAnsi="Calibri" w:cs="Arial" w:hint="default"/>
        <w:b w:val="0"/>
        <w:i w:val="0"/>
        <w:color w:val="000000"/>
        <w:sz w:val="24"/>
        <w:szCs w:val="22"/>
      </w:rPr>
    </w:lvl>
  </w:abstractNum>
  <w:abstractNum w:abstractNumId="25">
    <w:nsid w:val="4CA04DDB"/>
    <w:multiLevelType w:val="multilevel"/>
    <w:tmpl w:val="0409001D"/>
    <w:name w:val="IndentDash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CE2E8E"/>
    <w:multiLevelType w:val="multilevel"/>
    <w:tmpl w:val="3D485516"/>
    <w:name w:val="BulletList"/>
    <w:lvl w:ilvl="0">
      <w:numFmt w:val="none"/>
      <w:lvlText w:val=""/>
      <w:lvlJc w:val="left"/>
      <w:pPr>
        <w:tabs>
          <w:tab w:val="num" w:pos="360"/>
        </w:tabs>
      </w:pPr>
    </w:lvl>
    <w:lvl w:ilvl="1">
      <w:start w:val="1"/>
      <w:numFmt w:val="bullet"/>
      <w:lvlRestart w:val="0"/>
      <w:pStyle w:val="DashList"/>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558758ED"/>
    <w:multiLevelType w:val="hybridMultilevel"/>
    <w:tmpl w:val="DF4866C2"/>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nsid w:val="5A693A46"/>
    <w:multiLevelType w:val="singleLevel"/>
    <w:tmpl w:val="8E3AB198"/>
    <w:name w:val="NumberedList"/>
    <w:lvl w:ilvl="0">
      <w:start w:val="1"/>
      <w:numFmt w:val="lowerLetter"/>
      <w:lvlRestart w:val="0"/>
      <w:lvlText w:val="%1"/>
      <w:lvlJc w:val="left"/>
      <w:pPr>
        <w:tabs>
          <w:tab w:val="num" w:pos="1134"/>
        </w:tabs>
        <w:ind w:left="1134" w:hanging="567"/>
      </w:pPr>
      <w:rPr>
        <w:rFonts w:ascii="Arial" w:hAnsi="Arial" w:cs="Arial" w:hint="default"/>
        <w:b w:val="0"/>
        <w:i w:val="0"/>
        <w:color w:val="000000"/>
        <w:sz w:val="24"/>
        <w:szCs w:val="22"/>
      </w:rPr>
    </w:lvl>
  </w:abstractNum>
  <w:abstractNum w:abstractNumId="29">
    <w:nsid w:val="5BB86D4F"/>
    <w:multiLevelType w:val="hybridMultilevel"/>
    <w:tmpl w:val="0E3A2C06"/>
    <w:lvl w:ilvl="0" w:tplc="2892F572">
      <w:start w:val="1"/>
      <w:numFmt w:val="bullet"/>
      <w:pStyle w:val="Bullet2"/>
      <w:lvlText w:val="•"/>
      <w:lvlJc w:val="left"/>
      <w:pPr>
        <w:ind w:left="1287" w:hanging="360"/>
      </w:pPr>
      <w:rPr>
        <w:rFonts w:ascii="Calibri" w:hAnsi="Calibri" w:hint="default"/>
        <w:color w:val="72C7E7"/>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nsid w:val="5BEA6677"/>
    <w:multiLevelType w:val="hybridMultilevel"/>
    <w:tmpl w:val="42C01E0C"/>
    <w:name w:val="IndentAlphabeticList"/>
    <w:lvl w:ilvl="0" w:tplc="130C176A">
      <w:start w:val="1"/>
      <w:numFmt w:val="bullet"/>
      <w:lvlText w:val=""/>
      <w:lvlJc w:val="left"/>
      <w:pPr>
        <w:ind w:left="720" w:hanging="360"/>
      </w:pPr>
      <w:rPr>
        <w:rFonts w:ascii="Symbol" w:hAnsi="Symbol" w:hint="default"/>
      </w:rPr>
    </w:lvl>
    <w:lvl w:ilvl="1" w:tplc="9AEE3FCA" w:tentative="1">
      <w:start w:val="1"/>
      <w:numFmt w:val="bullet"/>
      <w:lvlText w:val="o"/>
      <w:lvlJc w:val="left"/>
      <w:pPr>
        <w:ind w:left="1440" w:hanging="360"/>
      </w:pPr>
      <w:rPr>
        <w:rFonts w:ascii="Courier New" w:hAnsi="Courier New" w:cs="Courier New" w:hint="default"/>
      </w:rPr>
    </w:lvl>
    <w:lvl w:ilvl="2" w:tplc="9F68C952" w:tentative="1">
      <w:start w:val="1"/>
      <w:numFmt w:val="bullet"/>
      <w:lvlText w:val=""/>
      <w:lvlJc w:val="left"/>
      <w:pPr>
        <w:ind w:left="2160" w:hanging="360"/>
      </w:pPr>
      <w:rPr>
        <w:rFonts w:ascii="Wingdings" w:hAnsi="Wingdings" w:hint="default"/>
      </w:rPr>
    </w:lvl>
    <w:lvl w:ilvl="3" w:tplc="03A2D29A" w:tentative="1">
      <w:start w:val="1"/>
      <w:numFmt w:val="bullet"/>
      <w:lvlText w:val=""/>
      <w:lvlJc w:val="left"/>
      <w:pPr>
        <w:ind w:left="2880" w:hanging="360"/>
      </w:pPr>
      <w:rPr>
        <w:rFonts w:ascii="Symbol" w:hAnsi="Symbol" w:hint="default"/>
      </w:rPr>
    </w:lvl>
    <w:lvl w:ilvl="4" w:tplc="079E955C" w:tentative="1">
      <w:start w:val="1"/>
      <w:numFmt w:val="bullet"/>
      <w:lvlText w:val="o"/>
      <w:lvlJc w:val="left"/>
      <w:pPr>
        <w:ind w:left="3600" w:hanging="360"/>
      </w:pPr>
      <w:rPr>
        <w:rFonts w:ascii="Courier New" w:hAnsi="Courier New" w:cs="Courier New" w:hint="default"/>
      </w:rPr>
    </w:lvl>
    <w:lvl w:ilvl="5" w:tplc="717070D0" w:tentative="1">
      <w:start w:val="1"/>
      <w:numFmt w:val="bullet"/>
      <w:lvlText w:val=""/>
      <w:lvlJc w:val="left"/>
      <w:pPr>
        <w:ind w:left="4320" w:hanging="360"/>
      </w:pPr>
      <w:rPr>
        <w:rFonts w:ascii="Wingdings" w:hAnsi="Wingdings" w:hint="default"/>
      </w:rPr>
    </w:lvl>
    <w:lvl w:ilvl="6" w:tplc="5B10D098" w:tentative="1">
      <w:start w:val="1"/>
      <w:numFmt w:val="bullet"/>
      <w:lvlText w:val=""/>
      <w:lvlJc w:val="left"/>
      <w:pPr>
        <w:ind w:left="5040" w:hanging="360"/>
      </w:pPr>
      <w:rPr>
        <w:rFonts w:ascii="Symbol" w:hAnsi="Symbol" w:hint="default"/>
      </w:rPr>
    </w:lvl>
    <w:lvl w:ilvl="7" w:tplc="0366C4A8" w:tentative="1">
      <w:start w:val="1"/>
      <w:numFmt w:val="bullet"/>
      <w:lvlText w:val="o"/>
      <w:lvlJc w:val="left"/>
      <w:pPr>
        <w:ind w:left="5760" w:hanging="360"/>
      </w:pPr>
      <w:rPr>
        <w:rFonts w:ascii="Courier New" w:hAnsi="Courier New" w:cs="Courier New" w:hint="default"/>
      </w:rPr>
    </w:lvl>
    <w:lvl w:ilvl="8" w:tplc="ED520634" w:tentative="1">
      <w:start w:val="1"/>
      <w:numFmt w:val="bullet"/>
      <w:lvlText w:val=""/>
      <w:lvlJc w:val="left"/>
      <w:pPr>
        <w:ind w:left="6480" w:hanging="360"/>
      </w:pPr>
      <w:rPr>
        <w:rFonts w:ascii="Wingdings" w:hAnsi="Wingdings" w:hint="default"/>
      </w:rPr>
    </w:lvl>
  </w:abstractNum>
  <w:abstractNum w:abstractNumId="31">
    <w:nsid w:val="5BF929A3"/>
    <w:multiLevelType w:val="hybridMultilevel"/>
    <w:tmpl w:val="24A05C3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2">
    <w:nsid w:val="601A2164"/>
    <w:multiLevelType w:val="singleLevel"/>
    <w:tmpl w:val="28CC76BA"/>
    <w:lvl w:ilvl="0">
      <w:start w:val="1"/>
      <w:numFmt w:val="upperLetter"/>
      <w:pStyle w:val="AlphabeticList"/>
      <w:lvlText w:val="%1"/>
      <w:lvlJc w:val="left"/>
      <w:pPr>
        <w:ind w:left="567" w:hanging="567"/>
      </w:pPr>
      <w:rPr>
        <w:rFonts w:ascii="Calibri" w:hAnsi="Calibri" w:cs="Arial" w:hint="default"/>
      </w:rPr>
    </w:lvl>
  </w:abstractNum>
  <w:abstractNum w:abstractNumId="33">
    <w:nsid w:val="6C2815A0"/>
    <w:multiLevelType w:val="multilevel"/>
    <w:tmpl w:val="2240431E"/>
    <w:name w:val="AlphabeticList"/>
    <w:lvl w:ilvl="0">
      <w:numFmt w:val="none"/>
      <w:lvlText w:val=""/>
      <w:lvlJc w:val="left"/>
      <w:pPr>
        <w:tabs>
          <w:tab w:val="num" w:pos="360"/>
        </w:tabs>
      </w:p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71174C9B"/>
    <w:multiLevelType w:val="hybridMultilevel"/>
    <w:tmpl w:val="8436B0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nsid w:val="71452641"/>
    <w:multiLevelType w:val="multilevel"/>
    <w:tmpl w:val="ACDE66B8"/>
    <w:lvl w:ilvl="0">
      <w:start w:val="1"/>
      <w:numFmt w:val="decimal"/>
      <w:pStyle w:val="NumberedList"/>
      <w:lvlText w:val="%1."/>
      <w:lvlJc w:val="left"/>
      <w:pPr>
        <w:ind w:left="567" w:hanging="567"/>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1890" w:hanging="180"/>
      </w:pPr>
      <w:rPr>
        <w:rFonts w:hint="default"/>
      </w:rPr>
    </w:lvl>
    <w:lvl w:ilvl="3">
      <w:start w:val="1"/>
      <w:numFmt w:val="decimal"/>
      <w:lvlText w:val="%4."/>
      <w:lvlJc w:val="left"/>
      <w:pPr>
        <w:ind w:left="2610" w:hanging="360"/>
      </w:pPr>
      <w:rPr>
        <w:rFonts w:hint="default"/>
      </w:rPr>
    </w:lvl>
    <w:lvl w:ilvl="4">
      <w:start w:val="1"/>
      <w:numFmt w:val="lowerLetter"/>
      <w:lvlText w:val="%5."/>
      <w:lvlJc w:val="left"/>
      <w:pPr>
        <w:ind w:left="3330" w:hanging="360"/>
      </w:pPr>
      <w:rPr>
        <w:rFonts w:hint="default"/>
      </w:rPr>
    </w:lvl>
    <w:lvl w:ilvl="5">
      <w:start w:val="1"/>
      <w:numFmt w:val="lowerRoman"/>
      <w:lvlText w:val="%6."/>
      <w:lvlJc w:val="right"/>
      <w:pPr>
        <w:ind w:left="4050" w:hanging="180"/>
      </w:pPr>
      <w:rPr>
        <w:rFonts w:hint="default"/>
      </w:rPr>
    </w:lvl>
    <w:lvl w:ilvl="6">
      <w:start w:val="1"/>
      <w:numFmt w:val="decimal"/>
      <w:lvlText w:val="%7."/>
      <w:lvlJc w:val="left"/>
      <w:pPr>
        <w:ind w:left="4770" w:hanging="360"/>
      </w:pPr>
      <w:rPr>
        <w:rFonts w:hint="default"/>
      </w:rPr>
    </w:lvl>
    <w:lvl w:ilvl="7">
      <w:start w:val="1"/>
      <w:numFmt w:val="lowerLetter"/>
      <w:lvlText w:val="%8."/>
      <w:lvlJc w:val="left"/>
      <w:pPr>
        <w:ind w:left="5490" w:hanging="360"/>
      </w:pPr>
      <w:rPr>
        <w:rFonts w:hint="default"/>
      </w:rPr>
    </w:lvl>
    <w:lvl w:ilvl="8">
      <w:start w:val="1"/>
      <w:numFmt w:val="lowerRoman"/>
      <w:lvlText w:val="%9."/>
      <w:lvlJc w:val="right"/>
      <w:pPr>
        <w:ind w:left="6210" w:hanging="180"/>
      </w:pPr>
      <w:rPr>
        <w:rFonts w:hint="default"/>
      </w:rPr>
    </w:lvl>
  </w:abstractNum>
  <w:abstractNum w:abstractNumId="36">
    <w:nsid w:val="74D31029"/>
    <w:multiLevelType w:val="multilevel"/>
    <w:tmpl w:val="B080CDA2"/>
    <w:lvl w:ilvl="0">
      <w:start w:val="1"/>
      <w:numFmt w:val="bullet"/>
      <w:pStyle w:val="Bullet1"/>
      <w:lvlText w:val=""/>
      <w:lvlJc w:val="left"/>
      <w:pPr>
        <w:ind w:left="360" w:hanging="360"/>
      </w:pPr>
      <w:rPr>
        <w:rFonts w:ascii="Symbol" w:hAnsi="Symbol" w:hint="default"/>
        <w:color w:val="002776"/>
        <w:sz w:val="22"/>
      </w:r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bullet"/>
      <w:lvlText w:val="-"/>
      <w:lvlJc w:val="left"/>
      <w:pPr>
        <w:tabs>
          <w:tab w:val="num" w:pos="1701"/>
        </w:tabs>
        <w:ind w:left="1701" w:hanging="567"/>
      </w:pPr>
      <w:rPr>
        <w:rFonts w:ascii="Arial" w:hAnsi="Arial" w:hint="default"/>
        <w:color w:val="93163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75E058BD"/>
    <w:multiLevelType w:val="hybridMultilevel"/>
    <w:tmpl w:val="4BE04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75728CF"/>
    <w:multiLevelType w:val="hybridMultilevel"/>
    <w:tmpl w:val="9F1807C8"/>
    <w:lvl w:ilvl="0" w:tplc="1ED06BF4">
      <w:start w:val="1"/>
      <w:numFmt w:val="bullet"/>
      <w:pStyle w:val="DBullet"/>
      <w:lvlText w:val=""/>
      <w:lvlJc w:val="left"/>
      <w:pPr>
        <w:tabs>
          <w:tab w:val="num" w:pos="357"/>
        </w:tabs>
        <w:ind w:left="357" w:hanging="357"/>
      </w:pPr>
      <w:rPr>
        <w:rFonts w:ascii="Symbol" w:hAnsi="Symbol" w:hint="default"/>
      </w:rPr>
    </w:lvl>
    <w:lvl w:ilvl="1" w:tplc="D940FEDA" w:tentative="1">
      <w:start w:val="1"/>
      <w:numFmt w:val="bullet"/>
      <w:lvlText w:val="o"/>
      <w:lvlJc w:val="left"/>
      <w:pPr>
        <w:tabs>
          <w:tab w:val="num" w:pos="1090"/>
        </w:tabs>
        <w:ind w:left="1090" w:hanging="360"/>
      </w:pPr>
      <w:rPr>
        <w:rFonts w:ascii="Courier New" w:hAnsi="Courier New" w:cs="Courier New" w:hint="default"/>
      </w:rPr>
    </w:lvl>
    <w:lvl w:ilvl="2" w:tplc="A7665F9E" w:tentative="1">
      <w:start w:val="1"/>
      <w:numFmt w:val="bullet"/>
      <w:lvlText w:val=""/>
      <w:lvlJc w:val="left"/>
      <w:pPr>
        <w:tabs>
          <w:tab w:val="num" w:pos="1810"/>
        </w:tabs>
        <w:ind w:left="1810" w:hanging="360"/>
      </w:pPr>
      <w:rPr>
        <w:rFonts w:ascii="Wingdings" w:hAnsi="Wingdings" w:hint="default"/>
      </w:rPr>
    </w:lvl>
    <w:lvl w:ilvl="3" w:tplc="8E06246A" w:tentative="1">
      <w:start w:val="1"/>
      <w:numFmt w:val="bullet"/>
      <w:lvlText w:val=""/>
      <w:lvlJc w:val="left"/>
      <w:pPr>
        <w:tabs>
          <w:tab w:val="num" w:pos="2530"/>
        </w:tabs>
        <w:ind w:left="2530" w:hanging="360"/>
      </w:pPr>
      <w:rPr>
        <w:rFonts w:ascii="Symbol" w:hAnsi="Symbol" w:hint="default"/>
      </w:rPr>
    </w:lvl>
    <w:lvl w:ilvl="4" w:tplc="5B68272E" w:tentative="1">
      <w:start w:val="1"/>
      <w:numFmt w:val="bullet"/>
      <w:lvlText w:val="o"/>
      <w:lvlJc w:val="left"/>
      <w:pPr>
        <w:tabs>
          <w:tab w:val="num" w:pos="3250"/>
        </w:tabs>
        <w:ind w:left="3250" w:hanging="360"/>
      </w:pPr>
      <w:rPr>
        <w:rFonts w:ascii="Courier New" w:hAnsi="Courier New" w:cs="Courier New" w:hint="default"/>
      </w:rPr>
    </w:lvl>
    <w:lvl w:ilvl="5" w:tplc="5D8EA73A" w:tentative="1">
      <w:start w:val="1"/>
      <w:numFmt w:val="bullet"/>
      <w:lvlText w:val=""/>
      <w:lvlJc w:val="left"/>
      <w:pPr>
        <w:tabs>
          <w:tab w:val="num" w:pos="3970"/>
        </w:tabs>
        <w:ind w:left="3970" w:hanging="360"/>
      </w:pPr>
      <w:rPr>
        <w:rFonts w:ascii="Wingdings" w:hAnsi="Wingdings" w:hint="default"/>
      </w:rPr>
    </w:lvl>
    <w:lvl w:ilvl="6" w:tplc="E022338C" w:tentative="1">
      <w:start w:val="1"/>
      <w:numFmt w:val="bullet"/>
      <w:lvlText w:val=""/>
      <w:lvlJc w:val="left"/>
      <w:pPr>
        <w:tabs>
          <w:tab w:val="num" w:pos="4690"/>
        </w:tabs>
        <w:ind w:left="4690" w:hanging="360"/>
      </w:pPr>
      <w:rPr>
        <w:rFonts w:ascii="Symbol" w:hAnsi="Symbol" w:hint="default"/>
      </w:rPr>
    </w:lvl>
    <w:lvl w:ilvl="7" w:tplc="E11EDBF2" w:tentative="1">
      <w:start w:val="1"/>
      <w:numFmt w:val="bullet"/>
      <w:lvlText w:val="o"/>
      <w:lvlJc w:val="left"/>
      <w:pPr>
        <w:tabs>
          <w:tab w:val="num" w:pos="5410"/>
        </w:tabs>
        <w:ind w:left="5410" w:hanging="360"/>
      </w:pPr>
      <w:rPr>
        <w:rFonts w:ascii="Courier New" w:hAnsi="Courier New" w:cs="Courier New" w:hint="default"/>
      </w:rPr>
    </w:lvl>
    <w:lvl w:ilvl="8" w:tplc="50D689AE" w:tentative="1">
      <w:start w:val="1"/>
      <w:numFmt w:val="bullet"/>
      <w:lvlText w:val=""/>
      <w:lvlJc w:val="left"/>
      <w:pPr>
        <w:tabs>
          <w:tab w:val="num" w:pos="6130"/>
        </w:tabs>
        <w:ind w:left="6130" w:hanging="360"/>
      </w:pPr>
      <w:rPr>
        <w:rFonts w:ascii="Wingdings" w:hAnsi="Wingdings" w:hint="default"/>
      </w:rPr>
    </w:lvl>
  </w:abstractNum>
  <w:num w:numId="1">
    <w:abstractNumId w:val="26"/>
  </w:num>
  <w:num w:numId="2">
    <w:abstractNumId w:val="32"/>
  </w:num>
  <w:num w:numId="3">
    <w:abstractNumId w:val="24"/>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36"/>
  </w:num>
  <w:num w:numId="7">
    <w:abstractNumId w:val="29"/>
  </w:num>
  <w:num w:numId="8">
    <w:abstractNumId w:val="11"/>
  </w:num>
  <w:num w:numId="9">
    <w:abstractNumId w:val="19"/>
  </w:num>
  <w:num w:numId="10">
    <w:abstractNumId w:val="14"/>
  </w:num>
  <w:num w:numId="11">
    <w:abstractNumId w:val="10"/>
  </w:num>
  <w:num w:numId="12">
    <w:abstractNumId w:val="35"/>
  </w:num>
  <w:num w:numId="13">
    <w:abstractNumId w:val="9"/>
  </w:num>
  <w:num w:numId="14">
    <w:abstractNumId w:val="23"/>
  </w:num>
  <w:num w:numId="15">
    <w:abstractNumId w:val="38"/>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20"/>
  </w:num>
  <w:num w:numId="31">
    <w:abstractNumId w:val="19"/>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34"/>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31"/>
  </w:num>
  <w:num w:numId="40">
    <w:abstractNumId w:val="36"/>
  </w:num>
  <w:num w:numId="41">
    <w:abstractNumId w:val="36"/>
  </w:num>
  <w:num w:numId="42">
    <w:abstractNumId w:val="36"/>
  </w:num>
  <w:num w:numId="43">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567"/>
  <w:drawingGridHorizontalSpacing w:val="110"/>
  <w:displayHorizont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C08"/>
    <w:rsid w:val="000001AB"/>
    <w:rsid w:val="000002DC"/>
    <w:rsid w:val="000007D3"/>
    <w:rsid w:val="00000C26"/>
    <w:rsid w:val="00001277"/>
    <w:rsid w:val="000024C3"/>
    <w:rsid w:val="0000305E"/>
    <w:rsid w:val="0000329C"/>
    <w:rsid w:val="00003BBA"/>
    <w:rsid w:val="00003CCA"/>
    <w:rsid w:val="00004BA1"/>
    <w:rsid w:val="000058CD"/>
    <w:rsid w:val="0000666C"/>
    <w:rsid w:val="00006690"/>
    <w:rsid w:val="000066F0"/>
    <w:rsid w:val="00006A9F"/>
    <w:rsid w:val="00010019"/>
    <w:rsid w:val="00010875"/>
    <w:rsid w:val="00010C36"/>
    <w:rsid w:val="00010E7D"/>
    <w:rsid w:val="0001118F"/>
    <w:rsid w:val="0001128F"/>
    <w:rsid w:val="00011D2A"/>
    <w:rsid w:val="00012C70"/>
    <w:rsid w:val="00014351"/>
    <w:rsid w:val="0001451A"/>
    <w:rsid w:val="0001458D"/>
    <w:rsid w:val="00014B2C"/>
    <w:rsid w:val="0001580E"/>
    <w:rsid w:val="000167FF"/>
    <w:rsid w:val="000171FE"/>
    <w:rsid w:val="000175EC"/>
    <w:rsid w:val="000179BD"/>
    <w:rsid w:val="00020ABB"/>
    <w:rsid w:val="00020CCD"/>
    <w:rsid w:val="000216EF"/>
    <w:rsid w:val="00022C61"/>
    <w:rsid w:val="0002306E"/>
    <w:rsid w:val="000232A6"/>
    <w:rsid w:val="00024338"/>
    <w:rsid w:val="000259C8"/>
    <w:rsid w:val="00025B68"/>
    <w:rsid w:val="000263B6"/>
    <w:rsid w:val="00026595"/>
    <w:rsid w:val="00026AC5"/>
    <w:rsid w:val="00027A98"/>
    <w:rsid w:val="00027CE4"/>
    <w:rsid w:val="00030332"/>
    <w:rsid w:val="0003053E"/>
    <w:rsid w:val="0003092F"/>
    <w:rsid w:val="00031072"/>
    <w:rsid w:val="00031E68"/>
    <w:rsid w:val="00032BCA"/>
    <w:rsid w:val="00032E26"/>
    <w:rsid w:val="00033312"/>
    <w:rsid w:val="00033340"/>
    <w:rsid w:val="00033565"/>
    <w:rsid w:val="0003384F"/>
    <w:rsid w:val="000346D0"/>
    <w:rsid w:val="000349C1"/>
    <w:rsid w:val="00035632"/>
    <w:rsid w:val="000357E8"/>
    <w:rsid w:val="000359D8"/>
    <w:rsid w:val="00036110"/>
    <w:rsid w:val="00040225"/>
    <w:rsid w:val="00040526"/>
    <w:rsid w:val="00040A73"/>
    <w:rsid w:val="0004142B"/>
    <w:rsid w:val="000414D3"/>
    <w:rsid w:val="00041ADD"/>
    <w:rsid w:val="00041D71"/>
    <w:rsid w:val="00042200"/>
    <w:rsid w:val="00042225"/>
    <w:rsid w:val="00042A90"/>
    <w:rsid w:val="00043622"/>
    <w:rsid w:val="00043E63"/>
    <w:rsid w:val="00044EB4"/>
    <w:rsid w:val="0004528F"/>
    <w:rsid w:val="000464FE"/>
    <w:rsid w:val="00046B51"/>
    <w:rsid w:val="00047318"/>
    <w:rsid w:val="000475CE"/>
    <w:rsid w:val="00050E22"/>
    <w:rsid w:val="000510BC"/>
    <w:rsid w:val="00051164"/>
    <w:rsid w:val="000519AD"/>
    <w:rsid w:val="00053253"/>
    <w:rsid w:val="00053ABD"/>
    <w:rsid w:val="00054A03"/>
    <w:rsid w:val="00054F38"/>
    <w:rsid w:val="00057796"/>
    <w:rsid w:val="00061808"/>
    <w:rsid w:val="000630A5"/>
    <w:rsid w:val="0006373B"/>
    <w:rsid w:val="0006374F"/>
    <w:rsid w:val="000637EA"/>
    <w:rsid w:val="0006462F"/>
    <w:rsid w:val="00064662"/>
    <w:rsid w:val="00064FDE"/>
    <w:rsid w:val="00065293"/>
    <w:rsid w:val="00065970"/>
    <w:rsid w:val="00066753"/>
    <w:rsid w:val="000675FC"/>
    <w:rsid w:val="00070D97"/>
    <w:rsid w:val="00070F59"/>
    <w:rsid w:val="00071072"/>
    <w:rsid w:val="00071B5A"/>
    <w:rsid w:val="00071CC2"/>
    <w:rsid w:val="00071DBC"/>
    <w:rsid w:val="000735D5"/>
    <w:rsid w:val="000736F1"/>
    <w:rsid w:val="00073BCE"/>
    <w:rsid w:val="00075B02"/>
    <w:rsid w:val="00077240"/>
    <w:rsid w:val="00077299"/>
    <w:rsid w:val="000774C2"/>
    <w:rsid w:val="00077860"/>
    <w:rsid w:val="00080392"/>
    <w:rsid w:val="0008070D"/>
    <w:rsid w:val="00080F67"/>
    <w:rsid w:val="0008158E"/>
    <w:rsid w:val="000817FC"/>
    <w:rsid w:val="000819AB"/>
    <w:rsid w:val="00081A49"/>
    <w:rsid w:val="00083609"/>
    <w:rsid w:val="000837F7"/>
    <w:rsid w:val="00083B04"/>
    <w:rsid w:val="00084329"/>
    <w:rsid w:val="000862C9"/>
    <w:rsid w:val="000866C4"/>
    <w:rsid w:val="00087A0D"/>
    <w:rsid w:val="00091248"/>
    <w:rsid w:val="00091EDC"/>
    <w:rsid w:val="00092C4C"/>
    <w:rsid w:val="00092DD3"/>
    <w:rsid w:val="00092E57"/>
    <w:rsid w:val="00092FE5"/>
    <w:rsid w:val="0009422D"/>
    <w:rsid w:val="0009440B"/>
    <w:rsid w:val="00094DE6"/>
    <w:rsid w:val="00095D13"/>
    <w:rsid w:val="00095F46"/>
    <w:rsid w:val="00096F80"/>
    <w:rsid w:val="00097217"/>
    <w:rsid w:val="000974E2"/>
    <w:rsid w:val="000977C7"/>
    <w:rsid w:val="000A07AE"/>
    <w:rsid w:val="000A151D"/>
    <w:rsid w:val="000A167C"/>
    <w:rsid w:val="000A1A5E"/>
    <w:rsid w:val="000A1CD2"/>
    <w:rsid w:val="000A4282"/>
    <w:rsid w:val="000A54E4"/>
    <w:rsid w:val="000A5D64"/>
    <w:rsid w:val="000A6ABD"/>
    <w:rsid w:val="000A718C"/>
    <w:rsid w:val="000A7C35"/>
    <w:rsid w:val="000A7C47"/>
    <w:rsid w:val="000B006E"/>
    <w:rsid w:val="000B0B8B"/>
    <w:rsid w:val="000B167B"/>
    <w:rsid w:val="000B1CE5"/>
    <w:rsid w:val="000B243C"/>
    <w:rsid w:val="000B28E0"/>
    <w:rsid w:val="000B3975"/>
    <w:rsid w:val="000B3CEC"/>
    <w:rsid w:val="000B4357"/>
    <w:rsid w:val="000B54A5"/>
    <w:rsid w:val="000B72BC"/>
    <w:rsid w:val="000B7BAB"/>
    <w:rsid w:val="000C051B"/>
    <w:rsid w:val="000C387F"/>
    <w:rsid w:val="000C3B61"/>
    <w:rsid w:val="000C464A"/>
    <w:rsid w:val="000C585D"/>
    <w:rsid w:val="000C5DF5"/>
    <w:rsid w:val="000C7839"/>
    <w:rsid w:val="000D1965"/>
    <w:rsid w:val="000D19BE"/>
    <w:rsid w:val="000D2C81"/>
    <w:rsid w:val="000D3821"/>
    <w:rsid w:val="000D3A3E"/>
    <w:rsid w:val="000D47CB"/>
    <w:rsid w:val="000D6B73"/>
    <w:rsid w:val="000D6BEF"/>
    <w:rsid w:val="000D6FC2"/>
    <w:rsid w:val="000D781A"/>
    <w:rsid w:val="000E01F2"/>
    <w:rsid w:val="000E066C"/>
    <w:rsid w:val="000E09C8"/>
    <w:rsid w:val="000E0B9A"/>
    <w:rsid w:val="000E183D"/>
    <w:rsid w:val="000E1B0A"/>
    <w:rsid w:val="000E1C39"/>
    <w:rsid w:val="000E2140"/>
    <w:rsid w:val="000E2585"/>
    <w:rsid w:val="000E26DD"/>
    <w:rsid w:val="000E26E1"/>
    <w:rsid w:val="000E2B35"/>
    <w:rsid w:val="000E2D1B"/>
    <w:rsid w:val="000E2E14"/>
    <w:rsid w:val="000E327E"/>
    <w:rsid w:val="000E3449"/>
    <w:rsid w:val="000E3726"/>
    <w:rsid w:val="000E445C"/>
    <w:rsid w:val="000E5DB6"/>
    <w:rsid w:val="000E706F"/>
    <w:rsid w:val="000F0BC1"/>
    <w:rsid w:val="000F0D64"/>
    <w:rsid w:val="000F2F8D"/>
    <w:rsid w:val="000F3676"/>
    <w:rsid w:val="000F4625"/>
    <w:rsid w:val="000F4A0D"/>
    <w:rsid w:val="000F532F"/>
    <w:rsid w:val="000F592C"/>
    <w:rsid w:val="000F5BFB"/>
    <w:rsid w:val="000F5D83"/>
    <w:rsid w:val="000F693C"/>
    <w:rsid w:val="000F7058"/>
    <w:rsid w:val="000F7D70"/>
    <w:rsid w:val="00101D4B"/>
    <w:rsid w:val="0010260E"/>
    <w:rsid w:val="00102741"/>
    <w:rsid w:val="001033B7"/>
    <w:rsid w:val="0010356D"/>
    <w:rsid w:val="00104F1B"/>
    <w:rsid w:val="001057BD"/>
    <w:rsid w:val="001057D7"/>
    <w:rsid w:val="0010583E"/>
    <w:rsid w:val="00105977"/>
    <w:rsid w:val="00105F36"/>
    <w:rsid w:val="00106300"/>
    <w:rsid w:val="00106F80"/>
    <w:rsid w:val="00107B68"/>
    <w:rsid w:val="00107D2E"/>
    <w:rsid w:val="00110318"/>
    <w:rsid w:val="00110A65"/>
    <w:rsid w:val="00111411"/>
    <w:rsid w:val="00111689"/>
    <w:rsid w:val="00111DD1"/>
    <w:rsid w:val="00113631"/>
    <w:rsid w:val="001136F8"/>
    <w:rsid w:val="001148D8"/>
    <w:rsid w:val="00114A8E"/>
    <w:rsid w:val="00115E9F"/>
    <w:rsid w:val="00115F39"/>
    <w:rsid w:val="00116990"/>
    <w:rsid w:val="00117533"/>
    <w:rsid w:val="00120A9D"/>
    <w:rsid w:val="00120C9E"/>
    <w:rsid w:val="00121B1E"/>
    <w:rsid w:val="00122224"/>
    <w:rsid w:val="00122D0E"/>
    <w:rsid w:val="00123115"/>
    <w:rsid w:val="0012316B"/>
    <w:rsid w:val="001236D5"/>
    <w:rsid w:val="00124023"/>
    <w:rsid w:val="0012481D"/>
    <w:rsid w:val="001261E8"/>
    <w:rsid w:val="00126722"/>
    <w:rsid w:val="001302D0"/>
    <w:rsid w:val="00130B70"/>
    <w:rsid w:val="00130C66"/>
    <w:rsid w:val="00130D6C"/>
    <w:rsid w:val="001311D9"/>
    <w:rsid w:val="00131304"/>
    <w:rsid w:val="00131AB6"/>
    <w:rsid w:val="00132E8F"/>
    <w:rsid w:val="00133516"/>
    <w:rsid w:val="00133DBD"/>
    <w:rsid w:val="001340D4"/>
    <w:rsid w:val="00134DA5"/>
    <w:rsid w:val="001371DD"/>
    <w:rsid w:val="001424BE"/>
    <w:rsid w:val="00143EAB"/>
    <w:rsid w:val="00144A43"/>
    <w:rsid w:val="00144CDB"/>
    <w:rsid w:val="00146849"/>
    <w:rsid w:val="00146E61"/>
    <w:rsid w:val="00147334"/>
    <w:rsid w:val="001473CE"/>
    <w:rsid w:val="00147656"/>
    <w:rsid w:val="00150FEB"/>
    <w:rsid w:val="001515A8"/>
    <w:rsid w:val="001521F2"/>
    <w:rsid w:val="00152575"/>
    <w:rsid w:val="001535D0"/>
    <w:rsid w:val="00153E58"/>
    <w:rsid w:val="00154306"/>
    <w:rsid w:val="00154914"/>
    <w:rsid w:val="00155340"/>
    <w:rsid w:val="001553B3"/>
    <w:rsid w:val="00155879"/>
    <w:rsid w:val="001566BB"/>
    <w:rsid w:val="0015768D"/>
    <w:rsid w:val="00157EAB"/>
    <w:rsid w:val="00161481"/>
    <w:rsid w:val="00161B44"/>
    <w:rsid w:val="00161EF7"/>
    <w:rsid w:val="001620E7"/>
    <w:rsid w:val="001621DE"/>
    <w:rsid w:val="00162F81"/>
    <w:rsid w:val="00163822"/>
    <w:rsid w:val="00163D2C"/>
    <w:rsid w:val="00163E2A"/>
    <w:rsid w:val="00163EA3"/>
    <w:rsid w:val="00163EB0"/>
    <w:rsid w:val="0016534C"/>
    <w:rsid w:val="0016630C"/>
    <w:rsid w:val="00166F16"/>
    <w:rsid w:val="0016778F"/>
    <w:rsid w:val="00167D66"/>
    <w:rsid w:val="0017061E"/>
    <w:rsid w:val="001718E4"/>
    <w:rsid w:val="001739D6"/>
    <w:rsid w:val="00173E2B"/>
    <w:rsid w:val="001744B0"/>
    <w:rsid w:val="0017537C"/>
    <w:rsid w:val="00177FA9"/>
    <w:rsid w:val="00180A99"/>
    <w:rsid w:val="00181994"/>
    <w:rsid w:val="001826BD"/>
    <w:rsid w:val="001829CD"/>
    <w:rsid w:val="00182C0E"/>
    <w:rsid w:val="00182F02"/>
    <w:rsid w:val="001833B1"/>
    <w:rsid w:val="001834A8"/>
    <w:rsid w:val="00184571"/>
    <w:rsid w:val="00184657"/>
    <w:rsid w:val="00186800"/>
    <w:rsid w:val="00187029"/>
    <w:rsid w:val="00187683"/>
    <w:rsid w:val="00187780"/>
    <w:rsid w:val="001879CC"/>
    <w:rsid w:val="0019033F"/>
    <w:rsid w:val="0019129B"/>
    <w:rsid w:val="00192C60"/>
    <w:rsid w:val="00194AF8"/>
    <w:rsid w:val="00194EBE"/>
    <w:rsid w:val="001959E9"/>
    <w:rsid w:val="00195E24"/>
    <w:rsid w:val="001979A3"/>
    <w:rsid w:val="001A0993"/>
    <w:rsid w:val="001A0A2E"/>
    <w:rsid w:val="001A17CE"/>
    <w:rsid w:val="001A1FEB"/>
    <w:rsid w:val="001A2CC3"/>
    <w:rsid w:val="001A3A23"/>
    <w:rsid w:val="001A3D31"/>
    <w:rsid w:val="001A4D6D"/>
    <w:rsid w:val="001A4EB7"/>
    <w:rsid w:val="001A51B5"/>
    <w:rsid w:val="001A55BE"/>
    <w:rsid w:val="001A5F7F"/>
    <w:rsid w:val="001A6173"/>
    <w:rsid w:val="001A6424"/>
    <w:rsid w:val="001A7A5B"/>
    <w:rsid w:val="001B104C"/>
    <w:rsid w:val="001B1728"/>
    <w:rsid w:val="001B1A2F"/>
    <w:rsid w:val="001B1E8C"/>
    <w:rsid w:val="001B2444"/>
    <w:rsid w:val="001B245B"/>
    <w:rsid w:val="001B3365"/>
    <w:rsid w:val="001B3B4C"/>
    <w:rsid w:val="001B701A"/>
    <w:rsid w:val="001B74A3"/>
    <w:rsid w:val="001B7C72"/>
    <w:rsid w:val="001B7D72"/>
    <w:rsid w:val="001C05A2"/>
    <w:rsid w:val="001C0614"/>
    <w:rsid w:val="001C090C"/>
    <w:rsid w:val="001C115F"/>
    <w:rsid w:val="001C1B3C"/>
    <w:rsid w:val="001C1C14"/>
    <w:rsid w:val="001C1C50"/>
    <w:rsid w:val="001C2622"/>
    <w:rsid w:val="001C2D7A"/>
    <w:rsid w:val="001C390C"/>
    <w:rsid w:val="001C4D4C"/>
    <w:rsid w:val="001C50E9"/>
    <w:rsid w:val="001C5DF5"/>
    <w:rsid w:val="001C629B"/>
    <w:rsid w:val="001C6442"/>
    <w:rsid w:val="001C7126"/>
    <w:rsid w:val="001C766E"/>
    <w:rsid w:val="001C7A9B"/>
    <w:rsid w:val="001D04E4"/>
    <w:rsid w:val="001D0FDF"/>
    <w:rsid w:val="001D27F9"/>
    <w:rsid w:val="001D573C"/>
    <w:rsid w:val="001D5CE5"/>
    <w:rsid w:val="001D69E0"/>
    <w:rsid w:val="001E0294"/>
    <w:rsid w:val="001E07C8"/>
    <w:rsid w:val="001E0EE4"/>
    <w:rsid w:val="001E190A"/>
    <w:rsid w:val="001E1DB2"/>
    <w:rsid w:val="001E2044"/>
    <w:rsid w:val="001E2081"/>
    <w:rsid w:val="001E2361"/>
    <w:rsid w:val="001E2C61"/>
    <w:rsid w:val="001E39E4"/>
    <w:rsid w:val="001E467B"/>
    <w:rsid w:val="001E5085"/>
    <w:rsid w:val="001E7506"/>
    <w:rsid w:val="001E7C55"/>
    <w:rsid w:val="001E7D69"/>
    <w:rsid w:val="001F0F5A"/>
    <w:rsid w:val="001F14DB"/>
    <w:rsid w:val="001F199F"/>
    <w:rsid w:val="001F43A0"/>
    <w:rsid w:val="001F63A6"/>
    <w:rsid w:val="001F723C"/>
    <w:rsid w:val="001F72A7"/>
    <w:rsid w:val="001F7DD8"/>
    <w:rsid w:val="00200478"/>
    <w:rsid w:val="00200DF6"/>
    <w:rsid w:val="002019FF"/>
    <w:rsid w:val="00201AAE"/>
    <w:rsid w:val="00201E47"/>
    <w:rsid w:val="00204136"/>
    <w:rsid w:val="0020509E"/>
    <w:rsid w:val="00206E2B"/>
    <w:rsid w:val="0021007E"/>
    <w:rsid w:val="002107CE"/>
    <w:rsid w:val="0021237A"/>
    <w:rsid w:val="002139F5"/>
    <w:rsid w:val="00213E7B"/>
    <w:rsid w:val="002141BC"/>
    <w:rsid w:val="00214539"/>
    <w:rsid w:val="00214ADE"/>
    <w:rsid w:val="00214F6D"/>
    <w:rsid w:val="00215E92"/>
    <w:rsid w:val="00217045"/>
    <w:rsid w:val="00217B6A"/>
    <w:rsid w:val="00217E06"/>
    <w:rsid w:val="002200A0"/>
    <w:rsid w:val="00221007"/>
    <w:rsid w:val="00221A26"/>
    <w:rsid w:val="00221A8A"/>
    <w:rsid w:val="00221E5D"/>
    <w:rsid w:val="002234A4"/>
    <w:rsid w:val="00224000"/>
    <w:rsid w:val="0022469D"/>
    <w:rsid w:val="002246CD"/>
    <w:rsid w:val="00224C32"/>
    <w:rsid w:val="00225254"/>
    <w:rsid w:val="00226AB7"/>
    <w:rsid w:val="002270F9"/>
    <w:rsid w:val="00227E00"/>
    <w:rsid w:val="00230D3E"/>
    <w:rsid w:val="0023117F"/>
    <w:rsid w:val="002313F1"/>
    <w:rsid w:val="00231431"/>
    <w:rsid w:val="0023187C"/>
    <w:rsid w:val="002331FD"/>
    <w:rsid w:val="00233238"/>
    <w:rsid w:val="002333C5"/>
    <w:rsid w:val="00233922"/>
    <w:rsid w:val="00233994"/>
    <w:rsid w:val="00233BF0"/>
    <w:rsid w:val="00233ED2"/>
    <w:rsid w:val="00234374"/>
    <w:rsid w:val="00236A94"/>
    <w:rsid w:val="00236AD0"/>
    <w:rsid w:val="00236E3B"/>
    <w:rsid w:val="002376C1"/>
    <w:rsid w:val="0023786A"/>
    <w:rsid w:val="00237CE9"/>
    <w:rsid w:val="0024185C"/>
    <w:rsid w:val="0024191A"/>
    <w:rsid w:val="00242202"/>
    <w:rsid w:val="002444F0"/>
    <w:rsid w:val="00244622"/>
    <w:rsid w:val="0024545C"/>
    <w:rsid w:val="002455AB"/>
    <w:rsid w:val="00245B3E"/>
    <w:rsid w:val="002466EF"/>
    <w:rsid w:val="002468B6"/>
    <w:rsid w:val="0024762C"/>
    <w:rsid w:val="00250008"/>
    <w:rsid w:val="00250150"/>
    <w:rsid w:val="00250537"/>
    <w:rsid w:val="00250E74"/>
    <w:rsid w:val="00251450"/>
    <w:rsid w:val="00251F8B"/>
    <w:rsid w:val="0025210E"/>
    <w:rsid w:val="00252694"/>
    <w:rsid w:val="002527A2"/>
    <w:rsid w:val="00252E05"/>
    <w:rsid w:val="002533CF"/>
    <w:rsid w:val="002539EC"/>
    <w:rsid w:val="00253F06"/>
    <w:rsid w:val="002557C5"/>
    <w:rsid w:val="00255DFC"/>
    <w:rsid w:val="00257686"/>
    <w:rsid w:val="002577BE"/>
    <w:rsid w:val="00260B24"/>
    <w:rsid w:val="00260B4D"/>
    <w:rsid w:val="00263455"/>
    <w:rsid w:val="00263542"/>
    <w:rsid w:val="0026482B"/>
    <w:rsid w:val="00264C32"/>
    <w:rsid w:val="00264FE6"/>
    <w:rsid w:val="00265261"/>
    <w:rsid w:val="00265817"/>
    <w:rsid w:val="00265A60"/>
    <w:rsid w:val="00266AF4"/>
    <w:rsid w:val="00270B23"/>
    <w:rsid w:val="00271CE8"/>
    <w:rsid w:val="00271E1F"/>
    <w:rsid w:val="00271F1C"/>
    <w:rsid w:val="00272473"/>
    <w:rsid w:val="002729A9"/>
    <w:rsid w:val="00273CDF"/>
    <w:rsid w:val="00274309"/>
    <w:rsid w:val="00274EB9"/>
    <w:rsid w:val="0027511B"/>
    <w:rsid w:val="00275AA6"/>
    <w:rsid w:val="0027630F"/>
    <w:rsid w:val="00276A04"/>
    <w:rsid w:val="00276B78"/>
    <w:rsid w:val="00277289"/>
    <w:rsid w:val="002809B2"/>
    <w:rsid w:val="00280A54"/>
    <w:rsid w:val="00281F83"/>
    <w:rsid w:val="00283486"/>
    <w:rsid w:val="0028397D"/>
    <w:rsid w:val="00283A66"/>
    <w:rsid w:val="0028451F"/>
    <w:rsid w:val="00285257"/>
    <w:rsid w:val="002856F7"/>
    <w:rsid w:val="00286041"/>
    <w:rsid w:val="00286AC1"/>
    <w:rsid w:val="00286C6F"/>
    <w:rsid w:val="00286D3E"/>
    <w:rsid w:val="002871F0"/>
    <w:rsid w:val="00287DFC"/>
    <w:rsid w:val="0029039D"/>
    <w:rsid w:val="002905C7"/>
    <w:rsid w:val="00290AA0"/>
    <w:rsid w:val="00290AC4"/>
    <w:rsid w:val="00290D36"/>
    <w:rsid w:val="00291854"/>
    <w:rsid w:val="00291C7F"/>
    <w:rsid w:val="00292906"/>
    <w:rsid w:val="00292C23"/>
    <w:rsid w:val="00293FAD"/>
    <w:rsid w:val="00294235"/>
    <w:rsid w:val="002945DC"/>
    <w:rsid w:val="00294B81"/>
    <w:rsid w:val="00294F60"/>
    <w:rsid w:val="00295028"/>
    <w:rsid w:val="002957F0"/>
    <w:rsid w:val="00295C62"/>
    <w:rsid w:val="00295F11"/>
    <w:rsid w:val="002960A8"/>
    <w:rsid w:val="00297196"/>
    <w:rsid w:val="002A0246"/>
    <w:rsid w:val="002A0E10"/>
    <w:rsid w:val="002A105D"/>
    <w:rsid w:val="002A1086"/>
    <w:rsid w:val="002A2175"/>
    <w:rsid w:val="002A2912"/>
    <w:rsid w:val="002A346E"/>
    <w:rsid w:val="002A3A69"/>
    <w:rsid w:val="002A3B5E"/>
    <w:rsid w:val="002A3DFE"/>
    <w:rsid w:val="002A445D"/>
    <w:rsid w:val="002A4694"/>
    <w:rsid w:val="002A49F5"/>
    <w:rsid w:val="002A4D4F"/>
    <w:rsid w:val="002A514B"/>
    <w:rsid w:val="002A51D0"/>
    <w:rsid w:val="002A67CA"/>
    <w:rsid w:val="002A74E3"/>
    <w:rsid w:val="002A7F97"/>
    <w:rsid w:val="002B07C5"/>
    <w:rsid w:val="002B0AFF"/>
    <w:rsid w:val="002B1270"/>
    <w:rsid w:val="002B16FC"/>
    <w:rsid w:val="002B189C"/>
    <w:rsid w:val="002B2340"/>
    <w:rsid w:val="002B2EDA"/>
    <w:rsid w:val="002B3744"/>
    <w:rsid w:val="002B48D1"/>
    <w:rsid w:val="002B5116"/>
    <w:rsid w:val="002B5227"/>
    <w:rsid w:val="002B5BBB"/>
    <w:rsid w:val="002B6253"/>
    <w:rsid w:val="002B6DD0"/>
    <w:rsid w:val="002B6E5D"/>
    <w:rsid w:val="002B7678"/>
    <w:rsid w:val="002C015F"/>
    <w:rsid w:val="002C04A4"/>
    <w:rsid w:val="002C0A83"/>
    <w:rsid w:val="002C0BEB"/>
    <w:rsid w:val="002C2899"/>
    <w:rsid w:val="002C31F2"/>
    <w:rsid w:val="002C31FA"/>
    <w:rsid w:val="002C388A"/>
    <w:rsid w:val="002C4443"/>
    <w:rsid w:val="002C726C"/>
    <w:rsid w:val="002C7283"/>
    <w:rsid w:val="002D01AC"/>
    <w:rsid w:val="002D03B3"/>
    <w:rsid w:val="002D1314"/>
    <w:rsid w:val="002D2E0B"/>
    <w:rsid w:val="002D3CF5"/>
    <w:rsid w:val="002D499E"/>
    <w:rsid w:val="002D49A2"/>
    <w:rsid w:val="002D50B4"/>
    <w:rsid w:val="002D5C52"/>
    <w:rsid w:val="002D6528"/>
    <w:rsid w:val="002D7829"/>
    <w:rsid w:val="002E0AF6"/>
    <w:rsid w:val="002E0B67"/>
    <w:rsid w:val="002E1060"/>
    <w:rsid w:val="002E1173"/>
    <w:rsid w:val="002E262C"/>
    <w:rsid w:val="002E26DF"/>
    <w:rsid w:val="002E2862"/>
    <w:rsid w:val="002E3626"/>
    <w:rsid w:val="002E36AC"/>
    <w:rsid w:val="002E3A84"/>
    <w:rsid w:val="002E3BCA"/>
    <w:rsid w:val="002E4244"/>
    <w:rsid w:val="002E52DA"/>
    <w:rsid w:val="002E5A6A"/>
    <w:rsid w:val="002E5ADB"/>
    <w:rsid w:val="002E70C6"/>
    <w:rsid w:val="002E7303"/>
    <w:rsid w:val="002E7DDC"/>
    <w:rsid w:val="002E7E8B"/>
    <w:rsid w:val="002E7FF6"/>
    <w:rsid w:val="002F049F"/>
    <w:rsid w:val="002F11E6"/>
    <w:rsid w:val="002F134C"/>
    <w:rsid w:val="002F1E33"/>
    <w:rsid w:val="002F24BB"/>
    <w:rsid w:val="002F2A18"/>
    <w:rsid w:val="002F34AD"/>
    <w:rsid w:val="002F36B1"/>
    <w:rsid w:val="002F3DC6"/>
    <w:rsid w:val="002F3E25"/>
    <w:rsid w:val="002F4274"/>
    <w:rsid w:val="002F4B9B"/>
    <w:rsid w:val="002F5BDF"/>
    <w:rsid w:val="002F6E0D"/>
    <w:rsid w:val="002F7C65"/>
    <w:rsid w:val="002F7D60"/>
    <w:rsid w:val="002F7E1D"/>
    <w:rsid w:val="0030019B"/>
    <w:rsid w:val="0030217E"/>
    <w:rsid w:val="003028A7"/>
    <w:rsid w:val="00303558"/>
    <w:rsid w:val="00304FD4"/>
    <w:rsid w:val="00305AB7"/>
    <w:rsid w:val="003069C7"/>
    <w:rsid w:val="003069CD"/>
    <w:rsid w:val="00306EC6"/>
    <w:rsid w:val="0030767F"/>
    <w:rsid w:val="003076BD"/>
    <w:rsid w:val="003119DF"/>
    <w:rsid w:val="00312664"/>
    <w:rsid w:val="00313C0B"/>
    <w:rsid w:val="0031499E"/>
    <w:rsid w:val="00315EEE"/>
    <w:rsid w:val="003166AA"/>
    <w:rsid w:val="00317F9F"/>
    <w:rsid w:val="00320C86"/>
    <w:rsid w:val="0032112F"/>
    <w:rsid w:val="00321386"/>
    <w:rsid w:val="00321B3F"/>
    <w:rsid w:val="00321FEA"/>
    <w:rsid w:val="0032221B"/>
    <w:rsid w:val="0032246C"/>
    <w:rsid w:val="003226AC"/>
    <w:rsid w:val="00323F9B"/>
    <w:rsid w:val="003242AB"/>
    <w:rsid w:val="00325C3D"/>
    <w:rsid w:val="00326F8D"/>
    <w:rsid w:val="00327784"/>
    <w:rsid w:val="00327B08"/>
    <w:rsid w:val="00327E2A"/>
    <w:rsid w:val="0033011F"/>
    <w:rsid w:val="003301B9"/>
    <w:rsid w:val="0033073A"/>
    <w:rsid w:val="00331142"/>
    <w:rsid w:val="00331375"/>
    <w:rsid w:val="00331CCE"/>
    <w:rsid w:val="00332B71"/>
    <w:rsid w:val="00332D66"/>
    <w:rsid w:val="00334338"/>
    <w:rsid w:val="003352B6"/>
    <w:rsid w:val="00335E53"/>
    <w:rsid w:val="003368A8"/>
    <w:rsid w:val="00336B03"/>
    <w:rsid w:val="00340030"/>
    <w:rsid w:val="00340760"/>
    <w:rsid w:val="00340AF2"/>
    <w:rsid w:val="00340F0D"/>
    <w:rsid w:val="00340F33"/>
    <w:rsid w:val="0034223A"/>
    <w:rsid w:val="0034225A"/>
    <w:rsid w:val="003427A9"/>
    <w:rsid w:val="00342ADC"/>
    <w:rsid w:val="00342D34"/>
    <w:rsid w:val="003430E5"/>
    <w:rsid w:val="003431BA"/>
    <w:rsid w:val="003439C6"/>
    <w:rsid w:val="00343EE0"/>
    <w:rsid w:val="00344346"/>
    <w:rsid w:val="00345E05"/>
    <w:rsid w:val="00346190"/>
    <w:rsid w:val="003466C9"/>
    <w:rsid w:val="00346CD5"/>
    <w:rsid w:val="00347C87"/>
    <w:rsid w:val="00350362"/>
    <w:rsid w:val="00351B19"/>
    <w:rsid w:val="0035397F"/>
    <w:rsid w:val="003545B7"/>
    <w:rsid w:val="003549CB"/>
    <w:rsid w:val="00354BFE"/>
    <w:rsid w:val="00354E2F"/>
    <w:rsid w:val="003560D5"/>
    <w:rsid w:val="00356A29"/>
    <w:rsid w:val="0035705F"/>
    <w:rsid w:val="00357E72"/>
    <w:rsid w:val="00357EA8"/>
    <w:rsid w:val="00361646"/>
    <w:rsid w:val="00362195"/>
    <w:rsid w:val="0036301A"/>
    <w:rsid w:val="00363520"/>
    <w:rsid w:val="00364094"/>
    <w:rsid w:val="0036567E"/>
    <w:rsid w:val="00365DA0"/>
    <w:rsid w:val="00366494"/>
    <w:rsid w:val="003667D7"/>
    <w:rsid w:val="00366928"/>
    <w:rsid w:val="00367512"/>
    <w:rsid w:val="0036758E"/>
    <w:rsid w:val="00370150"/>
    <w:rsid w:val="0037082C"/>
    <w:rsid w:val="00370CFE"/>
    <w:rsid w:val="003713E0"/>
    <w:rsid w:val="0037168B"/>
    <w:rsid w:val="003725D7"/>
    <w:rsid w:val="003730C8"/>
    <w:rsid w:val="00373261"/>
    <w:rsid w:val="0037398B"/>
    <w:rsid w:val="00374391"/>
    <w:rsid w:val="00375A50"/>
    <w:rsid w:val="0037676A"/>
    <w:rsid w:val="003769EB"/>
    <w:rsid w:val="00376DF4"/>
    <w:rsid w:val="00380444"/>
    <w:rsid w:val="003809D8"/>
    <w:rsid w:val="00381087"/>
    <w:rsid w:val="003813F3"/>
    <w:rsid w:val="00381A34"/>
    <w:rsid w:val="00381F18"/>
    <w:rsid w:val="00382113"/>
    <w:rsid w:val="0038237D"/>
    <w:rsid w:val="003828F2"/>
    <w:rsid w:val="00382D72"/>
    <w:rsid w:val="0038317C"/>
    <w:rsid w:val="00384299"/>
    <w:rsid w:val="00384442"/>
    <w:rsid w:val="003844EC"/>
    <w:rsid w:val="00384C35"/>
    <w:rsid w:val="00384E35"/>
    <w:rsid w:val="00385924"/>
    <w:rsid w:val="00386197"/>
    <w:rsid w:val="00386936"/>
    <w:rsid w:val="00386A89"/>
    <w:rsid w:val="00386D83"/>
    <w:rsid w:val="00387966"/>
    <w:rsid w:val="00387C3A"/>
    <w:rsid w:val="0039244A"/>
    <w:rsid w:val="003931A6"/>
    <w:rsid w:val="003952E2"/>
    <w:rsid w:val="003957D1"/>
    <w:rsid w:val="00395E0F"/>
    <w:rsid w:val="00396CBE"/>
    <w:rsid w:val="0039738F"/>
    <w:rsid w:val="003A1D36"/>
    <w:rsid w:val="003A1E85"/>
    <w:rsid w:val="003A1F51"/>
    <w:rsid w:val="003A37E9"/>
    <w:rsid w:val="003A415B"/>
    <w:rsid w:val="003A484E"/>
    <w:rsid w:val="003A4D42"/>
    <w:rsid w:val="003A50D1"/>
    <w:rsid w:val="003A5478"/>
    <w:rsid w:val="003A5DA4"/>
    <w:rsid w:val="003A6A67"/>
    <w:rsid w:val="003A79A8"/>
    <w:rsid w:val="003A7C53"/>
    <w:rsid w:val="003A7E88"/>
    <w:rsid w:val="003B013D"/>
    <w:rsid w:val="003B0309"/>
    <w:rsid w:val="003B0956"/>
    <w:rsid w:val="003B13DB"/>
    <w:rsid w:val="003B1B0C"/>
    <w:rsid w:val="003B1EA5"/>
    <w:rsid w:val="003B21C8"/>
    <w:rsid w:val="003B33AF"/>
    <w:rsid w:val="003B39CC"/>
    <w:rsid w:val="003B42D4"/>
    <w:rsid w:val="003B4DD4"/>
    <w:rsid w:val="003B60EB"/>
    <w:rsid w:val="003B67E3"/>
    <w:rsid w:val="003C00EF"/>
    <w:rsid w:val="003C0608"/>
    <w:rsid w:val="003C08BB"/>
    <w:rsid w:val="003C3022"/>
    <w:rsid w:val="003C452F"/>
    <w:rsid w:val="003C4D0B"/>
    <w:rsid w:val="003C5BCC"/>
    <w:rsid w:val="003C5DB3"/>
    <w:rsid w:val="003C666D"/>
    <w:rsid w:val="003C6E73"/>
    <w:rsid w:val="003D05F3"/>
    <w:rsid w:val="003D07E8"/>
    <w:rsid w:val="003D108B"/>
    <w:rsid w:val="003D18E5"/>
    <w:rsid w:val="003D1B32"/>
    <w:rsid w:val="003D2047"/>
    <w:rsid w:val="003D212F"/>
    <w:rsid w:val="003D2E29"/>
    <w:rsid w:val="003D4C3E"/>
    <w:rsid w:val="003D5A15"/>
    <w:rsid w:val="003D5B7E"/>
    <w:rsid w:val="003D5C5A"/>
    <w:rsid w:val="003D5F2D"/>
    <w:rsid w:val="003D649A"/>
    <w:rsid w:val="003D689E"/>
    <w:rsid w:val="003D6E58"/>
    <w:rsid w:val="003D7673"/>
    <w:rsid w:val="003D7BB9"/>
    <w:rsid w:val="003E0084"/>
    <w:rsid w:val="003E162D"/>
    <w:rsid w:val="003E3C54"/>
    <w:rsid w:val="003E3CA4"/>
    <w:rsid w:val="003E41DB"/>
    <w:rsid w:val="003E6AA2"/>
    <w:rsid w:val="003F01B0"/>
    <w:rsid w:val="003F0E69"/>
    <w:rsid w:val="003F1B87"/>
    <w:rsid w:val="003F3213"/>
    <w:rsid w:val="003F36CF"/>
    <w:rsid w:val="003F3CF5"/>
    <w:rsid w:val="003F4956"/>
    <w:rsid w:val="003F61FC"/>
    <w:rsid w:val="003F68C7"/>
    <w:rsid w:val="003F6EFA"/>
    <w:rsid w:val="003F7BCA"/>
    <w:rsid w:val="00400700"/>
    <w:rsid w:val="00400822"/>
    <w:rsid w:val="00400FB6"/>
    <w:rsid w:val="004011EF"/>
    <w:rsid w:val="004028DA"/>
    <w:rsid w:val="00402979"/>
    <w:rsid w:val="00404DEA"/>
    <w:rsid w:val="0040503F"/>
    <w:rsid w:val="004057B6"/>
    <w:rsid w:val="00406534"/>
    <w:rsid w:val="00406A62"/>
    <w:rsid w:val="00407A6B"/>
    <w:rsid w:val="00407D47"/>
    <w:rsid w:val="00407FE6"/>
    <w:rsid w:val="0041039E"/>
    <w:rsid w:val="00411724"/>
    <w:rsid w:val="0041189F"/>
    <w:rsid w:val="004119A5"/>
    <w:rsid w:val="00411E62"/>
    <w:rsid w:val="00411E66"/>
    <w:rsid w:val="004121E0"/>
    <w:rsid w:val="004123FA"/>
    <w:rsid w:val="00413630"/>
    <w:rsid w:val="00413822"/>
    <w:rsid w:val="004143B2"/>
    <w:rsid w:val="00414440"/>
    <w:rsid w:val="004168C3"/>
    <w:rsid w:val="004169D2"/>
    <w:rsid w:val="004170A0"/>
    <w:rsid w:val="0041722D"/>
    <w:rsid w:val="004179E4"/>
    <w:rsid w:val="00417C09"/>
    <w:rsid w:val="00417CFB"/>
    <w:rsid w:val="004213EC"/>
    <w:rsid w:val="00421482"/>
    <w:rsid w:val="00421842"/>
    <w:rsid w:val="00421887"/>
    <w:rsid w:val="00421D50"/>
    <w:rsid w:val="00422667"/>
    <w:rsid w:val="004229B6"/>
    <w:rsid w:val="00422A68"/>
    <w:rsid w:val="00424006"/>
    <w:rsid w:val="00425248"/>
    <w:rsid w:val="004252B0"/>
    <w:rsid w:val="00425B9C"/>
    <w:rsid w:val="00425FDE"/>
    <w:rsid w:val="00426DE2"/>
    <w:rsid w:val="00427D6F"/>
    <w:rsid w:val="00427FC2"/>
    <w:rsid w:val="00430410"/>
    <w:rsid w:val="00430C4E"/>
    <w:rsid w:val="004310D1"/>
    <w:rsid w:val="00433D4A"/>
    <w:rsid w:val="004340F3"/>
    <w:rsid w:val="0043441C"/>
    <w:rsid w:val="004345E1"/>
    <w:rsid w:val="00434CE3"/>
    <w:rsid w:val="00434EE2"/>
    <w:rsid w:val="00435667"/>
    <w:rsid w:val="00436342"/>
    <w:rsid w:val="00437408"/>
    <w:rsid w:val="004401A0"/>
    <w:rsid w:val="00440FA5"/>
    <w:rsid w:val="0044129B"/>
    <w:rsid w:val="00441A86"/>
    <w:rsid w:val="004421F0"/>
    <w:rsid w:val="004434C7"/>
    <w:rsid w:val="0044374C"/>
    <w:rsid w:val="004438C1"/>
    <w:rsid w:val="004444FC"/>
    <w:rsid w:val="00444888"/>
    <w:rsid w:val="004449E3"/>
    <w:rsid w:val="004478CE"/>
    <w:rsid w:val="004479FA"/>
    <w:rsid w:val="00447BA8"/>
    <w:rsid w:val="004507DC"/>
    <w:rsid w:val="00450FAE"/>
    <w:rsid w:val="004511A0"/>
    <w:rsid w:val="00451844"/>
    <w:rsid w:val="00451AC6"/>
    <w:rsid w:val="00451E53"/>
    <w:rsid w:val="00452B43"/>
    <w:rsid w:val="00453877"/>
    <w:rsid w:val="00453A84"/>
    <w:rsid w:val="00453B12"/>
    <w:rsid w:val="004543F2"/>
    <w:rsid w:val="004547B4"/>
    <w:rsid w:val="00456B0D"/>
    <w:rsid w:val="00460392"/>
    <w:rsid w:val="004615E0"/>
    <w:rsid w:val="0046325D"/>
    <w:rsid w:val="0046410F"/>
    <w:rsid w:val="004642DF"/>
    <w:rsid w:val="00464387"/>
    <w:rsid w:val="00465110"/>
    <w:rsid w:val="0046625B"/>
    <w:rsid w:val="00466260"/>
    <w:rsid w:val="0046653F"/>
    <w:rsid w:val="00466C8E"/>
    <w:rsid w:val="00466C99"/>
    <w:rsid w:val="00467271"/>
    <w:rsid w:val="004673EE"/>
    <w:rsid w:val="00467448"/>
    <w:rsid w:val="00467A83"/>
    <w:rsid w:val="00470A45"/>
    <w:rsid w:val="00470B11"/>
    <w:rsid w:val="00470B8A"/>
    <w:rsid w:val="00471F42"/>
    <w:rsid w:val="004727BA"/>
    <w:rsid w:val="00472C3F"/>
    <w:rsid w:val="00473B2A"/>
    <w:rsid w:val="00476E7A"/>
    <w:rsid w:val="004772A8"/>
    <w:rsid w:val="00477639"/>
    <w:rsid w:val="00480CBD"/>
    <w:rsid w:val="00481005"/>
    <w:rsid w:val="0048129B"/>
    <w:rsid w:val="004812BE"/>
    <w:rsid w:val="00482179"/>
    <w:rsid w:val="00482AFC"/>
    <w:rsid w:val="00482B84"/>
    <w:rsid w:val="00483F2D"/>
    <w:rsid w:val="004840F5"/>
    <w:rsid w:val="0048568B"/>
    <w:rsid w:val="0048620E"/>
    <w:rsid w:val="004864E4"/>
    <w:rsid w:val="00486A30"/>
    <w:rsid w:val="00490F11"/>
    <w:rsid w:val="004935ED"/>
    <w:rsid w:val="004936A5"/>
    <w:rsid w:val="00494815"/>
    <w:rsid w:val="00495957"/>
    <w:rsid w:val="00497359"/>
    <w:rsid w:val="004A0231"/>
    <w:rsid w:val="004A115A"/>
    <w:rsid w:val="004A195F"/>
    <w:rsid w:val="004A1B3A"/>
    <w:rsid w:val="004A1F4D"/>
    <w:rsid w:val="004A21AA"/>
    <w:rsid w:val="004A325D"/>
    <w:rsid w:val="004A3FD1"/>
    <w:rsid w:val="004A4514"/>
    <w:rsid w:val="004A4D7B"/>
    <w:rsid w:val="004A5CAE"/>
    <w:rsid w:val="004A5FDA"/>
    <w:rsid w:val="004A6626"/>
    <w:rsid w:val="004A7C3A"/>
    <w:rsid w:val="004B08E1"/>
    <w:rsid w:val="004B3352"/>
    <w:rsid w:val="004B39BF"/>
    <w:rsid w:val="004B3A10"/>
    <w:rsid w:val="004B3B3D"/>
    <w:rsid w:val="004B3EE2"/>
    <w:rsid w:val="004B46D3"/>
    <w:rsid w:val="004B4A8F"/>
    <w:rsid w:val="004B4ABD"/>
    <w:rsid w:val="004B5B22"/>
    <w:rsid w:val="004B5BC1"/>
    <w:rsid w:val="004B7C96"/>
    <w:rsid w:val="004B7FA5"/>
    <w:rsid w:val="004C0815"/>
    <w:rsid w:val="004C128A"/>
    <w:rsid w:val="004C158B"/>
    <w:rsid w:val="004C1B9C"/>
    <w:rsid w:val="004C2174"/>
    <w:rsid w:val="004C2425"/>
    <w:rsid w:val="004C294E"/>
    <w:rsid w:val="004C33C6"/>
    <w:rsid w:val="004C38D4"/>
    <w:rsid w:val="004C3C87"/>
    <w:rsid w:val="004C4347"/>
    <w:rsid w:val="004C5FFE"/>
    <w:rsid w:val="004C763A"/>
    <w:rsid w:val="004D1472"/>
    <w:rsid w:val="004D1FDE"/>
    <w:rsid w:val="004D2344"/>
    <w:rsid w:val="004D2B59"/>
    <w:rsid w:val="004D5317"/>
    <w:rsid w:val="004D7197"/>
    <w:rsid w:val="004D7404"/>
    <w:rsid w:val="004D7B5D"/>
    <w:rsid w:val="004E1438"/>
    <w:rsid w:val="004E1867"/>
    <w:rsid w:val="004E20C5"/>
    <w:rsid w:val="004E23AB"/>
    <w:rsid w:val="004E3241"/>
    <w:rsid w:val="004E46A5"/>
    <w:rsid w:val="004E4C58"/>
    <w:rsid w:val="004E57F1"/>
    <w:rsid w:val="004E6852"/>
    <w:rsid w:val="004E6E23"/>
    <w:rsid w:val="004E7091"/>
    <w:rsid w:val="004E7737"/>
    <w:rsid w:val="004F079B"/>
    <w:rsid w:val="004F08C3"/>
    <w:rsid w:val="004F1283"/>
    <w:rsid w:val="004F13FC"/>
    <w:rsid w:val="004F1F45"/>
    <w:rsid w:val="004F2200"/>
    <w:rsid w:val="004F26E9"/>
    <w:rsid w:val="004F340A"/>
    <w:rsid w:val="004F3651"/>
    <w:rsid w:val="004F40F8"/>
    <w:rsid w:val="004F4BA1"/>
    <w:rsid w:val="004F523A"/>
    <w:rsid w:val="004F5C43"/>
    <w:rsid w:val="004F63FF"/>
    <w:rsid w:val="004F66EB"/>
    <w:rsid w:val="004F6888"/>
    <w:rsid w:val="004F68D0"/>
    <w:rsid w:val="004F6EA6"/>
    <w:rsid w:val="004F746B"/>
    <w:rsid w:val="00501689"/>
    <w:rsid w:val="005026D2"/>
    <w:rsid w:val="0050305A"/>
    <w:rsid w:val="00506053"/>
    <w:rsid w:val="00506673"/>
    <w:rsid w:val="0050707A"/>
    <w:rsid w:val="005070D5"/>
    <w:rsid w:val="005104CA"/>
    <w:rsid w:val="0051105A"/>
    <w:rsid w:val="005112F4"/>
    <w:rsid w:val="00511910"/>
    <w:rsid w:val="00512AB4"/>
    <w:rsid w:val="00512CC1"/>
    <w:rsid w:val="00512F32"/>
    <w:rsid w:val="005134F9"/>
    <w:rsid w:val="0051437E"/>
    <w:rsid w:val="0051442A"/>
    <w:rsid w:val="00514804"/>
    <w:rsid w:val="005149AF"/>
    <w:rsid w:val="00514A32"/>
    <w:rsid w:val="005159C3"/>
    <w:rsid w:val="00517336"/>
    <w:rsid w:val="00517D0C"/>
    <w:rsid w:val="005202CA"/>
    <w:rsid w:val="00520E21"/>
    <w:rsid w:val="0052150E"/>
    <w:rsid w:val="00522276"/>
    <w:rsid w:val="005228FE"/>
    <w:rsid w:val="00522B8C"/>
    <w:rsid w:val="0052301A"/>
    <w:rsid w:val="00523E52"/>
    <w:rsid w:val="00524F61"/>
    <w:rsid w:val="00525A3A"/>
    <w:rsid w:val="005260CC"/>
    <w:rsid w:val="00526EA3"/>
    <w:rsid w:val="00530B3B"/>
    <w:rsid w:val="0053243A"/>
    <w:rsid w:val="00532A4A"/>
    <w:rsid w:val="00532B20"/>
    <w:rsid w:val="0053317C"/>
    <w:rsid w:val="005333F1"/>
    <w:rsid w:val="005334A6"/>
    <w:rsid w:val="00533B3F"/>
    <w:rsid w:val="005342BB"/>
    <w:rsid w:val="00534C5C"/>
    <w:rsid w:val="00535167"/>
    <w:rsid w:val="005354FA"/>
    <w:rsid w:val="00535553"/>
    <w:rsid w:val="00535732"/>
    <w:rsid w:val="005367D0"/>
    <w:rsid w:val="00537199"/>
    <w:rsid w:val="00537E2C"/>
    <w:rsid w:val="00540110"/>
    <w:rsid w:val="00540753"/>
    <w:rsid w:val="005408AD"/>
    <w:rsid w:val="00541952"/>
    <w:rsid w:val="00542DF8"/>
    <w:rsid w:val="005438EB"/>
    <w:rsid w:val="005439A7"/>
    <w:rsid w:val="00543CC7"/>
    <w:rsid w:val="0054454F"/>
    <w:rsid w:val="00545704"/>
    <w:rsid w:val="00546028"/>
    <w:rsid w:val="00547606"/>
    <w:rsid w:val="00547AEB"/>
    <w:rsid w:val="00547F87"/>
    <w:rsid w:val="005507E2"/>
    <w:rsid w:val="0055121C"/>
    <w:rsid w:val="005514DD"/>
    <w:rsid w:val="00551BC4"/>
    <w:rsid w:val="00552664"/>
    <w:rsid w:val="00553AC7"/>
    <w:rsid w:val="00554B21"/>
    <w:rsid w:val="00555300"/>
    <w:rsid w:val="00556543"/>
    <w:rsid w:val="00556696"/>
    <w:rsid w:val="0055694D"/>
    <w:rsid w:val="00560543"/>
    <w:rsid w:val="00562389"/>
    <w:rsid w:val="00562758"/>
    <w:rsid w:val="00562AD5"/>
    <w:rsid w:val="00562DA5"/>
    <w:rsid w:val="00563843"/>
    <w:rsid w:val="00563D04"/>
    <w:rsid w:val="00563F64"/>
    <w:rsid w:val="00564B76"/>
    <w:rsid w:val="00564B96"/>
    <w:rsid w:val="00564F0A"/>
    <w:rsid w:val="00564F7A"/>
    <w:rsid w:val="00565124"/>
    <w:rsid w:val="005661A1"/>
    <w:rsid w:val="00566A3F"/>
    <w:rsid w:val="00567281"/>
    <w:rsid w:val="005678FF"/>
    <w:rsid w:val="00567A51"/>
    <w:rsid w:val="00567FB2"/>
    <w:rsid w:val="00570A83"/>
    <w:rsid w:val="00570A98"/>
    <w:rsid w:val="0057102B"/>
    <w:rsid w:val="005710AE"/>
    <w:rsid w:val="00571C99"/>
    <w:rsid w:val="00572346"/>
    <w:rsid w:val="0057319D"/>
    <w:rsid w:val="0057458D"/>
    <w:rsid w:val="0057465A"/>
    <w:rsid w:val="0057520E"/>
    <w:rsid w:val="00575529"/>
    <w:rsid w:val="005762AD"/>
    <w:rsid w:val="005777C5"/>
    <w:rsid w:val="005803FD"/>
    <w:rsid w:val="0058066F"/>
    <w:rsid w:val="00580A99"/>
    <w:rsid w:val="00580B24"/>
    <w:rsid w:val="00581571"/>
    <w:rsid w:val="00581C69"/>
    <w:rsid w:val="00581E62"/>
    <w:rsid w:val="00582180"/>
    <w:rsid w:val="005822B7"/>
    <w:rsid w:val="00582CDA"/>
    <w:rsid w:val="0058386C"/>
    <w:rsid w:val="00583E0C"/>
    <w:rsid w:val="00583FC8"/>
    <w:rsid w:val="005859DB"/>
    <w:rsid w:val="00586A42"/>
    <w:rsid w:val="005874B0"/>
    <w:rsid w:val="0058758C"/>
    <w:rsid w:val="00587D86"/>
    <w:rsid w:val="00590F73"/>
    <w:rsid w:val="00591067"/>
    <w:rsid w:val="00591D28"/>
    <w:rsid w:val="00592443"/>
    <w:rsid w:val="00592B7A"/>
    <w:rsid w:val="00592C9D"/>
    <w:rsid w:val="0059337C"/>
    <w:rsid w:val="005963E0"/>
    <w:rsid w:val="00596B22"/>
    <w:rsid w:val="00596EBE"/>
    <w:rsid w:val="005A0F6E"/>
    <w:rsid w:val="005A1BD1"/>
    <w:rsid w:val="005A388A"/>
    <w:rsid w:val="005A3F8D"/>
    <w:rsid w:val="005A76BC"/>
    <w:rsid w:val="005A7B0E"/>
    <w:rsid w:val="005B05BD"/>
    <w:rsid w:val="005B06EE"/>
    <w:rsid w:val="005B0734"/>
    <w:rsid w:val="005B0B90"/>
    <w:rsid w:val="005B242F"/>
    <w:rsid w:val="005B2FD4"/>
    <w:rsid w:val="005B3772"/>
    <w:rsid w:val="005B38F6"/>
    <w:rsid w:val="005B44C7"/>
    <w:rsid w:val="005B643C"/>
    <w:rsid w:val="005B6806"/>
    <w:rsid w:val="005B6C84"/>
    <w:rsid w:val="005B779C"/>
    <w:rsid w:val="005C123B"/>
    <w:rsid w:val="005C1296"/>
    <w:rsid w:val="005C1E6A"/>
    <w:rsid w:val="005C271A"/>
    <w:rsid w:val="005C36A6"/>
    <w:rsid w:val="005C3BE6"/>
    <w:rsid w:val="005C5A9F"/>
    <w:rsid w:val="005C5C08"/>
    <w:rsid w:val="005C5D29"/>
    <w:rsid w:val="005C66CD"/>
    <w:rsid w:val="005C69FE"/>
    <w:rsid w:val="005C6A9F"/>
    <w:rsid w:val="005D1707"/>
    <w:rsid w:val="005D33B4"/>
    <w:rsid w:val="005D3BA7"/>
    <w:rsid w:val="005D453D"/>
    <w:rsid w:val="005D4D7F"/>
    <w:rsid w:val="005D5BF4"/>
    <w:rsid w:val="005D6CC6"/>
    <w:rsid w:val="005D6E92"/>
    <w:rsid w:val="005D73F4"/>
    <w:rsid w:val="005D76D3"/>
    <w:rsid w:val="005D7965"/>
    <w:rsid w:val="005E021E"/>
    <w:rsid w:val="005E06C8"/>
    <w:rsid w:val="005E073B"/>
    <w:rsid w:val="005E0C2B"/>
    <w:rsid w:val="005E153B"/>
    <w:rsid w:val="005E39AF"/>
    <w:rsid w:val="005E3AFE"/>
    <w:rsid w:val="005E3EB3"/>
    <w:rsid w:val="005E43B8"/>
    <w:rsid w:val="005E54B7"/>
    <w:rsid w:val="005E69E4"/>
    <w:rsid w:val="005E72F4"/>
    <w:rsid w:val="005F088A"/>
    <w:rsid w:val="005F0E27"/>
    <w:rsid w:val="005F117D"/>
    <w:rsid w:val="005F1579"/>
    <w:rsid w:val="005F2568"/>
    <w:rsid w:val="005F3680"/>
    <w:rsid w:val="005F3804"/>
    <w:rsid w:val="005F6DBF"/>
    <w:rsid w:val="005F726B"/>
    <w:rsid w:val="005F7C07"/>
    <w:rsid w:val="00600D4E"/>
    <w:rsid w:val="00601633"/>
    <w:rsid w:val="00602176"/>
    <w:rsid w:val="00603091"/>
    <w:rsid w:val="006030DD"/>
    <w:rsid w:val="006041AA"/>
    <w:rsid w:val="00604999"/>
    <w:rsid w:val="006058C7"/>
    <w:rsid w:val="00605CAB"/>
    <w:rsid w:val="006071A7"/>
    <w:rsid w:val="006102AE"/>
    <w:rsid w:val="006103B7"/>
    <w:rsid w:val="00610BFB"/>
    <w:rsid w:val="00611BEC"/>
    <w:rsid w:val="00611E68"/>
    <w:rsid w:val="00612AA5"/>
    <w:rsid w:val="00612EB7"/>
    <w:rsid w:val="00613B13"/>
    <w:rsid w:val="00615147"/>
    <w:rsid w:val="00616502"/>
    <w:rsid w:val="00616638"/>
    <w:rsid w:val="00616B06"/>
    <w:rsid w:val="0061739B"/>
    <w:rsid w:val="006174F9"/>
    <w:rsid w:val="0061755B"/>
    <w:rsid w:val="00617D45"/>
    <w:rsid w:val="0062050A"/>
    <w:rsid w:val="00622834"/>
    <w:rsid w:val="00622B15"/>
    <w:rsid w:val="00622B92"/>
    <w:rsid w:val="006234E5"/>
    <w:rsid w:val="00623853"/>
    <w:rsid w:val="00623F69"/>
    <w:rsid w:val="0062411D"/>
    <w:rsid w:val="00624FF3"/>
    <w:rsid w:val="0062581C"/>
    <w:rsid w:val="00625845"/>
    <w:rsid w:val="00625AF1"/>
    <w:rsid w:val="00626DE2"/>
    <w:rsid w:val="00627543"/>
    <w:rsid w:val="006306D0"/>
    <w:rsid w:val="00630A65"/>
    <w:rsid w:val="00630CCE"/>
    <w:rsid w:val="00631ECA"/>
    <w:rsid w:val="006330D3"/>
    <w:rsid w:val="00634643"/>
    <w:rsid w:val="00634F4B"/>
    <w:rsid w:val="00634FEF"/>
    <w:rsid w:val="006356AB"/>
    <w:rsid w:val="006356BF"/>
    <w:rsid w:val="00635D3F"/>
    <w:rsid w:val="0063627D"/>
    <w:rsid w:val="00636414"/>
    <w:rsid w:val="006407A7"/>
    <w:rsid w:val="00640AC3"/>
    <w:rsid w:val="00641022"/>
    <w:rsid w:val="00641057"/>
    <w:rsid w:val="0064231C"/>
    <w:rsid w:val="00644AF6"/>
    <w:rsid w:val="006454E3"/>
    <w:rsid w:val="00645A46"/>
    <w:rsid w:val="00645DF0"/>
    <w:rsid w:val="006460DB"/>
    <w:rsid w:val="0064643F"/>
    <w:rsid w:val="00647BBE"/>
    <w:rsid w:val="00647CAE"/>
    <w:rsid w:val="00650AEA"/>
    <w:rsid w:val="00650E61"/>
    <w:rsid w:val="00652CE0"/>
    <w:rsid w:val="00653857"/>
    <w:rsid w:val="0065391A"/>
    <w:rsid w:val="006540C2"/>
    <w:rsid w:val="006546AD"/>
    <w:rsid w:val="0065473D"/>
    <w:rsid w:val="00654C32"/>
    <w:rsid w:val="00655A5D"/>
    <w:rsid w:val="00655C54"/>
    <w:rsid w:val="006567F3"/>
    <w:rsid w:val="006569D3"/>
    <w:rsid w:val="00656B8F"/>
    <w:rsid w:val="006570A4"/>
    <w:rsid w:val="00657746"/>
    <w:rsid w:val="00657C85"/>
    <w:rsid w:val="00662126"/>
    <w:rsid w:val="0066295D"/>
    <w:rsid w:val="00664A81"/>
    <w:rsid w:val="00664D92"/>
    <w:rsid w:val="00665491"/>
    <w:rsid w:val="006658B8"/>
    <w:rsid w:val="00665DDE"/>
    <w:rsid w:val="0066718A"/>
    <w:rsid w:val="00667402"/>
    <w:rsid w:val="00667804"/>
    <w:rsid w:val="0067022C"/>
    <w:rsid w:val="0067072D"/>
    <w:rsid w:val="00670A3B"/>
    <w:rsid w:val="00670F3B"/>
    <w:rsid w:val="00671379"/>
    <w:rsid w:val="00671412"/>
    <w:rsid w:val="00671804"/>
    <w:rsid w:val="006732A7"/>
    <w:rsid w:val="006736DE"/>
    <w:rsid w:val="0067372D"/>
    <w:rsid w:val="00673AB9"/>
    <w:rsid w:val="00673BED"/>
    <w:rsid w:val="006757CA"/>
    <w:rsid w:val="00675D64"/>
    <w:rsid w:val="0067631C"/>
    <w:rsid w:val="00676F10"/>
    <w:rsid w:val="006772A3"/>
    <w:rsid w:val="00677B28"/>
    <w:rsid w:val="00680968"/>
    <w:rsid w:val="006812F6"/>
    <w:rsid w:val="006813B8"/>
    <w:rsid w:val="006822FD"/>
    <w:rsid w:val="00683FF1"/>
    <w:rsid w:val="00684469"/>
    <w:rsid w:val="006847FA"/>
    <w:rsid w:val="0068646E"/>
    <w:rsid w:val="006877F0"/>
    <w:rsid w:val="00690526"/>
    <w:rsid w:val="00691495"/>
    <w:rsid w:val="00691F9D"/>
    <w:rsid w:val="0069233C"/>
    <w:rsid w:val="00692349"/>
    <w:rsid w:val="006923EA"/>
    <w:rsid w:val="00692B6C"/>
    <w:rsid w:val="006930CC"/>
    <w:rsid w:val="006933D3"/>
    <w:rsid w:val="006954FE"/>
    <w:rsid w:val="00695D04"/>
    <w:rsid w:val="00697070"/>
    <w:rsid w:val="006A083A"/>
    <w:rsid w:val="006A09C3"/>
    <w:rsid w:val="006A17F4"/>
    <w:rsid w:val="006A25E2"/>
    <w:rsid w:val="006A2D2A"/>
    <w:rsid w:val="006A2E9B"/>
    <w:rsid w:val="006A34D4"/>
    <w:rsid w:val="006A55C8"/>
    <w:rsid w:val="006A5AFD"/>
    <w:rsid w:val="006A5F90"/>
    <w:rsid w:val="006A6F8C"/>
    <w:rsid w:val="006A7BFE"/>
    <w:rsid w:val="006A7DFA"/>
    <w:rsid w:val="006B04D0"/>
    <w:rsid w:val="006B0777"/>
    <w:rsid w:val="006B28FA"/>
    <w:rsid w:val="006B29A4"/>
    <w:rsid w:val="006B31B5"/>
    <w:rsid w:val="006B3408"/>
    <w:rsid w:val="006B3758"/>
    <w:rsid w:val="006B3D05"/>
    <w:rsid w:val="006B3D5E"/>
    <w:rsid w:val="006B51F1"/>
    <w:rsid w:val="006B5447"/>
    <w:rsid w:val="006B6112"/>
    <w:rsid w:val="006B649C"/>
    <w:rsid w:val="006B6C33"/>
    <w:rsid w:val="006C018C"/>
    <w:rsid w:val="006C0667"/>
    <w:rsid w:val="006C0AB4"/>
    <w:rsid w:val="006C0F9B"/>
    <w:rsid w:val="006C10DC"/>
    <w:rsid w:val="006C1BF9"/>
    <w:rsid w:val="006C1CB0"/>
    <w:rsid w:val="006C3440"/>
    <w:rsid w:val="006C414C"/>
    <w:rsid w:val="006C4671"/>
    <w:rsid w:val="006C4A6A"/>
    <w:rsid w:val="006C4BC8"/>
    <w:rsid w:val="006C512D"/>
    <w:rsid w:val="006C5AA8"/>
    <w:rsid w:val="006C6784"/>
    <w:rsid w:val="006C69C0"/>
    <w:rsid w:val="006C6E9C"/>
    <w:rsid w:val="006C739D"/>
    <w:rsid w:val="006D2089"/>
    <w:rsid w:val="006D2556"/>
    <w:rsid w:val="006D2A8D"/>
    <w:rsid w:val="006D366F"/>
    <w:rsid w:val="006D3A18"/>
    <w:rsid w:val="006D3B88"/>
    <w:rsid w:val="006D4332"/>
    <w:rsid w:val="006D4AC5"/>
    <w:rsid w:val="006D4E16"/>
    <w:rsid w:val="006D55E4"/>
    <w:rsid w:val="006D63F5"/>
    <w:rsid w:val="006D67DA"/>
    <w:rsid w:val="006D67EB"/>
    <w:rsid w:val="006D70EC"/>
    <w:rsid w:val="006D72C1"/>
    <w:rsid w:val="006D7BE7"/>
    <w:rsid w:val="006E1749"/>
    <w:rsid w:val="006E1DDF"/>
    <w:rsid w:val="006E29D8"/>
    <w:rsid w:val="006E4E3C"/>
    <w:rsid w:val="006E53C6"/>
    <w:rsid w:val="006E592F"/>
    <w:rsid w:val="006E5B03"/>
    <w:rsid w:val="006E6871"/>
    <w:rsid w:val="006E6E44"/>
    <w:rsid w:val="006F0C62"/>
    <w:rsid w:val="006F0D4F"/>
    <w:rsid w:val="006F21EE"/>
    <w:rsid w:val="006F3A82"/>
    <w:rsid w:val="006F3F98"/>
    <w:rsid w:val="006F4073"/>
    <w:rsid w:val="006F4DB5"/>
    <w:rsid w:val="006F5CF3"/>
    <w:rsid w:val="006F6C11"/>
    <w:rsid w:val="006F7555"/>
    <w:rsid w:val="00700014"/>
    <w:rsid w:val="00704577"/>
    <w:rsid w:val="00705528"/>
    <w:rsid w:val="00705599"/>
    <w:rsid w:val="007057BC"/>
    <w:rsid w:val="00705D28"/>
    <w:rsid w:val="00705E3B"/>
    <w:rsid w:val="007065D5"/>
    <w:rsid w:val="00710562"/>
    <w:rsid w:val="0071089F"/>
    <w:rsid w:val="00710FF7"/>
    <w:rsid w:val="00711178"/>
    <w:rsid w:val="007121AF"/>
    <w:rsid w:val="00712313"/>
    <w:rsid w:val="00712C3E"/>
    <w:rsid w:val="007131BB"/>
    <w:rsid w:val="00713801"/>
    <w:rsid w:val="00714855"/>
    <w:rsid w:val="00715368"/>
    <w:rsid w:val="0071609D"/>
    <w:rsid w:val="007165AC"/>
    <w:rsid w:val="00717C09"/>
    <w:rsid w:val="00720CDE"/>
    <w:rsid w:val="00721EC7"/>
    <w:rsid w:val="00721F35"/>
    <w:rsid w:val="00722A73"/>
    <w:rsid w:val="00722D38"/>
    <w:rsid w:val="007230F6"/>
    <w:rsid w:val="00723227"/>
    <w:rsid w:val="0072394A"/>
    <w:rsid w:val="00723FCD"/>
    <w:rsid w:val="007257C4"/>
    <w:rsid w:val="00725F1D"/>
    <w:rsid w:val="00727BEC"/>
    <w:rsid w:val="0073183A"/>
    <w:rsid w:val="00732488"/>
    <w:rsid w:val="007336F7"/>
    <w:rsid w:val="007342F4"/>
    <w:rsid w:val="0073462F"/>
    <w:rsid w:val="00734784"/>
    <w:rsid w:val="00734D6A"/>
    <w:rsid w:val="00735297"/>
    <w:rsid w:val="007355A9"/>
    <w:rsid w:val="0073613F"/>
    <w:rsid w:val="00736848"/>
    <w:rsid w:val="00736FE0"/>
    <w:rsid w:val="00737406"/>
    <w:rsid w:val="00737DD8"/>
    <w:rsid w:val="00741058"/>
    <w:rsid w:val="00741E3D"/>
    <w:rsid w:val="0074208F"/>
    <w:rsid w:val="00743130"/>
    <w:rsid w:val="007434C9"/>
    <w:rsid w:val="007438E5"/>
    <w:rsid w:val="0074447C"/>
    <w:rsid w:val="0074509B"/>
    <w:rsid w:val="0074628E"/>
    <w:rsid w:val="0074676C"/>
    <w:rsid w:val="00747E8C"/>
    <w:rsid w:val="00750878"/>
    <w:rsid w:val="00750F23"/>
    <w:rsid w:val="00750F8C"/>
    <w:rsid w:val="007512C3"/>
    <w:rsid w:val="0075149A"/>
    <w:rsid w:val="007517D0"/>
    <w:rsid w:val="00752F51"/>
    <w:rsid w:val="007554F7"/>
    <w:rsid w:val="00755660"/>
    <w:rsid w:val="00755868"/>
    <w:rsid w:val="00755F22"/>
    <w:rsid w:val="007561A5"/>
    <w:rsid w:val="00756841"/>
    <w:rsid w:val="00756D4C"/>
    <w:rsid w:val="0075710D"/>
    <w:rsid w:val="00757625"/>
    <w:rsid w:val="00757C20"/>
    <w:rsid w:val="00757F91"/>
    <w:rsid w:val="00760851"/>
    <w:rsid w:val="007609C0"/>
    <w:rsid w:val="00760EF2"/>
    <w:rsid w:val="00760F68"/>
    <w:rsid w:val="00761CD8"/>
    <w:rsid w:val="0076209B"/>
    <w:rsid w:val="007620CC"/>
    <w:rsid w:val="00762B27"/>
    <w:rsid w:val="007633F6"/>
    <w:rsid w:val="00765952"/>
    <w:rsid w:val="0076613D"/>
    <w:rsid w:val="0076674A"/>
    <w:rsid w:val="00766D18"/>
    <w:rsid w:val="00766EAF"/>
    <w:rsid w:val="00770803"/>
    <w:rsid w:val="00770FEE"/>
    <w:rsid w:val="00772335"/>
    <w:rsid w:val="00772555"/>
    <w:rsid w:val="00772766"/>
    <w:rsid w:val="00772A0D"/>
    <w:rsid w:val="007730BE"/>
    <w:rsid w:val="00774114"/>
    <w:rsid w:val="00774171"/>
    <w:rsid w:val="00774275"/>
    <w:rsid w:val="00777AC2"/>
    <w:rsid w:val="00780061"/>
    <w:rsid w:val="00780504"/>
    <w:rsid w:val="00780969"/>
    <w:rsid w:val="00780A9F"/>
    <w:rsid w:val="00782713"/>
    <w:rsid w:val="00783062"/>
    <w:rsid w:val="00783567"/>
    <w:rsid w:val="00783AE6"/>
    <w:rsid w:val="00783B4D"/>
    <w:rsid w:val="00784438"/>
    <w:rsid w:val="00784CAE"/>
    <w:rsid w:val="00784F60"/>
    <w:rsid w:val="00785196"/>
    <w:rsid w:val="0078571F"/>
    <w:rsid w:val="007870FF"/>
    <w:rsid w:val="00791286"/>
    <w:rsid w:val="007915A6"/>
    <w:rsid w:val="00791995"/>
    <w:rsid w:val="00791A9D"/>
    <w:rsid w:val="00792116"/>
    <w:rsid w:val="00792858"/>
    <w:rsid w:val="00794162"/>
    <w:rsid w:val="0079458B"/>
    <w:rsid w:val="00794919"/>
    <w:rsid w:val="0079544A"/>
    <w:rsid w:val="007955DB"/>
    <w:rsid w:val="00795F93"/>
    <w:rsid w:val="00796BBF"/>
    <w:rsid w:val="00796F64"/>
    <w:rsid w:val="00797287"/>
    <w:rsid w:val="00797FAE"/>
    <w:rsid w:val="00797FB2"/>
    <w:rsid w:val="007A0051"/>
    <w:rsid w:val="007A0806"/>
    <w:rsid w:val="007A1DB7"/>
    <w:rsid w:val="007A20F4"/>
    <w:rsid w:val="007A20F6"/>
    <w:rsid w:val="007A3F03"/>
    <w:rsid w:val="007A402B"/>
    <w:rsid w:val="007A48B0"/>
    <w:rsid w:val="007A5212"/>
    <w:rsid w:val="007A5306"/>
    <w:rsid w:val="007A64FA"/>
    <w:rsid w:val="007A657D"/>
    <w:rsid w:val="007A70F9"/>
    <w:rsid w:val="007A7711"/>
    <w:rsid w:val="007A7D50"/>
    <w:rsid w:val="007B1157"/>
    <w:rsid w:val="007B20B2"/>
    <w:rsid w:val="007B2593"/>
    <w:rsid w:val="007B264C"/>
    <w:rsid w:val="007B2813"/>
    <w:rsid w:val="007B2B42"/>
    <w:rsid w:val="007B35F7"/>
    <w:rsid w:val="007B444F"/>
    <w:rsid w:val="007B521A"/>
    <w:rsid w:val="007B6417"/>
    <w:rsid w:val="007B73AE"/>
    <w:rsid w:val="007B7BC7"/>
    <w:rsid w:val="007B7E90"/>
    <w:rsid w:val="007C067B"/>
    <w:rsid w:val="007C1237"/>
    <w:rsid w:val="007C172A"/>
    <w:rsid w:val="007C2553"/>
    <w:rsid w:val="007C30E9"/>
    <w:rsid w:val="007C405F"/>
    <w:rsid w:val="007C4E7A"/>
    <w:rsid w:val="007C5432"/>
    <w:rsid w:val="007C564C"/>
    <w:rsid w:val="007C5B00"/>
    <w:rsid w:val="007C7CA6"/>
    <w:rsid w:val="007D0CC4"/>
    <w:rsid w:val="007D0E8E"/>
    <w:rsid w:val="007D2822"/>
    <w:rsid w:val="007D308B"/>
    <w:rsid w:val="007D34C4"/>
    <w:rsid w:val="007D41A6"/>
    <w:rsid w:val="007D42F2"/>
    <w:rsid w:val="007D4A33"/>
    <w:rsid w:val="007D6408"/>
    <w:rsid w:val="007D64C8"/>
    <w:rsid w:val="007D65CB"/>
    <w:rsid w:val="007D74FE"/>
    <w:rsid w:val="007D779B"/>
    <w:rsid w:val="007D7890"/>
    <w:rsid w:val="007E0B40"/>
    <w:rsid w:val="007E146F"/>
    <w:rsid w:val="007E16B9"/>
    <w:rsid w:val="007E1EDD"/>
    <w:rsid w:val="007E2828"/>
    <w:rsid w:val="007E292E"/>
    <w:rsid w:val="007E3FE9"/>
    <w:rsid w:val="007E48FE"/>
    <w:rsid w:val="007E5A69"/>
    <w:rsid w:val="007E7396"/>
    <w:rsid w:val="007E78F6"/>
    <w:rsid w:val="007F02DC"/>
    <w:rsid w:val="007F0B92"/>
    <w:rsid w:val="007F0F39"/>
    <w:rsid w:val="007F0F6F"/>
    <w:rsid w:val="007F247E"/>
    <w:rsid w:val="007F27EA"/>
    <w:rsid w:val="007F2FD5"/>
    <w:rsid w:val="007F3220"/>
    <w:rsid w:val="007F39A0"/>
    <w:rsid w:val="007F3E3F"/>
    <w:rsid w:val="007F4081"/>
    <w:rsid w:val="007F4C0A"/>
    <w:rsid w:val="007F5345"/>
    <w:rsid w:val="007F54A7"/>
    <w:rsid w:val="007F7392"/>
    <w:rsid w:val="007F7A03"/>
    <w:rsid w:val="007F7D13"/>
    <w:rsid w:val="007F7E05"/>
    <w:rsid w:val="00801BC8"/>
    <w:rsid w:val="00802D65"/>
    <w:rsid w:val="00803337"/>
    <w:rsid w:val="008033A2"/>
    <w:rsid w:val="008035F7"/>
    <w:rsid w:val="00803E8B"/>
    <w:rsid w:val="00804704"/>
    <w:rsid w:val="008047E1"/>
    <w:rsid w:val="00805D5E"/>
    <w:rsid w:val="00807204"/>
    <w:rsid w:val="0081073F"/>
    <w:rsid w:val="00811692"/>
    <w:rsid w:val="00811767"/>
    <w:rsid w:val="00811DF4"/>
    <w:rsid w:val="008122C5"/>
    <w:rsid w:val="00812AA3"/>
    <w:rsid w:val="00813E8E"/>
    <w:rsid w:val="00814061"/>
    <w:rsid w:val="00814EA1"/>
    <w:rsid w:val="00815C94"/>
    <w:rsid w:val="00815E20"/>
    <w:rsid w:val="0081641E"/>
    <w:rsid w:val="00817BAE"/>
    <w:rsid w:val="00820C04"/>
    <w:rsid w:val="00820F0A"/>
    <w:rsid w:val="0082134D"/>
    <w:rsid w:val="0082152B"/>
    <w:rsid w:val="00821C0B"/>
    <w:rsid w:val="00821C96"/>
    <w:rsid w:val="0082225C"/>
    <w:rsid w:val="00822408"/>
    <w:rsid w:val="00823123"/>
    <w:rsid w:val="008232FE"/>
    <w:rsid w:val="008234B7"/>
    <w:rsid w:val="00823907"/>
    <w:rsid w:val="00824000"/>
    <w:rsid w:val="00824009"/>
    <w:rsid w:val="0082404D"/>
    <w:rsid w:val="00824CA1"/>
    <w:rsid w:val="00824DFD"/>
    <w:rsid w:val="00824F76"/>
    <w:rsid w:val="00826010"/>
    <w:rsid w:val="00830931"/>
    <w:rsid w:val="00832CBB"/>
    <w:rsid w:val="0083351E"/>
    <w:rsid w:val="008342DD"/>
    <w:rsid w:val="0083527A"/>
    <w:rsid w:val="00836216"/>
    <w:rsid w:val="00836270"/>
    <w:rsid w:val="0083726E"/>
    <w:rsid w:val="0084040B"/>
    <w:rsid w:val="00840635"/>
    <w:rsid w:val="00840683"/>
    <w:rsid w:val="00840929"/>
    <w:rsid w:val="00840D1C"/>
    <w:rsid w:val="00841917"/>
    <w:rsid w:val="00843538"/>
    <w:rsid w:val="00843807"/>
    <w:rsid w:val="0084399F"/>
    <w:rsid w:val="00844CAE"/>
    <w:rsid w:val="00844D4C"/>
    <w:rsid w:val="00845672"/>
    <w:rsid w:val="00846271"/>
    <w:rsid w:val="0084641B"/>
    <w:rsid w:val="00846C0B"/>
    <w:rsid w:val="0084792C"/>
    <w:rsid w:val="00847F8B"/>
    <w:rsid w:val="0085018E"/>
    <w:rsid w:val="0085041E"/>
    <w:rsid w:val="00850ECD"/>
    <w:rsid w:val="00850FFF"/>
    <w:rsid w:val="00852AD9"/>
    <w:rsid w:val="00853088"/>
    <w:rsid w:val="00853424"/>
    <w:rsid w:val="008539C7"/>
    <w:rsid w:val="00853D3B"/>
    <w:rsid w:val="00853E74"/>
    <w:rsid w:val="00854371"/>
    <w:rsid w:val="008545F3"/>
    <w:rsid w:val="008554E6"/>
    <w:rsid w:val="008555A0"/>
    <w:rsid w:val="00855CB1"/>
    <w:rsid w:val="0085671F"/>
    <w:rsid w:val="0085723B"/>
    <w:rsid w:val="00857594"/>
    <w:rsid w:val="0085776B"/>
    <w:rsid w:val="00857791"/>
    <w:rsid w:val="00860224"/>
    <w:rsid w:val="008603D9"/>
    <w:rsid w:val="008603FE"/>
    <w:rsid w:val="0086106B"/>
    <w:rsid w:val="00861783"/>
    <w:rsid w:val="00862421"/>
    <w:rsid w:val="00862F0A"/>
    <w:rsid w:val="00864266"/>
    <w:rsid w:val="008647BF"/>
    <w:rsid w:val="00865DD8"/>
    <w:rsid w:val="00866C39"/>
    <w:rsid w:val="00866F2A"/>
    <w:rsid w:val="00866F89"/>
    <w:rsid w:val="00867057"/>
    <w:rsid w:val="00870D1C"/>
    <w:rsid w:val="0087158D"/>
    <w:rsid w:val="008720E9"/>
    <w:rsid w:val="00872CAC"/>
    <w:rsid w:val="008734A2"/>
    <w:rsid w:val="00873B43"/>
    <w:rsid w:val="00873BE1"/>
    <w:rsid w:val="0087438D"/>
    <w:rsid w:val="0087559B"/>
    <w:rsid w:val="00875822"/>
    <w:rsid w:val="0087626A"/>
    <w:rsid w:val="008765F5"/>
    <w:rsid w:val="00876D83"/>
    <w:rsid w:val="00876E01"/>
    <w:rsid w:val="00877F72"/>
    <w:rsid w:val="00880167"/>
    <w:rsid w:val="00880BA9"/>
    <w:rsid w:val="00881041"/>
    <w:rsid w:val="0088119D"/>
    <w:rsid w:val="008838DA"/>
    <w:rsid w:val="00883A70"/>
    <w:rsid w:val="00883BC6"/>
    <w:rsid w:val="00885D88"/>
    <w:rsid w:val="0088611E"/>
    <w:rsid w:val="00886388"/>
    <w:rsid w:val="008870D7"/>
    <w:rsid w:val="00887741"/>
    <w:rsid w:val="00887843"/>
    <w:rsid w:val="00887AFB"/>
    <w:rsid w:val="00891D2B"/>
    <w:rsid w:val="008927EB"/>
    <w:rsid w:val="00894124"/>
    <w:rsid w:val="0089430B"/>
    <w:rsid w:val="008967C5"/>
    <w:rsid w:val="00896952"/>
    <w:rsid w:val="00896C60"/>
    <w:rsid w:val="00897126"/>
    <w:rsid w:val="00897977"/>
    <w:rsid w:val="008A01C5"/>
    <w:rsid w:val="008A10B8"/>
    <w:rsid w:val="008A1243"/>
    <w:rsid w:val="008A1587"/>
    <w:rsid w:val="008A2D4C"/>
    <w:rsid w:val="008A379A"/>
    <w:rsid w:val="008A46B5"/>
    <w:rsid w:val="008A46F6"/>
    <w:rsid w:val="008A562E"/>
    <w:rsid w:val="008A6242"/>
    <w:rsid w:val="008A75E3"/>
    <w:rsid w:val="008A7AFC"/>
    <w:rsid w:val="008B02A0"/>
    <w:rsid w:val="008B0730"/>
    <w:rsid w:val="008B122E"/>
    <w:rsid w:val="008B1272"/>
    <w:rsid w:val="008B1992"/>
    <w:rsid w:val="008B3B48"/>
    <w:rsid w:val="008B4C6E"/>
    <w:rsid w:val="008B57E3"/>
    <w:rsid w:val="008B5CD5"/>
    <w:rsid w:val="008B6383"/>
    <w:rsid w:val="008B6FFF"/>
    <w:rsid w:val="008B7350"/>
    <w:rsid w:val="008B7BD0"/>
    <w:rsid w:val="008C00A9"/>
    <w:rsid w:val="008C0E95"/>
    <w:rsid w:val="008C1A92"/>
    <w:rsid w:val="008C333F"/>
    <w:rsid w:val="008C3AA4"/>
    <w:rsid w:val="008C3D16"/>
    <w:rsid w:val="008C3F53"/>
    <w:rsid w:val="008C4151"/>
    <w:rsid w:val="008C4EB5"/>
    <w:rsid w:val="008C56B1"/>
    <w:rsid w:val="008C5A9E"/>
    <w:rsid w:val="008C5C93"/>
    <w:rsid w:val="008C6F1E"/>
    <w:rsid w:val="008C7271"/>
    <w:rsid w:val="008C7592"/>
    <w:rsid w:val="008C7992"/>
    <w:rsid w:val="008D0A41"/>
    <w:rsid w:val="008D0D9B"/>
    <w:rsid w:val="008D179C"/>
    <w:rsid w:val="008D1D33"/>
    <w:rsid w:val="008D2FD0"/>
    <w:rsid w:val="008D363A"/>
    <w:rsid w:val="008D3F13"/>
    <w:rsid w:val="008D579A"/>
    <w:rsid w:val="008D5C0B"/>
    <w:rsid w:val="008D5EB6"/>
    <w:rsid w:val="008D6C83"/>
    <w:rsid w:val="008E0C27"/>
    <w:rsid w:val="008E1CDB"/>
    <w:rsid w:val="008E2C2B"/>
    <w:rsid w:val="008E3490"/>
    <w:rsid w:val="008E44BB"/>
    <w:rsid w:val="008E5402"/>
    <w:rsid w:val="008E6024"/>
    <w:rsid w:val="008E656D"/>
    <w:rsid w:val="008E7557"/>
    <w:rsid w:val="008E7D9F"/>
    <w:rsid w:val="008F03AD"/>
    <w:rsid w:val="008F048D"/>
    <w:rsid w:val="008F0A0C"/>
    <w:rsid w:val="008F1302"/>
    <w:rsid w:val="008F2227"/>
    <w:rsid w:val="008F2AED"/>
    <w:rsid w:val="008F2ECA"/>
    <w:rsid w:val="008F31DF"/>
    <w:rsid w:val="008F3A15"/>
    <w:rsid w:val="008F3E58"/>
    <w:rsid w:val="008F4249"/>
    <w:rsid w:val="008F4326"/>
    <w:rsid w:val="008F45A1"/>
    <w:rsid w:val="008F5072"/>
    <w:rsid w:val="008F616E"/>
    <w:rsid w:val="008F65BB"/>
    <w:rsid w:val="008F6803"/>
    <w:rsid w:val="008F78AE"/>
    <w:rsid w:val="00900123"/>
    <w:rsid w:val="00900748"/>
    <w:rsid w:val="009010F2"/>
    <w:rsid w:val="009034A7"/>
    <w:rsid w:val="00904267"/>
    <w:rsid w:val="00904CC5"/>
    <w:rsid w:val="009052EF"/>
    <w:rsid w:val="009053DF"/>
    <w:rsid w:val="0090553E"/>
    <w:rsid w:val="00906682"/>
    <w:rsid w:val="0090746D"/>
    <w:rsid w:val="00907793"/>
    <w:rsid w:val="0091099E"/>
    <w:rsid w:val="00910EC1"/>
    <w:rsid w:val="009114B5"/>
    <w:rsid w:val="009127E6"/>
    <w:rsid w:val="00916183"/>
    <w:rsid w:val="0091644B"/>
    <w:rsid w:val="00917D24"/>
    <w:rsid w:val="00921041"/>
    <w:rsid w:val="0092118C"/>
    <w:rsid w:val="0092195B"/>
    <w:rsid w:val="0092257D"/>
    <w:rsid w:val="009225F9"/>
    <w:rsid w:val="009235F0"/>
    <w:rsid w:val="009243A8"/>
    <w:rsid w:val="00924B08"/>
    <w:rsid w:val="00924D2C"/>
    <w:rsid w:val="00925459"/>
    <w:rsid w:val="00925AE3"/>
    <w:rsid w:val="009279D0"/>
    <w:rsid w:val="00927F7C"/>
    <w:rsid w:val="009300E1"/>
    <w:rsid w:val="009310B3"/>
    <w:rsid w:val="009324BC"/>
    <w:rsid w:val="00933799"/>
    <w:rsid w:val="00933BA9"/>
    <w:rsid w:val="00933C9B"/>
    <w:rsid w:val="0093508D"/>
    <w:rsid w:val="009360BE"/>
    <w:rsid w:val="0093670F"/>
    <w:rsid w:val="00936AF1"/>
    <w:rsid w:val="00937C93"/>
    <w:rsid w:val="00940642"/>
    <w:rsid w:val="009408B4"/>
    <w:rsid w:val="00941BD7"/>
    <w:rsid w:val="009420AA"/>
    <w:rsid w:val="009428B5"/>
    <w:rsid w:val="00942B32"/>
    <w:rsid w:val="0094378B"/>
    <w:rsid w:val="0094403C"/>
    <w:rsid w:val="0094409F"/>
    <w:rsid w:val="0094462E"/>
    <w:rsid w:val="00945F0F"/>
    <w:rsid w:val="0094650F"/>
    <w:rsid w:val="00946ECA"/>
    <w:rsid w:val="00946EEA"/>
    <w:rsid w:val="00947545"/>
    <w:rsid w:val="00947848"/>
    <w:rsid w:val="00947AAC"/>
    <w:rsid w:val="00950399"/>
    <w:rsid w:val="00950F23"/>
    <w:rsid w:val="009514FC"/>
    <w:rsid w:val="00952B0B"/>
    <w:rsid w:val="0095373F"/>
    <w:rsid w:val="00953BA8"/>
    <w:rsid w:val="00953D24"/>
    <w:rsid w:val="009551F8"/>
    <w:rsid w:val="0095574B"/>
    <w:rsid w:val="00955D34"/>
    <w:rsid w:val="0095646C"/>
    <w:rsid w:val="00956BCD"/>
    <w:rsid w:val="00956D2F"/>
    <w:rsid w:val="00957058"/>
    <w:rsid w:val="009575DF"/>
    <w:rsid w:val="00957716"/>
    <w:rsid w:val="009577F8"/>
    <w:rsid w:val="00957995"/>
    <w:rsid w:val="00960B56"/>
    <w:rsid w:val="00960D77"/>
    <w:rsid w:val="00961045"/>
    <w:rsid w:val="00961AEE"/>
    <w:rsid w:val="00962295"/>
    <w:rsid w:val="0096277C"/>
    <w:rsid w:val="00962EFA"/>
    <w:rsid w:val="00963196"/>
    <w:rsid w:val="00964949"/>
    <w:rsid w:val="009654BA"/>
    <w:rsid w:val="00965786"/>
    <w:rsid w:val="009665BC"/>
    <w:rsid w:val="00966A6C"/>
    <w:rsid w:val="00966EA3"/>
    <w:rsid w:val="00970ABF"/>
    <w:rsid w:val="00972A20"/>
    <w:rsid w:val="00972F6D"/>
    <w:rsid w:val="00973517"/>
    <w:rsid w:val="00973C04"/>
    <w:rsid w:val="009743E8"/>
    <w:rsid w:val="0097481F"/>
    <w:rsid w:val="0097512B"/>
    <w:rsid w:val="0097558D"/>
    <w:rsid w:val="00976D34"/>
    <w:rsid w:val="009808CA"/>
    <w:rsid w:val="00980C16"/>
    <w:rsid w:val="00981408"/>
    <w:rsid w:val="00981881"/>
    <w:rsid w:val="009825C9"/>
    <w:rsid w:val="009828C7"/>
    <w:rsid w:val="00983196"/>
    <w:rsid w:val="0098421A"/>
    <w:rsid w:val="00984415"/>
    <w:rsid w:val="00984AEF"/>
    <w:rsid w:val="00984F94"/>
    <w:rsid w:val="0098569C"/>
    <w:rsid w:val="00985FF9"/>
    <w:rsid w:val="009862E9"/>
    <w:rsid w:val="00987F9F"/>
    <w:rsid w:val="00990437"/>
    <w:rsid w:val="0099047A"/>
    <w:rsid w:val="009916FA"/>
    <w:rsid w:val="00994218"/>
    <w:rsid w:val="00994B04"/>
    <w:rsid w:val="00995A07"/>
    <w:rsid w:val="00995A9C"/>
    <w:rsid w:val="00995D52"/>
    <w:rsid w:val="009969C7"/>
    <w:rsid w:val="009A073B"/>
    <w:rsid w:val="009A10C1"/>
    <w:rsid w:val="009A12F4"/>
    <w:rsid w:val="009A2209"/>
    <w:rsid w:val="009A2941"/>
    <w:rsid w:val="009A48C5"/>
    <w:rsid w:val="009A5524"/>
    <w:rsid w:val="009A6740"/>
    <w:rsid w:val="009A72E2"/>
    <w:rsid w:val="009B2343"/>
    <w:rsid w:val="009B2E10"/>
    <w:rsid w:val="009B301E"/>
    <w:rsid w:val="009B3A61"/>
    <w:rsid w:val="009B3D0B"/>
    <w:rsid w:val="009B4785"/>
    <w:rsid w:val="009B4A1A"/>
    <w:rsid w:val="009B4B43"/>
    <w:rsid w:val="009B4F17"/>
    <w:rsid w:val="009B5445"/>
    <w:rsid w:val="009B6BC5"/>
    <w:rsid w:val="009B755C"/>
    <w:rsid w:val="009C0061"/>
    <w:rsid w:val="009C0383"/>
    <w:rsid w:val="009C16BF"/>
    <w:rsid w:val="009C2BE6"/>
    <w:rsid w:val="009C37C7"/>
    <w:rsid w:val="009C3957"/>
    <w:rsid w:val="009C3A4F"/>
    <w:rsid w:val="009C3E70"/>
    <w:rsid w:val="009C4461"/>
    <w:rsid w:val="009C57C3"/>
    <w:rsid w:val="009C59B2"/>
    <w:rsid w:val="009C606D"/>
    <w:rsid w:val="009C7C5E"/>
    <w:rsid w:val="009D009D"/>
    <w:rsid w:val="009D03FE"/>
    <w:rsid w:val="009D06C9"/>
    <w:rsid w:val="009D080E"/>
    <w:rsid w:val="009D41C2"/>
    <w:rsid w:val="009D57E2"/>
    <w:rsid w:val="009D67A4"/>
    <w:rsid w:val="009D7C7B"/>
    <w:rsid w:val="009E1032"/>
    <w:rsid w:val="009E1959"/>
    <w:rsid w:val="009E25CC"/>
    <w:rsid w:val="009E2770"/>
    <w:rsid w:val="009E3747"/>
    <w:rsid w:val="009E3835"/>
    <w:rsid w:val="009E3986"/>
    <w:rsid w:val="009E429A"/>
    <w:rsid w:val="009E50D4"/>
    <w:rsid w:val="009E512D"/>
    <w:rsid w:val="009E603E"/>
    <w:rsid w:val="009E68BC"/>
    <w:rsid w:val="009E6EBD"/>
    <w:rsid w:val="009E7241"/>
    <w:rsid w:val="009F0BF0"/>
    <w:rsid w:val="009F161B"/>
    <w:rsid w:val="009F1659"/>
    <w:rsid w:val="009F1DB9"/>
    <w:rsid w:val="009F2515"/>
    <w:rsid w:val="009F3252"/>
    <w:rsid w:val="009F488A"/>
    <w:rsid w:val="009F48F6"/>
    <w:rsid w:val="009F5028"/>
    <w:rsid w:val="009F6AC4"/>
    <w:rsid w:val="009F7E0E"/>
    <w:rsid w:val="00A00136"/>
    <w:rsid w:val="00A005B6"/>
    <w:rsid w:val="00A01476"/>
    <w:rsid w:val="00A02451"/>
    <w:rsid w:val="00A0307E"/>
    <w:rsid w:val="00A036D6"/>
    <w:rsid w:val="00A038E3"/>
    <w:rsid w:val="00A04501"/>
    <w:rsid w:val="00A0464C"/>
    <w:rsid w:val="00A0481F"/>
    <w:rsid w:val="00A06EBE"/>
    <w:rsid w:val="00A0735C"/>
    <w:rsid w:val="00A07B82"/>
    <w:rsid w:val="00A1105A"/>
    <w:rsid w:val="00A12190"/>
    <w:rsid w:val="00A13818"/>
    <w:rsid w:val="00A13F18"/>
    <w:rsid w:val="00A14304"/>
    <w:rsid w:val="00A14B6B"/>
    <w:rsid w:val="00A14DA9"/>
    <w:rsid w:val="00A157A4"/>
    <w:rsid w:val="00A16404"/>
    <w:rsid w:val="00A16B18"/>
    <w:rsid w:val="00A17714"/>
    <w:rsid w:val="00A17831"/>
    <w:rsid w:val="00A200CF"/>
    <w:rsid w:val="00A2029E"/>
    <w:rsid w:val="00A21632"/>
    <w:rsid w:val="00A23E11"/>
    <w:rsid w:val="00A2438F"/>
    <w:rsid w:val="00A24EDD"/>
    <w:rsid w:val="00A25386"/>
    <w:rsid w:val="00A2592D"/>
    <w:rsid w:val="00A26067"/>
    <w:rsid w:val="00A261E8"/>
    <w:rsid w:val="00A268A0"/>
    <w:rsid w:val="00A26AD4"/>
    <w:rsid w:val="00A27284"/>
    <w:rsid w:val="00A329B2"/>
    <w:rsid w:val="00A32BE2"/>
    <w:rsid w:val="00A32CC3"/>
    <w:rsid w:val="00A3352A"/>
    <w:rsid w:val="00A3509E"/>
    <w:rsid w:val="00A35235"/>
    <w:rsid w:val="00A3528D"/>
    <w:rsid w:val="00A355D6"/>
    <w:rsid w:val="00A35C67"/>
    <w:rsid w:val="00A35FEA"/>
    <w:rsid w:val="00A36958"/>
    <w:rsid w:val="00A36DB4"/>
    <w:rsid w:val="00A370D5"/>
    <w:rsid w:val="00A37A14"/>
    <w:rsid w:val="00A409AF"/>
    <w:rsid w:val="00A4167A"/>
    <w:rsid w:val="00A41C9C"/>
    <w:rsid w:val="00A41E64"/>
    <w:rsid w:val="00A41EA5"/>
    <w:rsid w:val="00A431A4"/>
    <w:rsid w:val="00A450C2"/>
    <w:rsid w:val="00A454E7"/>
    <w:rsid w:val="00A45614"/>
    <w:rsid w:val="00A45C8A"/>
    <w:rsid w:val="00A46692"/>
    <w:rsid w:val="00A4721C"/>
    <w:rsid w:val="00A50D43"/>
    <w:rsid w:val="00A52825"/>
    <w:rsid w:val="00A53029"/>
    <w:rsid w:val="00A53E6B"/>
    <w:rsid w:val="00A54C9F"/>
    <w:rsid w:val="00A55E0A"/>
    <w:rsid w:val="00A561FA"/>
    <w:rsid w:val="00A60D96"/>
    <w:rsid w:val="00A616E0"/>
    <w:rsid w:val="00A61C92"/>
    <w:rsid w:val="00A6285A"/>
    <w:rsid w:val="00A62EBD"/>
    <w:rsid w:val="00A63F78"/>
    <w:rsid w:val="00A6560C"/>
    <w:rsid w:val="00A65630"/>
    <w:rsid w:val="00A65862"/>
    <w:rsid w:val="00A662BE"/>
    <w:rsid w:val="00A6666B"/>
    <w:rsid w:val="00A66E3B"/>
    <w:rsid w:val="00A67148"/>
    <w:rsid w:val="00A674F1"/>
    <w:rsid w:val="00A67846"/>
    <w:rsid w:val="00A70BF0"/>
    <w:rsid w:val="00A70D41"/>
    <w:rsid w:val="00A722FC"/>
    <w:rsid w:val="00A72A41"/>
    <w:rsid w:val="00A73CA8"/>
    <w:rsid w:val="00A7437A"/>
    <w:rsid w:val="00A7452C"/>
    <w:rsid w:val="00A74B3A"/>
    <w:rsid w:val="00A74D7A"/>
    <w:rsid w:val="00A74EBA"/>
    <w:rsid w:val="00A75451"/>
    <w:rsid w:val="00A755EA"/>
    <w:rsid w:val="00A7610E"/>
    <w:rsid w:val="00A76C5F"/>
    <w:rsid w:val="00A771C4"/>
    <w:rsid w:val="00A7790E"/>
    <w:rsid w:val="00A80387"/>
    <w:rsid w:val="00A80A5F"/>
    <w:rsid w:val="00A81F0D"/>
    <w:rsid w:val="00A82926"/>
    <w:rsid w:val="00A82B7B"/>
    <w:rsid w:val="00A82C94"/>
    <w:rsid w:val="00A82E08"/>
    <w:rsid w:val="00A836DB"/>
    <w:rsid w:val="00A83930"/>
    <w:rsid w:val="00A83B9D"/>
    <w:rsid w:val="00A846A0"/>
    <w:rsid w:val="00A84B50"/>
    <w:rsid w:val="00A84CF2"/>
    <w:rsid w:val="00A8551B"/>
    <w:rsid w:val="00A86CA1"/>
    <w:rsid w:val="00A86DAE"/>
    <w:rsid w:val="00A903B8"/>
    <w:rsid w:val="00A90903"/>
    <w:rsid w:val="00A90EAD"/>
    <w:rsid w:val="00A915BE"/>
    <w:rsid w:val="00A92F5C"/>
    <w:rsid w:val="00A932F7"/>
    <w:rsid w:val="00A9343D"/>
    <w:rsid w:val="00A93535"/>
    <w:rsid w:val="00A93592"/>
    <w:rsid w:val="00A9359A"/>
    <w:rsid w:val="00A9393D"/>
    <w:rsid w:val="00A94978"/>
    <w:rsid w:val="00A9639D"/>
    <w:rsid w:val="00A96A6B"/>
    <w:rsid w:val="00A96D8E"/>
    <w:rsid w:val="00A971C3"/>
    <w:rsid w:val="00A978BA"/>
    <w:rsid w:val="00A97B38"/>
    <w:rsid w:val="00A97D35"/>
    <w:rsid w:val="00AA0C10"/>
    <w:rsid w:val="00AA0FD0"/>
    <w:rsid w:val="00AA149D"/>
    <w:rsid w:val="00AA151C"/>
    <w:rsid w:val="00AA1630"/>
    <w:rsid w:val="00AA325D"/>
    <w:rsid w:val="00AA3267"/>
    <w:rsid w:val="00AA37DB"/>
    <w:rsid w:val="00AA4ABD"/>
    <w:rsid w:val="00AA5290"/>
    <w:rsid w:val="00AA530E"/>
    <w:rsid w:val="00AA597D"/>
    <w:rsid w:val="00AA67A1"/>
    <w:rsid w:val="00AA67B3"/>
    <w:rsid w:val="00AA6DB8"/>
    <w:rsid w:val="00AA7411"/>
    <w:rsid w:val="00AA780D"/>
    <w:rsid w:val="00AB08FB"/>
    <w:rsid w:val="00AB1786"/>
    <w:rsid w:val="00AB242F"/>
    <w:rsid w:val="00AB270F"/>
    <w:rsid w:val="00AB314D"/>
    <w:rsid w:val="00AB3601"/>
    <w:rsid w:val="00AB3C56"/>
    <w:rsid w:val="00AB4BE2"/>
    <w:rsid w:val="00AB524E"/>
    <w:rsid w:val="00AB591E"/>
    <w:rsid w:val="00AB5A14"/>
    <w:rsid w:val="00AB5C90"/>
    <w:rsid w:val="00AB5DE4"/>
    <w:rsid w:val="00AC0C42"/>
    <w:rsid w:val="00AC0EF9"/>
    <w:rsid w:val="00AC1286"/>
    <w:rsid w:val="00AC192E"/>
    <w:rsid w:val="00AC2105"/>
    <w:rsid w:val="00AC2AF3"/>
    <w:rsid w:val="00AC33DB"/>
    <w:rsid w:val="00AC4800"/>
    <w:rsid w:val="00AC485B"/>
    <w:rsid w:val="00AC4C4C"/>
    <w:rsid w:val="00AC6184"/>
    <w:rsid w:val="00AC6200"/>
    <w:rsid w:val="00AC6CA0"/>
    <w:rsid w:val="00AD0236"/>
    <w:rsid w:val="00AD085B"/>
    <w:rsid w:val="00AD0C5A"/>
    <w:rsid w:val="00AD2405"/>
    <w:rsid w:val="00AD480A"/>
    <w:rsid w:val="00AD5068"/>
    <w:rsid w:val="00AD562C"/>
    <w:rsid w:val="00AD58C8"/>
    <w:rsid w:val="00AD606C"/>
    <w:rsid w:val="00AD67E6"/>
    <w:rsid w:val="00AD6B96"/>
    <w:rsid w:val="00AD75B7"/>
    <w:rsid w:val="00AD7A69"/>
    <w:rsid w:val="00AD7EF8"/>
    <w:rsid w:val="00AE0159"/>
    <w:rsid w:val="00AE0602"/>
    <w:rsid w:val="00AE061D"/>
    <w:rsid w:val="00AE0C9E"/>
    <w:rsid w:val="00AE285E"/>
    <w:rsid w:val="00AE29A3"/>
    <w:rsid w:val="00AE3B05"/>
    <w:rsid w:val="00AE44E9"/>
    <w:rsid w:val="00AE47CF"/>
    <w:rsid w:val="00AE49C0"/>
    <w:rsid w:val="00AE4B78"/>
    <w:rsid w:val="00AE56F3"/>
    <w:rsid w:val="00AE678E"/>
    <w:rsid w:val="00AE68AA"/>
    <w:rsid w:val="00AE6C80"/>
    <w:rsid w:val="00AE6D57"/>
    <w:rsid w:val="00AE74A0"/>
    <w:rsid w:val="00AF006B"/>
    <w:rsid w:val="00AF1CF5"/>
    <w:rsid w:val="00AF31B8"/>
    <w:rsid w:val="00AF3258"/>
    <w:rsid w:val="00AF3953"/>
    <w:rsid w:val="00AF4629"/>
    <w:rsid w:val="00AF48DD"/>
    <w:rsid w:val="00AF4D36"/>
    <w:rsid w:val="00AF54FE"/>
    <w:rsid w:val="00AF555D"/>
    <w:rsid w:val="00AF585A"/>
    <w:rsid w:val="00AF71FA"/>
    <w:rsid w:val="00B001FD"/>
    <w:rsid w:val="00B01245"/>
    <w:rsid w:val="00B01B3A"/>
    <w:rsid w:val="00B01FFB"/>
    <w:rsid w:val="00B027DE"/>
    <w:rsid w:val="00B02C3D"/>
    <w:rsid w:val="00B02D3D"/>
    <w:rsid w:val="00B0357A"/>
    <w:rsid w:val="00B03921"/>
    <w:rsid w:val="00B04D03"/>
    <w:rsid w:val="00B060E4"/>
    <w:rsid w:val="00B0624C"/>
    <w:rsid w:val="00B062F3"/>
    <w:rsid w:val="00B063BB"/>
    <w:rsid w:val="00B06C6F"/>
    <w:rsid w:val="00B06FC2"/>
    <w:rsid w:val="00B07297"/>
    <w:rsid w:val="00B074BF"/>
    <w:rsid w:val="00B1199F"/>
    <w:rsid w:val="00B13C2B"/>
    <w:rsid w:val="00B15349"/>
    <w:rsid w:val="00B15B46"/>
    <w:rsid w:val="00B1604E"/>
    <w:rsid w:val="00B16E92"/>
    <w:rsid w:val="00B172DC"/>
    <w:rsid w:val="00B1747F"/>
    <w:rsid w:val="00B20897"/>
    <w:rsid w:val="00B2254A"/>
    <w:rsid w:val="00B23F12"/>
    <w:rsid w:val="00B24804"/>
    <w:rsid w:val="00B259D4"/>
    <w:rsid w:val="00B25E97"/>
    <w:rsid w:val="00B263B0"/>
    <w:rsid w:val="00B26D0D"/>
    <w:rsid w:val="00B27A86"/>
    <w:rsid w:val="00B27CEF"/>
    <w:rsid w:val="00B304EE"/>
    <w:rsid w:val="00B3053B"/>
    <w:rsid w:val="00B30C61"/>
    <w:rsid w:val="00B31B69"/>
    <w:rsid w:val="00B334E1"/>
    <w:rsid w:val="00B34D6A"/>
    <w:rsid w:val="00B34FD8"/>
    <w:rsid w:val="00B3555C"/>
    <w:rsid w:val="00B36A0E"/>
    <w:rsid w:val="00B36CC9"/>
    <w:rsid w:val="00B3708A"/>
    <w:rsid w:val="00B37A01"/>
    <w:rsid w:val="00B37FAE"/>
    <w:rsid w:val="00B40BB3"/>
    <w:rsid w:val="00B41246"/>
    <w:rsid w:val="00B41385"/>
    <w:rsid w:val="00B41C84"/>
    <w:rsid w:val="00B42868"/>
    <w:rsid w:val="00B42CB5"/>
    <w:rsid w:val="00B42DE3"/>
    <w:rsid w:val="00B4345A"/>
    <w:rsid w:val="00B43B39"/>
    <w:rsid w:val="00B44E8F"/>
    <w:rsid w:val="00B45B18"/>
    <w:rsid w:val="00B45B5C"/>
    <w:rsid w:val="00B46374"/>
    <w:rsid w:val="00B465F7"/>
    <w:rsid w:val="00B46FE3"/>
    <w:rsid w:val="00B473D3"/>
    <w:rsid w:val="00B476D2"/>
    <w:rsid w:val="00B47781"/>
    <w:rsid w:val="00B50CCA"/>
    <w:rsid w:val="00B50DBC"/>
    <w:rsid w:val="00B51A3C"/>
    <w:rsid w:val="00B52BB1"/>
    <w:rsid w:val="00B52BB7"/>
    <w:rsid w:val="00B5350F"/>
    <w:rsid w:val="00B53E0F"/>
    <w:rsid w:val="00B54936"/>
    <w:rsid w:val="00B549D5"/>
    <w:rsid w:val="00B54C14"/>
    <w:rsid w:val="00B54C77"/>
    <w:rsid w:val="00B55A48"/>
    <w:rsid w:val="00B55ABA"/>
    <w:rsid w:val="00B566A5"/>
    <w:rsid w:val="00B600D1"/>
    <w:rsid w:val="00B6040B"/>
    <w:rsid w:val="00B61513"/>
    <w:rsid w:val="00B62385"/>
    <w:rsid w:val="00B63FAB"/>
    <w:rsid w:val="00B64117"/>
    <w:rsid w:val="00B64B8B"/>
    <w:rsid w:val="00B64C17"/>
    <w:rsid w:val="00B66C5F"/>
    <w:rsid w:val="00B67EE5"/>
    <w:rsid w:val="00B70384"/>
    <w:rsid w:val="00B706FB"/>
    <w:rsid w:val="00B71056"/>
    <w:rsid w:val="00B71935"/>
    <w:rsid w:val="00B7206F"/>
    <w:rsid w:val="00B728A2"/>
    <w:rsid w:val="00B73C94"/>
    <w:rsid w:val="00B7442E"/>
    <w:rsid w:val="00B74435"/>
    <w:rsid w:val="00B76D22"/>
    <w:rsid w:val="00B77BBC"/>
    <w:rsid w:val="00B77CF0"/>
    <w:rsid w:val="00B80235"/>
    <w:rsid w:val="00B80897"/>
    <w:rsid w:val="00B81AD5"/>
    <w:rsid w:val="00B81CD8"/>
    <w:rsid w:val="00B829EB"/>
    <w:rsid w:val="00B82B1D"/>
    <w:rsid w:val="00B843B5"/>
    <w:rsid w:val="00B848A9"/>
    <w:rsid w:val="00B85847"/>
    <w:rsid w:val="00B858ED"/>
    <w:rsid w:val="00B85A89"/>
    <w:rsid w:val="00B876BF"/>
    <w:rsid w:val="00B87E24"/>
    <w:rsid w:val="00B87F70"/>
    <w:rsid w:val="00B909FB"/>
    <w:rsid w:val="00B90CEB"/>
    <w:rsid w:val="00B91508"/>
    <w:rsid w:val="00B922E0"/>
    <w:rsid w:val="00B926FC"/>
    <w:rsid w:val="00B92799"/>
    <w:rsid w:val="00B93757"/>
    <w:rsid w:val="00B93DCC"/>
    <w:rsid w:val="00B9424E"/>
    <w:rsid w:val="00B94399"/>
    <w:rsid w:val="00B94666"/>
    <w:rsid w:val="00B94677"/>
    <w:rsid w:val="00B94890"/>
    <w:rsid w:val="00B94E61"/>
    <w:rsid w:val="00B970B7"/>
    <w:rsid w:val="00B97EDD"/>
    <w:rsid w:val="00B97FCE"/>
    <w:rsid w:val="00BA02AC"/>
    <w:rsid w:val="00BA15A4"/>
    <w:rsid w:val="00BA1BC8"/>
    <w:rsid w:val="00BA2BFE"/>
    <w:rsid w:val="00BA2FEF"/>
    <w:rsid w:val="00BA3DAB"/>
    <w:rsid w:val="00BA487E"/>
    <w:rsid w:val="00BA58C6"/>
    <w:rsid w:val="00BA618C"/>
    <w:rsid w:val="00BA651F"/>
    <w:rsid w:val="00BA6DD1"/>
    <w:rsid w:val="00BA6E95"/>
    <w:rsid w:val="00BA6FF0"/>
    <w:rsid w:val="00BB0260"/>
    <w:rsid w:val="00BB172B"/>
    <w:rsid w:val="00BB197A"/>
    <w:rsid w:val="00BB2003"/>
    <w:rsid w:val="00BB2D11"/>
    <w:rsid w:val="00BB370D"/>
    <w:rsid w:val="00BB3C53"/>
    <w:rsid w:val="00BB48B3"/>
    <w:rsid w:val="00BB5EB0"/>
    <w:rsid w:val="00BB7387"/>
    <w:rsid w:val="00BC09A3"/>
    <w:rsid w:val="00BC1327"/>
    <w:rsid w:val="00BC17C1"/>
    <w:rsid w:val="00BC28A5"/>
    <w:rsid w:val="00BC2D6D"/>
    <w:rsid w:val="00BC3F70"/>
    <w:rsid w:val="00BC4D39"/>
    <w:rsid w:val="00BC4E0E"/>
    <w:rsid w:val="00BC6E4F"/>
    <w:rsid w:val="00BD103E"/>
    <w:rsid w:val="00BD1624"/>
    <w:rsid w:val="00BD1764"/>
    <w:rsid w:val="00BD17EE"/>
    <w:rsid w:val="00BD22CB"/>
    <w:rsid w:val="00BD2BE5"/>
    <w:rsid w:val="00BD34BD"/>
    <w:rsid w:val="00BD3829"/>
    <w:rsid w:val="00BD3F6D"/>
    <w:rsid w:val="00BD5436"/>
    <w:rsid w:val="00BD5E7D"/>
    <w:rsid w:val="00BD707E"/>
    <w:rsid w:val="00BD76EE"/>
    <w:rsid w:val="00BD771A"/>
    <w:rsid w:val="00BE01AB"/>
    <w:rsid w:val="00BE0536"/>
    <w:rsid w:val="00BE110B"/>
    <w:rsid w:val="00BE16C0"/>
    <w:rsid w:val="00BE1927"/>
    <w:rsid w:val="00BE20FD"/>
    <w:rsid w:val="00BE22B2"/>
    <w:rsid w:val="00BE2D2F"/>
    <w:rsid w:val="00BE2D67"/>
    <w:rsid w:val="00BE2DC0"/>
    <w:rsid w:val="00BE33D6"/>
    <w:rsid w:val="00BE346E"/>
    <w:rsid w:val="00BE3B64"/>
    <w:rsid w:val="00BE3FA6"/>
    <w:rsid w:val="00BE560D"/>
    <w:rsid w:val="00BE577D"/>
    <w:rsid w:val="00BE5866"/>
    <w:rsid w:val="00BE7037"/>
    <w:rsid w:val="00BE72A2"/>
    <w:rsid w:val="00BE796C"/>
    <w:rsid w:val="00BF038F"/>
    <w:rsid w:val="00BF12A4"/>
    <w:rsid w:val="00BF228B"/>
    <w:rsid w:val="00BF3D69"/>
    <w:rsid w:val="00BF433D"/>
    <w:rsid w:val="00BF4371"/>
    <w:rsid w:val="00BF4A39"/>
    <w:rsid w:val="00BF4F55"/>
    <w:rsid w:val="00BF5126"/>
    <w:rsid w:val="00BF514B"/>
    <w:rsid w:val="00BF6D4A"/>
    <w:rsid w:val="00BF7D07"/>
    <w:rsid w:val="00BF7D98"/>
    <w:rsid w:val="00BF7E9B"/>
    <w:rsid w:val="00C0137E"/>
    <w:rsid w:val="00C015EA"/>
    <w:rsid w:val="00C01BAE"/>
    <w:rsid w:val="00C021F5"/>
    <w:rsid w:val="00C02363"/>
    <w:rsid w:val="00C024E3"/>
    <w:rsid w:val="00C0285E"/>
    <w:rsid w:val="00C03D6A"/>
    <w:rsid w:val="00C04007"/>
    <w:rsid w:val="00C0414F"/>
    <w:rsid w:val="00C0435B"/>
    <w:rsid w:val="00C04417"/>
    <w:rsid w:val="00C052EC"/>
    <w:rsid w:val="00C06A7E"/>
    <w:rsid w:val="00C06B77"/>
    <w:rsid w:val="00C070B4"/>
    <w:rsid w:val="00C07F50"/>
    <w:rsid w:val="00C10A80"/>
    <w:rsid w:val="00C10D39"/>
    <w:rsid w:val="00C120EA"/>
    <w:rsid w:val="00C12FA3"/>
    <w:rsid w:val="00C134FD"/>
    <w:rsid w:val="00C1469B"/>
    <w:rsid w:val="00C15BA0"/>
    <w:rsid w:val="00C15CF1"/>
    <w:rsid w:val="00C15F72"/>
    <w:rsid w:val="00C16BDC"/>
    <w:rsid w:val="00C16D50"/>
    <w:rsid w:val="00C16FC9"/>
    <w:rsid w:val="00C178E9"/>
    <w:rsid w:val="00C20717"/>
    <w:rsid w:val="00C20F5D"/>
    <w:rsid w:val="00C212D9"/>
    <w:rsid w:val="00C2215B"/>
    <w:rsid w:val="00C222A5"/>
    <w:rsid w:val="00C22E9A"/>
    <w:rsid w:val="00C235A3"/>
    <w:rsid w:val="00C23AE8"/>
    <w:rsid w:val="00C23D7F"/>
    <w:rsid w:val="00C24388"/>
    <w:rsid w:val="00C2441F"/>
    <w:rsid w:val="00C272BB"/>
    <w:rsid w:val="00C272ED"/>
    <w:rsid w:val="00C3018D"/>
    <w:rsid w:val="00C3090A"/>
    <w:rsid w:val="00C30D6C"/>
    <w:rsid w:val="00C3100B"/>
    <w:rsid w:val="00C317F3"/>
    <w:rsid w:val="00C31EE5"/>
    <w:rsid w:val="00C320AD"/>
    <w:rsid w:val="00C320C1"/>
    <w:rsid w:val="00C32615"/>
    <w:rsid w:val="00C33AD3"/>
    <w:rsid w:val="00C33EE5"/>
    <w:rsid w:val="00C34830"/>
    <w:rsid w:val="00C34D3A"/>
    <w:rsid w:val="00C358E7"/>
    <w:rsid w:val="00C36522"/>
    <w:rsid w:val="00C366FB"/>
    <w:rsid w:val="00C36DC6"/>
    <w:rsid w:val="00C37E90"/>
    <w:rsid w:val="00C400CE"/>
    <w:rsid w:val="00C40F14"/>
    <w:rsid w:val="00C41424"/>
    <w:rsid w:val="00C41EE6"/>
    <w:rsid w:val="00C430AE"/>
    <w:rsid w:val="00C43610"/>
    <w:rsid w:val="00C43649"/>
    <w:rsid w:val="00C4401A"/>
    <w:rsid w:val="00C44E5C"/>
    <w:rsid w:val="00C44EFD"/>
    <w:rsid w:val="00C45263"/>
    <w:rsid w:val="00C45846"/>
    <w:rsid w:val="00C45FB1"/>
    <w:rsid w:val="00C46C75"/>
    <w:rsid w:val="00C47399"/>
    <w:rsid w:val="00C50D04"/>
    <w:rsid w:val="00C50E60"/>
    <w:rsid w:val="00C51075"/>
    <w:rsid w:val="00C5188F"/>
    <w:rsid w:val="00C51A76"/>
    <w:rsid w:val="00C51CFF"/>
    <w:rsid w:val="00C522F1"/>
    <w:rsid w:val="00C537EC"/>
    <w:rsid w:val="00C540D9"/>
    <w:rsid w:val="00C54524"/>
    <w:rsid w:val="00C54DC7"/>
    <w:rsid w:val="00C554B1"/>
    <w:rsid w:val="00C5568F"/>
    <w:rsid w:val="00C557C9"/>
    <w:rsid w:val="00C558D5"/>
    <w:rsid w:val="00C55C03"/>
    <w:rsid w:val="00C56192"/>
    <w:rsid w:val="00C5637C"/>
    <w:rsid w:val="00C566CA"/>
    <w:rsid w:val="00C56A76"/>
    <w:rsid w:val="00C60A87"/>
    <w:rsid w:val="00C61081"/>
    <w:rsid w:val="00C618A1"/>
    <w:rsid w:val="00C61AFB"/>
    <w:rsid w:val="00C61F2A"/>
    <w:rsid w:val="00C62600"/>
    <w:rsid w:val="00C62911"/>
    <w:rsid w:val="00C62B2F"/>
    <w:rsid w:val="00C64A08"/>
    <w:rsid w:val="00C654BC"/>
    <w:rsid w:val="00C66055"/>
    <w:rsid w:val="00C66418"/>
    <w:rsid w:val="00C67574"/>
    <w:rsid w:val="00C678B4"/>
    <w:rsid w:val="00C67F98"/>
    <w:rsid w:val="00C70711"/>
    <w:rsid w:val="00C71A8D"/>
    <w:rsid w:val="00C728EE"/>
    <w:rsid w:val="00C72E58"/>
    <w:rsid w:val="00C730A8"/>
    <w:rsid w:val="00C7333B"/>
    <w:rsid w:val="00C73A07"/>
    <w:rsid w:val="00C75558"/>
    <w:rsid w:val="00C7651C"/>
    <w:rsid w:val="00C76C15"/>
    <w:rsid w:val="00C77362"/>
    <w:rsid w:val="00C7737B"/>
    <w:rsid w:val="00C77ED2"/>
    <w:rsid w:val="00C806A8"/>
    <w:rsid w:val="00C808F8"/>
    <w:rsid w:val="00C812AC"/>
    <w:rsid w:val="00C81C58"/>
    <w:rsid w:val="00C81FED"/>
    <w:rsid w:val="00C83471"/>
    <w:rsid w:val="00C835F3"/>
    <w:rsid w:val="00C84487"/>
    <w:rsid w:val="00C848F2"/>
    <w:rsid w:val="00C86488"/>
    <w:rsid w:val="00C867FC"/>
    <w:rsid w:val="00C86B23"/>
    <w:rsid w:val="00C86B9F"/>
    <w:rsid w:val="00C86C6E"/>
    <w:rsid w:val="00C87994"/>
    <w:rsid w:val="00C907D6"/>
    <w:rsid w:val="00C90DEE"/>
    <w:rsid w:val="00C910FF"/>
    <w:rsid w:val="00C91662"/>
    <w:rsid w:val="00C91817"/>
    <w:rsid w:val="00C924B7"/>
    <w:rsid w:val="00C925BC"/>
    <w:rsid w:val="00C92B01"/>
    <w:rsid w:val="00C936BF"/>
    <w:rsid w:val="00C940DF"/>
    <w:rsid w:val="00C9579E"/>
    <w:rsid w:val="00C9697B"/>
    <w:rsid w:val="00C96B50"/>
    <w:rsid w:val="00C97627"/>
    <w:rsid w:val="00C9791F"/>
    <w:rsid w:val="00CA06BE"/>
    <w:rsid w:val="00CA13AD"/>
    <w:rsid w:val="00CA1D11"/>
    <w:rsid w:val="00CA3CB0"/>
    <w:rsid w:val="00CA431E"/>
    <w:rsid w:val="00CA44A0"/>
    <w:rsid w:val="00CA49F5"/>
    <w:rsid w:val="00CA4AB2"/>
    <w:rsid w:val="00CA6026"/>
    <w:rsid w:val="00CA6487"/>
    <w:rsid w:val="00CA65CD"/>
    <w:rsid w:val="00CA669E"/>
    <w:rsid w:val="00CA7006"/>
    <w:rsid w:val="00CA7C31"/>
    <w:rsid w:val="00CA7F15"/>
    <w:rsid w:val="00CB068B"/>
    <w:rsid w:val="00CB0C29"/>
    <w:rsid w:val="00CB0DB5"/>
    <w:rsid w:val="00CB18FB"/>
    <w:rsid w:val="00CB1A0C"/>
    <w:rsid w:val="00CB31FA"/>
    <w:rsid w:val="00CB3320"/>
    <w:rsid w:val="00CB3323"/>
    <w:rsid w:val="00CB36B0"/>
    <w:rsid w:val="00CB37EA"/>
    <w:rsid w:val="00CB3C08"/>
    <w:rsid w:val="00CB59AA"/>
    <w:rsid w:val="00CB6108"/>
    <w:rsid w:val="00CB680F"/>
    <w:rsid w:val="00CB6C85"/>
    <w:rsid w:val="00CB7287"/>
    <w:rsid w:val="00CB7948"/>
    <w:rsid w:val="00CC0BC8"/>
    <w:rsid w:val="00CC1974"/>
    <w:rsid w:val="00CC1AFF"/>
    <w:rsid w:val="00CC1DBD"/>
    <w:rsid w:val="00CC325B"/>
    <w:rsid w:val="00CC40D6"/>
    <w:rsid w:val="00CC4CAB"/>
    <w:rsid w:val="00CC5615"/>
    <w:rsid w:val="00CC6E6A"/>
    <w:rsid w:val="00CC7E03"/>
    <w:rsid w:val="00CC7F7E"/>
    <w:rsid w:val="00CD055B"/>
    <w:rsid w:val="00CD0BC2"/>
    <w:rsid w:val="00CD0BCF"/>
    <w:rsid w:val="00CD0BEE"/>
    <w:rsid w:val="00CD0F20"/>
    <w:rsid w:val="00CD1C4C"/>
    <w:rsid w:val="00CD32C3"/>
    <w:rsid w:val="00CD40DF"/>
    <w:rsid w:val="00CD42F8"/>
    <w:rsid w:val="00CD469C"/>
    <w:rsid w:val="00CD4F12"/>
    <w:rsid w:val="00CD6F0F"/>
    <w:rsid w:val="00CD712B"/>
    <w:rsid w:val="00CD79CB"/>
    <w:rsid w:val="00CE01E6"/>
    <w:rsid w:val="00CE1345"/>
    <w:rsid w:val="00CE176A"/>
    <w:rsid w:val="00CE2360"/>
    <w:rsid w:val="00CE23CC"/>
    <w:rsid w:val="00CE3BBA"/>
    <w:rsid w:val="00CE5820"/>
    <w:rsid w:val="00CE5868"/>
    <w:rsid w:val="00CE67E1"/>
    <w:rsid w:val="00CE6900"/>
    <w:rsid w:val="00CE7954"/>
    <w:rsid w:val="00CF0251"/>
    <w:rsid w:val="00CF02CA"/>
    <w:rsid w:val="00CF0675"/>
    <w:rsid w:val="00CF10CB"/>
    <w:rsid w:val="00CF1694"/>
    <w:rsid w:val="00CF2485"/>
    <w:rsid w:val="00CF30EA"/>
    <w:rsid w:val="00CF3500"/>
    <w:rsid w:val="00CF4716"/>
    <w:rsid w:val="00CF49BD"/>
    <w:rsid w:val="00CF4E47"/>
    <w:rsid w:val="00CF57DA"/>
    <w:rsid w:val="00CF61F7"/>
    <w:rsid w:val="00CF63E9"/>
    <w:rsid w:val="00CF6442"/>
    <w:rsid w:val="00CF75E0"/>
    <w:rsid w:val="00D008F1"/>
    <w:rsid w:val="00D00CE7"/>
    <w:rsid w:val="00D01F2D"/>
    <w:rsid w:val="00D02064"/>
    <w:rsid w:val="00D02F1A"/>
    <w:rsid w:val="00D03382"/>
    <w:rsid w:val="00D042BA"/>
    <w:rsid w:val="00D0434C"/>
    <w:rsid w:val="00D04717"/>
    <w:rsid w:val="00D07075"/>
    <w:rsid w:val="00D07947"/>
    <w:rsid w:val="00D10306"/>
    <w:rsid w:val="00D10D06"/>
    <w:rsid w:val="00D11330"/>
    <w:rsid w:val="00D1166D"/>
    <w:rsid w:val="00D11763"/>
    <w:rsid w:val="00D119DE"/>
    <w:rsid w:val="00D12163"/>
    <w:rsid w:val="00D12808"/>
    <w:rsid w:val="00D1287E"/>
    <w:rsid w:val="00D13605"/>
    <w:rsid w:val="00D139D6"/>
    <w:rsid w:val="00D14530"/>
    <w:rsid w:val="00D146BC"/>
    <w:rsid w:val="00D14A6B"/>
    <w:rsid w:val="00D14A82"/>
    <w:rsid w:val="00D14C23"/>
    <w:rsid w:val="00D1519F"/>
    <w:rsid w:val="00D16CF1"/>
    <w:rsid w:val="00D177CE"/>
    <w:rsid w:val="00D17963"/>
    <w:rsid w:val="00D17E42"/>
    <w:rsid w:val="00D20402"/>
    <w:rsid w:val="00D206F8"/>
    <w:rsid w:val="00D209CD"/>
    <w:rsid w:val="00D20B7F"/>
    <w:rsid w:val="00D21346"/>
    <w:rsid w:val="00D216B6"/>
    <w:rsid w:val="00D21770"/>
    <w:rsid w:val="00D23C87"/>
    <w:rsid w:val="00D2463E"/>
    <w:rsid w:val="00D24889"/>
    <w:rsid w:val="00D249F4"/>
    <w:rsid w:val="00D24AD4"/>
    <w:rsid w:val="00D2531D"/>
    <w:rsid w:val="00D27992"/>
    <w:rsid w:val="00D30378"/>
    <w:rsid w:val="00D308BD"/>
    <w:rsid w:val="00D30935"/>
    <w:rsid w:val="00D30CA5"/>
    <w:rsid w:val="00D30FEA"/>
    <w:rsid w:val="00D31482"/>
    <w:rsid w:val="00D319B7"/>
    <w:rsid w:val="00D325C9"/>
    <w:rsid w:val="00D32BC3"/>
    <w:rsid w:val="00D331F7"/>
    <w:rsid w:val="00D333F4"/>
    <w:rsid w:val="00D3493D"/>
    <w:rsid w:val="00D356D3"/>
    <w:rsid w:val="00D35AAC"/>
    <w:rsid w:val="00D35FAC"/>
    <w:rsid w:val="00D3635E"/>
    <w:rsid w:val="00D41C28"/>
    <w:rsid w:val="00D428FE"/>
    <w:rsid w:val="00D43300"/>
    <w:rsid w:val="00D43575"/>
    <w:rsid w:val="00D435D3"/>
    <w:rsid w:val="00D44FAF"/>
    <w:rsid w:val="00D45BCE"/>
    <w:rsid w:val="00D45D8A"/>
    <w:rsid w:val="00D45F3F"/>
    <w:rsid w:val="00D46606"/>
    <w:rsid w:val="00D507BD"/>
    <w:rsid w:val="00D5108A"/>
    <w:rsid w:val="00D51ABF"/>
    <w:rsid w:val="00D51E83"/>
    <w:rsid w:val="00D5238C"/>
    <w:rsid w:val="00D52DE2"/>
    <w:rsid w:val="00D52F09"/>
    <w:rsid w:val="00D53242"/>
    <w:rsid w:val="00D55D4F"/>
    <w:rsid w:val="00D561DD"/>
    <w:rsid w:val="00D57946"/>
    <w:rsid w:val="00D6029D"/>
    <w:rsid w:val="00D60A79"/>
    <w:rsid w:val="00D619BD"/>
    <w:rsid w:val="00D61D21"/>
    <w:rsid w:val="00D62C0E"/>
    <w:rsid w:val="00D62D51"/>
    <w:rsid w:val="00D637E2"/>
    <w:rsid w:val="00D6386A"/>
    <w:rsid w:val="00D646DF"/>
    <w:rsid w:val="00D6484E"/>
    <w:rsid w:val="00D64C16"/>
    <w:rsid w:val="00D657D5"/>
    <w:rsid w:val="00D65AD5"/>
    <w:rsid w:val="00D65FC1"/>
    <w:rsid w:val="00D6624F"/>
    <w:rsid w:val="00D66DAE"/>
    <w:rsid w:val="00D70CC8"/>
    <w:rsid w:val="00D72A59"/>
    <w:rsid w:val="00D72B87"/>
    <w:rsid w:val="00D72D4B"/>
    <w:rsid w:val="00D730F8"/>
    <w:rsid w:val="00D73C84"/>
    <w:rsid w:val="00D73CA3"/>
    <w:rsid w:val="00D7415B"/>
    <w:rsid w:val="00D74643"/>
    <w:rsid w:val="00D74749"/>
    <w:rsid w:val="00D757FA"/>
    <w:rsid w:val="00D761DD"/>
    <w:rsid w:val="00D7798F"/>
    <w:rsid w:val="00D80029"/>
    <w:rsid w:val="00D808C0"/>
    <w:rsid w:val="00D81481"/>
    <w:rsid w:val="00D817CA"/>
    <w:rsid w:val="00D82F38"/>
    <w:rsid w:val="00D847EF"/>
    <w:rsid w:val="00D8498B"/>
    <w:rsid w:val="00D852BA"/>
    <w:rsid w:val="00D85B4B"/>
    <w:rsid w:val="00D86F28"/>
    <w:rsid w:val="00D87025"/>
    <w:rsid w:val="00D87153"/>
    <w:rsid w:val="00D87E11"/>
    <w:rsid w:val="00D90300"/>
    <w:rsid w:val="00D909F3"/>
    <w:rsid w:val="00D90B2F"/>
    <w:rsid w:val="00D91616"/>
    <w:rsid w:val="00D91746"/>
    <w:rsid w:val="00D91A1B"/>
    <w:rsid w:val="00D929F4"/>
    <w:rsid w:val="00D92D76"/>
    <w:rsid w:val="00D93674"/>
    <w:rsid w:val="00D9395B"/>
    <w:rsid w:val="00D93B95"/>
    <w:rsid w:val="00D94240"/>
    <w:rsid w:val="00D9442D"/>
    <w:rsid w:val="00D94BBE"/>
    <w:rsid w:val="00D94F7C"/>
    <w:rsid w:val="00D95364"/>
    <w:rsid w:val="00D9540B"/>
    <w:rsid w:val="00D956EA"/>
    <w:rsid w:val="00D95C1A"/>
    <w:rsid w:val="00D96213"/>
    <w:rsid w:val="00D964E3"/>
    <w:rsid w:val="00D9684B"/>
    <w:rsid w:val="00D96AB6"/>
    <w:rsid w:val="00D96B80"/>
    <w:rsid w:val="00D97E16"/>
    <w:rsid w:val="00DA05AC"/>
    <w:rsid w:val="00DA062B"/>
    <w:rsid w:val="00DA0EBD"/>
    <w:rsid w:val="00DA1B57"/>
    <w:rsid w:val="00DA1BDC"/>
    <w:rsid w:val="00DA2334"/>
    <w:rsid w:val="00DA2359"/>
    <w:rsid w:val="00DA2473"/>
    <w:rsid w:val="00DA255A"/>
    <w:rsid w:val="00DA2662"/>
    <w:rsid w:val="00DA279F"/>
    <w:rsid w:val="00DA3B1C"/>
    <w:rsid w:val="00DA5FEF"/>
    <w:rsid w:val="00DA76AE"/>
    <w:rsid w:val="00DA7873"/>
    <w:rsid w:val="00DB1538"/>
    <w:rsid w:val="00DB2019"/>
    <w:rsid w:val="00DB2934"/>
    <w:rsid w:val="00DB2CAC"/>
    <w:rsid w:val="00DB461B"/>
    <w:rsid w:val="00DB4988"/>
    <w:rsid w:val="00DB4A07"/>
    <w:rsid w:val="00DB4F0D"/>
    <w:rsid w:val="00DB502C"/>
    <w:rsid w:val="00DB5A69"/>
    <w:rsid w:val="00DB65B1"/>
    <w:rsid w:val="00DB6C28"/>
    <w:rsid w:val="00DB7B43"/>
    <w:rsid w:val="00DC05F0"/>
    <w:rsid w:val="00DC0968"/>
    <w:rsid w:val="00DC112D"/>
    <w:rsid w:val="00DC2920"/>
    <w:rsid w:val="00DC2E70"/>
    <w:rsid w:val="00DC5056"/>
    <w:rsid w:val="00DC51D5"/>
    <w:rsid w:val="00DC5205"/>
    <w:rsid w:val="00DC5565"/>
    <w:rsid w:val="00DC58FB"/>
    <w:rsid w:val="00DC677A"/>
    <w:rsid w:val="00DC7BF7"/>
    <w:rsid w:val="00DD012F"/>
    <w:rsid w:val="00DD13AE"/>
    <w:rsid w:val="00DD26FB"/>
    <w:rsid w:val="00DD29CE"/>
    <w:rsid w:val="00DD2FB8"/>
    <w:rsid w:val="00DD301B"/>
    <w:rsid w:val="00DD4CB9"/>
    <w:rsid w:val="00DD5AD1"/>
    <w:rsid w:val="00DD5CC2"/>
    <w:rsid w:val="00DD614D"/>
    <w:rsid w:val="00DD7D47"/>
    <w:rsid w:val="00DE1164"/>
    <w:rsid w:val="00DE12E5"/>
    <w:rsid w:val="00DE18C8"/>
    <w:rsid w:val="00DE2022"/>
    <w:rsid w:val="00DE2703"/>
    <w:rsid w:val="00DE30E3"/>
    <w:rsid w:val="00DE3F49"/>
    <w:rsid w:val="00DE4434"/>
    <w:rsid w:val="00DE4BD1"/>
    <w:rsid w:val="00DE4E85"/>
    <w:rsid w:val="00DE5236"/>
    <w:rsid w:val="00DE576B"/>
    <w:rsid w:val="00DE63E3"/>
    <w:rsid w:val="00DE6F91"/>
    <w:rsid w:val="00DF021F"/>
    <w:rsid w:val="00DF09DF"/>
    <w:rsid w:val="00DF207B"/>
    <w:rsid w:val="00DF23AA"/>
    <w:rsid w:val="00DF2DAC"/>
    <w:rsid w:val="00DF3176"/>
    <w:rsid w:val="00DF3BBE"/>
    <w:rsid w:val="00DF3D73"/>
    <w:rsid w:val="00DF43BF"/>
    <w:rsid w:val="00DF4F9C"/>
    <w:rsid w:val="00DF517A"/>
    <w:rsid w:val="00DF624A"/>
    <w:rsid w:val="00DF72C5"/>
    <w:rsid w:val="00DF741E"/>
    <w:rsid w:val="00DF7BCF"/>
    <w:rsid w:val="00E00C67"/>
    <w:rsid w:val="00E01456"/>
    <w:rsid w:val="00E017DE"/>
    <w:rsid w:val="00E02509"/>
    <w:rsid w:val="00E02F51"/>
    <w:rsid w:val="00E0434C"/>
    <w:rsid w:val="00E04F15"/>
    <w:rsid w:val="00E05ECB"/>
    <w:rsid w:val="00E0613B"/>
    <w:rsid w:val="00E06E96"/>
    <w:rsid w:val="00E06FCF"/>
    <w:rsid w:val="00E10063"/>
    <w:rsid w:val="00E1051E"/>
    <w:rsid w:val="00E10CA3"/>
    <w:rsid w:val="00E131E1"/>
    <w:rsid w:val="00E13322"/>
    <w:rsid w:val="00E134DE"/>
    <w:rsid w:val="00E13F84"/>
    <w:rsid w:val="00E140A7"/>
    <w:rsid w:val="00E15064"/>
    <w:rsid w:val="00E155DD"/>
    <w:rsid w:val="00E15942"/>
    <w:rsid w:val="00E15F30"/>
    <w:rsid w:val="00E16E60"/>
    <w:rsid w:val="00E1781C"/>
    <w:rsid w:val="00E17FE6"/>
    <w:rsid w:val="00E20A79"/>
    <w:rsid w:val="00E215A7"/>
    <w:rsid w:val="00E22004"/>
    <w:rsid w:val="00E232E4"/>
    <w:rsid w:val="00E24EF5"/>
    <w:rsid w:val="00E267C5"/>
    <w:rsid w:val="00E32023"/>
    <w:rsid w:val="00E32B2F"/>
    <w:rsid w:val="00E3776B"/>
    <w:rsid w:val="00E404CA"/>
    <w:rsid w:val="00E423A6"/>
    <w:rsid w:val="00E42E52"/>
    <w:rsid w:val="00E43599"/>
    <w:rsid w:val="00E43DB7"/>
    <w:rsid w:val="00E43EA1"/>
    <w:rsid w:val="00E4464A"/>
    <w:rsid w:val="00E4503E"/>
    <w:rsid w:val="00E45444"/>
    <w:rsid w:val="00E458AB"/>
    <w:rsid w:val="00E46A73"/>
    <w:rsid w:val="00E46CB6"/>
    <w:rsid w:val="00E47B26"/>
    <w:rsid w:val="00E5006C"/>
    <w:rsid w:val="00E50489"/>
    <w:rsid w:val="00E50576"/>
    <w:rsid w:val="00E5062B"/>
    <w:rsid w:val="00E51608"/>
    <w:rsid w:val="00E5262C"/>
    <w:rsid w:val="00E52ECC"/>
    <w:rsid w:val="00E53199"/>
    <w:rsid w:val="00E53A16"/>
    <w:rsid w:val="00E544E2"/>
    <w:rsid w:val="00E54AD9"/>
    <w:rsid w:val="00E5685D"/>
    <w:rsid w:val="00E56F79"/>
    <w:rsid w:val="00E57295"/>
    <w:rsid w:val="00E57301"/>
    <w:rsid w:val="00E574A5"/>
    <w:rsid w:val="00E57587"/>
    <w:rsid w:val="00E57986"/>
    <w:rsid w:val="00E60A45"/>
    <w:rsid w:val="00E60A4E"/>
    <w:rsid w:val="00E60A90"/>
    <w:rsid w:val="00E610A1"/>
    <w:rsid w:val="00E617CB"/>
    <w:rsid w:val="00E62540"/>
    <w:rsid w:val="00E63D81"/>
    <w:rsid w:val="00E659FD"/>
    <w:rsid w:val="00E66843"/>
    <w:rsid w:val="00E66F02"/>
    <w:rsid w:val="00E66FA0"/>
    <w:rsid w:val="00E675B1"/>
    <w:rsid w:val="00E679A3"/>
    <w:rsid w:val="00E70407"/>
    <w:rsid w:val="00E7128C"/>
    <w:rsid w:val="00E715A2"/>
    <w:rsid w:val="00E719DA"/>
    <w:rsid w:val="00E723EA"/>
    <w:rsid w:val="00E72409"/>
    <w:rsid w:val="00E72B4A"/>
    <w:rsid w:val="00E72DB0"/>
    <w:rsid w:val="00E72FC8"/>
    <w:rsid w:val="00E73776"/>
    <w:rsid w:val="00E74851"/>
    <w:rsid w:val="00E74E03"/>
    <w:rsid w:val="00E75192"/>
    <w:rsid w:val="00E75A0D"/>
    <w:rsid w:val="00E7794B"/>
    <w:rsid w:val="00E77E60"/>
    <w:rsid w:val="00E77E9A"/>
    <w:rsid w:val="00E80098"/>
    <w:rsid w:val="00E802B7"/>
    <w:rsid w:val="00E80DD6"/>
    <w:rsid w:val="00E82303"/>
    <w:rsid w:val="00E83444"/>
    <w:rsid w:val="00E83668"/>
    <w:rsid w:val="00E83A45"/>
    <w:rsid w:val="00E83C77"/>
    <w:rsid w:val="00E83EEC"/>
    <w:rsid w:val="00E843DD"/>
    <w:rsid w:val="00E872CE"/>
    <w:rsid w:val="00E87F43"/>
    <w:rsid w:val="00E912CE"/>
    <w:rsid w:val="00E9171E"/>
    <w:rsid w:val="00E9177D"/>
    <w:rsid w:val="00E92EB6"/>
    <w:rsid w:val="00E93AF7"/>
    <w:rsid w:val="00E93EB5"/>
    <w:rsid w:val="00E94321"/>
    <w:rsid w:val="00E94546"/>
    <w:rsid w:val="00E94599"/>
    <w:rsid w:val="00E94B6C"/>
    <w:rsid w:val="00E95273"/>
    <w:rsid w:val="00E9758A"/>
    <w:rsid w:val="00EA2546"/>
    <w:rsid w:val="00EA3E6A"/>
    <w:rsid w:val="00EA4140"/>
    <w:rsid w:val="00EA4305"/>
    <w:rsid w:val="00EA444D"/>
    <w:rsid w:val="00EA4CC2"/>
    <w:rsid w:val="00EA544B"/>
    <w:rsid w:val="00EA5FE7"/>
    <w:rsid w:val="00EA7481"/>
    <w:rsid w:val="00EB0513"/>
    <w:rsid w:val="00EB06E4"/>
    <w:rsid w:val="00EB10A2"/>
    <w:rsid w:val="00EB2177"/>
    <w:rsid w:val="00EB223A"/>
    <w:rsid w:val="00EB2BDC"/>
    <w:rsid w:val="00EB2DCA"/>
    <w:rsid w:val="00EB2DFF"/>
    <w:rsid w:val="00EB30FD"/>
    <w:rsid w:val="00EB332A"/>
    <w:rsid w:val="00EB53D8"/>
    <w:rsid w:val="00EB595C"/>
    <w:rsid w:val="00EB65A1"/>
    <w:rsid w:val="00EB6B43"/>
    <w:rsid w:val="00EB735D"/>
    <w:rsid w:val="00EB74B5"/>
    <w:rsid w:val="00EB7AB1"/>
    <w:rsid w:val="00EC0709"/>
    <w:rsid w:val="00EC0AD8"/>
    <w:rsid w:val="00EC0FFA"/>
    <w:rsid w:val="00EC1FBD"/>
    <w:rsid w:val="00EC2CC8"/>
    <w:rsid w:val="00EC2FAC"/>
    <w:rsid w:val="00EC39F0"/>
    <w:rsid w:val="00EC3CEB"/>
    <w:rsid w:val="00EC3F91"/>
    <w:rsid w:val="00EC4000"/>
    <w:rsid w:val="00EC5107"/>
    <w:rsid w:val="00EC6DF6"/>
    <w:rsid w:val="00EC6EDD"/>
    <w:rsid w:val="00EC7AE9"/>
    <w:rsid w:val="00ED051D"/>
    <w:rsid w:val="00ED0E4F"/>
    <w:rsid w:val="00ED2A2B"/>
    <w:rsid w:val="00ED305E"/>
    <w:rsid w:val="00ED3F35"/>
    <w:rsid w:val="00ED4331"/>
    <w:rsid w:val="00ED557E"/>
    <w:rsid w:val="00ED58BB"/>
    <w:rsid w:val="00ED63C0"/>
    <w:rsid w:val="00ED6AD5"/>
    <w:rsid w:val="00ED7896"/>
    <w:rsid w:val="00ED79CD"/>
    <w:rsid w:val="00ED7A4A"/>
    <w:rsid w:val="00EE09AD"/>
    <w:rsid w:val="00EE0A2D"/>
    <w:rsid w:val="00EE1034"/>
    <w:rsid w:val="00EE17EA"/>
    <w:rsid w:val="00EE1B04"/>
    <w:rsid w:val="00EE1EAA"/>
    <w:rsid w:val="00EE2824"/>
    <w:rsid w:val="00EE28F9"/>
    <w:rsid w:val="00EE2BE4"/>
    <w:rsid w:val="00EE2E56"/>
    <w:rsid w:val="00EE38DA"/>
    <w:rsid w:val="00EE3B5C"/>
    <w:rsid w:val="00EE4C68"/>
    <w:rsid w:val="00EE4F4D"/>
    <w:rsid w:val="00EE4F8C"/>
    <w:rsid w:val="00EE51AC"/>
    <w:rsid w:val="00EE626B"/>
    <w:rsid w:val="00EE627A"/>
    <w:rsid w:val="00EE64FC"/>
    <w:rsid w:val="00EE6BE1"/>
    <w:rsid w:val="00EE6C2E"/>
    <w:rsid w:val="00EE6CEE"/>
    <w:rsid w:val="00EE740E"/>
    <w:rsid w:val="00EF0061"/>
    <w:rsid w:val="00EF0472"/>
    <w:rsid w:val="00EF0756"/>
    <w:rsid w:val="00EF0E7D"/>
    <w:rsid w:val="00EF1BD7"/>
    <w:rsid w:val="00EF1FCC"/>
    <w:rsid w:val="00EF29F8"/>
    <w:rsid w:val="00EF34EC"/>
    <w:rsid w:val="00EF3DA7"/>
    <w:rsid w:val="00EF4916"/>
    <w:rsid w:val="00EF4DD5"/>
    <w:rsid w:val="00EF5885"/>
    <w:rsid w:val="00EF5D36"/>
    <w:rsid w:val="00EF7942"/>
    <w:rsid w:val="00F001FB"/>
    <w:rsid w:val="00F002DB"/>
    <w:rsid w:val="00F00370"/>
    <w:rsid w:val="00F011FD"/>
    <w:rsid w:val="00F0157B"/>
    <w:rsid w:val="00F01C43"/>
    <w:rsid w:val="00F0239F"/>
    <w:rsid w:val="00F037A6"/>
    <w:rsid w:val="00F03FA0"/>
    <w:rsid w:val="00F04575"/>
    <w:rsid w:val="00F04E97"/>
    <w:rsid w:val="00F0503D"/>
    <w:rsid w:val="00F05183"/>
    <w:rsid w:val="00F063CC"/>
    <w:rsid w:val="00F06E88"/>
    <w:rsid w:val="00F06FA5"/>
    <w:rsid w:val="00F10CD5"/>
    <w:rsid w:val="00F11DAB"/>
    <w:rsid w:val="00F11DAF"/>
    <w:rsid w:val="00F12749"/>
    <w:rsid w:val="00F12D73"/>
    <w:rsid w:val="00F13AAA"/>
    <w:rsid w:val="00F15ECB"/>
    <w:rsid w:val="00F1647F"/>
    <w:rsid w:val="00F16CB2"/>
    <w:rsid w:val="00F17526"/>
    <w:rsid w:val="00F205BF"/>
    <w:rsid w:val="00F2082D"/>
    <w:rsid w:val="00F21DE6"/>
    <w:rsid w:val="00F22341"/>
    <w:rsid w:val="00F23F52"/>
    <w:rsid w:val="00F23FEA"/>
    <w:rsid w:val="00F2472B"/>
    <w:rsid w:val="00F25398"/>
    <w:rsid w:val="00F25855"/>
    <w:rsid w:val="00F26C21"/>
    <w:rsid w:val="00F26F51"/>
    <w:rsid w:val="00F271B6"/>
    <w:rsid w:val="00F27208"/>
    <w:rsid w:val="00F2733C"/>
    <w:rsid w:val="00F3023C"/>
    <w:rsid w:val="00F30885"/>
    <w:rsid w:val="00F31EF7"/>
    <w:rsid w:val="00F34DBB"/>
    <w:rsid w:val="00F354FF"/>
    <w:rsid w:val="00F3560B"/>
    <w:rsid w:val="00F35BC0"/>
    <w:rsid w:val="00F35F5D"/>
    <w:rsid w:val="00F360ED"/>
    <w:rsid w:val="00F365BD"/>
    <w:rsid w:val="00F36E22"/>
    <w:rsid w:val="00F3727C"/>
    <w:rsid w:val="00F41B19"/>
    <w:rsid w:val="00F41CBD"/>
    <w:rsid w:val="00F430BE"/>
    <w:rsid w:val="00F43F82"/>
    <w:rsid w:val="00F44157"/>
    <w:rsid w:val="00F4419A"/>
    <w:rsid w:val="00F4557C"/>
    <w:rsid w:val="00F45C82"/>
    <w:rsid w:val="00F46FFD"/>
    <w:rsid w:val="00F472E7"/>
    <w:rsid w:val="00F47453"/>
    <w:rsid w:val="00F5272C"/>
    <w:rsid w:val="00F5394A"/>
    <w:rsid w:val="00F55669"/>
    <w:rsid w:val="00F556EC"/>
    <w:rsid w:val="00F568D1"/>
    <w:rsid w:val="00F56DC2"/>
    <w:rsid w:val="00F56EF7"/>
    <w:rsid w:val="00F57A74"/>
    <w:rsid w:val="00F57DCE"/>
    <w:rsid w:val="00F61D73"/>
    <w:rsid w:val="00F62539"/>
    <w:rsid w:val="00F625D2"/>
    <w:rsid w:val="00F62C19"/>
    <w:rsid w:val="00F62F75"/>
    <w:rsid w:val="00F635E8"/>
    <w:rsid w:val="00F64270"/>
    <w:rsid w:val="00F64498"/>
    <w:rsid w:val="00F64554"/>
    <w:rsid w:val="00F6455A"/>
    <w:rsid w:val="00F64912"/>
    <w:rsid w:val="00F65622"/>
    <w:rsid w:val="00F65A82"/>
    <w:rsid w:val="00F65E5E"/>
    <w:rsid w:val="00F65F29"/>
    <w:rsid w:val="00F65F93"/>
    <w:rsid w:val="00F66711"/>
    <w:rsid w:val="00F670D1"/>
    <w:rsid w:val="00F670FE"/>
    <w:rsid w:val="00F672EF"/>
    <w:rsid w:val="00F67852"/>
    <w:rsid w:val="00F67877"/>
    <w:rsid w:val="00F70818"/>
    <w:rsid w:val="00F709FC"/>
    <w:rsid w:val="00F71112"/>
    <w:rsid w:val="00F72273"/>
    <w:rsid w:val="00F73675"/>
    <w:rsid w:val="00F73898"/>
    <w:rsid w:val="00F738A1"/>
    <w:rsid w:val="00F754B0"/>
    <w:rsid w:val="00F75D63"/>
    <w:rsid w:val="00F75F7B"/>
    <w:rsid w:val="00F7606B"/>
    <w:rsid w:val="00F765A7"/>
    <w:rsid w:val="00F80577"/>
    <w:rsid w:val="00F836FF"/>
    <w:rsid w:val="00F8423B"/>
    <w:rsid w:val="00F853E8"/>
    <w:rsid w:val="00F854BB"/>
    <w:rsid w:val="00F85677"/>
    <w:rsid w:val="00F8602F"/>
    <w:rsid w:val="00F86A4D"/>
    <w:rsid w:val="00F86B13"/>
    <w:rsid w:val="00F901D0"/>
    <w:rsid w:val="00F90608"/>
    <w:rsid w:val="00F90F1B"/>
    <w:rsid w:val="00F91CAD"/>
    <w:rsid w:val="00F9231C"/>
    <w:rsid w:val="00F92573"/>
    <w:rsid w:val="00F92634"/>
    <w:rsid w:val="00F93AC5"/>
    <w:rsid w:val="00F93C8E"/>
    <w:rsid w:val="00F953B3"/>
    <w:rsid w:val="00F9571F"/>
    <w:rsid w:val="00F970CB"/>
    <w:rsid w:val="00F970CD"/>
    <w:rsid w:val="00F9725C"/>
    <w:rsid w:val="00FA09BF"/>
    <w:rsid w:val="00FA11F9"/>
    <w:rsid w:val="00FA1252"/>
    <w:rsid w:val="00FA3628"/>
    <w:rsid w:val="00FA3C33"/>
    <w:rsid w:val="00FA40B3"/>
    <w:rsid w:val="00FA41AD"/>
    <w:rsid w:val="00FA566F"/>
    <w:rsid w:val="00FA5805"/>
    <w:rsid w:val="00FA5874"/>
    <w:rsid w:val="00FA5E3B"/>
    <w:rsid w:val="00FA66BA"/>
    <w:rsid w:val="00FA73CB"/>
    <w:rsid w:val="00FA76A3"/>
    <w:rsid w:val="00FB0AF9"/>
    <w:rsid w:val="00FB0F89"/>
    <w:rsid w:val="00FB14E8"/>
    <w:rsid w:val="00FB1FEC"/>
    <w:rsid w:val="00FB223A"/>
    <w:rsid w:val="00FB224E"/>
    <w:rsid w:val="00FB2738"/>
    <w:rsid w:val="00FB2EF0"/>
    <w:rsid w:val="00FB37F9"/>
    <w:rsid w:val="00FB3A9F"/>
    <w:rsid w:val="00FB449F"/>
    <w:rsid w:val="00FB4D88"/>
    <w:rsid w:val="00FB64DA"/>
    <w:rsid w:val="00FB64FE"/>
    <w:rsid w:val="00FB6AD7"/>
    <w:rsid w:val="00FB752C"/>
    <w:rsid w:val="00FB76DF"/>
    <w:rsid w:val="00FB7887"/>
    <w:rsid w:val="00FC0D32"/>
    <w:rsid w:val="00FC0FA3"/>
    <w:rsid w:val="00FC11BB"/>
    <w:rsid w:val="00FC1228"/>
    <w:rsid w:val="00FC1B36"/>
    <w:rsid w:val="00FC1B8C"/>
    <w:rsid w:val="00FC2D5B"/>
    <w:rsid w:val="00FC3061"/>
    <w:rsid w:val="00FC334A"/>
    <w:rsid w:val="00FC37CE"/>
    <w:rsid w:val="00FC5963"/>
    <w:rsid w:val="00FC658A"/>
    <w:rsid w:val="00FC6B49"/>
    <w:rsid w:val="00FC7ABF"/>
    <w:rsid w:val="00FD0892"/>
    <w:rsid w:val="00FD0B76"/>
    <w:rsid w:val="00FD0D50"/>
    <w:rsid w:val="00FD2084"/>
    <w:rsid w:val="00FD248F"/>
    <w:rsid w:val="00FD25B4"/>
    <w:rsid w:val="00FD2740"/>
    <w:rsid w:val="00FD2A85"/>
    <w:rsid w:val="00FD2C3E"/>
    <w:rsid w:val="00FD2F70"/>
    <w:rsid w:val="00FD44FC"/>
    <w:rsid w:val="00FD4B5B"/>
    <w:rsid w:val="00FD4C74"/>
    <w:rsid w:val="00FD4CF6"/>
    <w:rsid w:val="00FD5009"/>
    <w:rsid w:val="00FD52DD"/>
    <w:rsid w:val="00FD54D5"/>
    <w:rsid w:val="00FD5CAC"/>
    <w:rsid w:val="00FD6087"/>
    <w:rsid w:val="00FE0C19"/>
    <w:rsid w:val="00FE0CB3"/>
    <w:rsid w:val="00FE0EEA"/>
    <w:rsid w:val="00FE1BE1"/>
    <w:rsid w:val="00FE1E44"/>
    <w:rsid w:val="00FE29F3"/>
    <w:rsid w:val="00FE3711"/>
    <w:rsid w:val="00FE7F07"/>
    <w:rsid w:val="00FF131E"/>
    <w:rsid w:val="00FF2B3C"/>
    <w:rsid w:val="00FF38EB"/>
    <w:rsid w:val="00FF3E91"/>
    <w:rsid w:val="00FF4471"/>
    <w:rsid w:val="00FF4D67"/>
    <w:rsid w:val="00FF6895"/>
    <w:rsid w:val="00FF7623"/>
    <w:rsid w:val="00FF797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iPriority="99"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iPriority="1" w:unhideWhenUsed="1"/>
    <w:lsdException w:name="Body Text" w:uiPriority="99"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843DD"/>
    <w:rPr>
      <w:rFonts w:ascii="Calibri" w:hAnsi="Calibri"/>
      <w:sz w:val="22"/>
      <w:lang w:eastAsia="en-US"/>
    </w:rPr>
  </w:style>
  <w:style w:type="paragraph" w:styleId="Heading1">
    <w:name w:val="heading 1"/>
    <w:next w:val="BodyText"/>
    <w:qFormat/>
    <w:rsid w:val="00F0239F"/>
    <w:pPr>
      <w:keepNext/>
      <w:keepLines/>
      <w:pageBreakBefore/>
      <w:numPr>
        <w:numId w:val="31"/>
      </w:numPr>
      <w:spacing w:before="360"/>
      <w:outlineLvl w:val="0"/>
    </w:pPr>
    <w:rPr>
      <w:rFonts w:ascii="Calibri" w:hAnsi="Calibri"/>
      <w:b/>
      <w:color w:val="002776"/>
      <w:kern w:val="28"/>
      <w:sz w:val="56"/>
      <w:lang w:eastAsia="en-US"/>
    </w:rPr>
  </w:style>
  <w:style w:type="paragraph" w:styleId="Heading2">
    <w:name w:val="heading 2"/>
    <w:basedOn w:val="Normal"/>
    <w:next w:val="BodyText"/>
    <w:qFormat/>
    <w:rsid w:val="00F0239F"/>
    <w:pPr>
      <w:keepNext/>
      <w:numPr>
        <w:ilvl w:val="1"/>
        <w:numId w:val="31"/>
      </w:numPr>
      <w:tabs>
        <w:tab w:val="left" w:pos="851"/>
      </w:tabs>
      <w:spacing w:before="240"/>
      <w:outlineLvl w:val="1"/>
    </w:pPr>
    <w:rPr>
      <w:b/>
      <w:color w:val="00A1DE"/>
      <w:sz w:val="40"/>
      <w:szCs w:val="28"/>
    </w:rPr>
  </w:style>
  <w:style w:type="paragraph" w:styleId="Heading3">
    <w:name w:val="heading 3"/>
    <w:basedOn w:val="Normal"/>
    <w:next w:val="BodyText"/>
    <w:qFormat/>
    <w:rsid w:val="00F0239F"/>
    <w:pPr>
      <w:keepNext/>
      <w:numPr>
        <w:ilvl w:val="2"/>
        <w:numId w:val="31"/>
      </w:numPr>
      <w:spacing w:before="240"/>
      <w:outlineLvl w:val="2"/>
    </w:pPr>
    <w:rPr>
      <w:color w:val="00A1DE"/>
      <w:sz w:val="28"/>
    </w:rPr>
  </w:style>
  <w:style w:type="paragraph" w:styleId="Heading4">
    <w:name w:val="heading 4"/>
    <w:basedOn w:val="Normal"/>
    <w:next w:val="BodyText"/>
    <w:qFormat/>
    <w:rsid w:val="00F0239F"/>
    <w:pPr>
      <w:keepNext/>
      <w:numPr>
        <w:ilvl w:val="3"/>
        <w:numId w:val="31"/>
      </w:numPr>
      <w:spacing w:before="180" w:after="60"/>
      <w:outlineLvl w:val="3"/>
    </w:pPr>
    <w:rPr>
      <w:b/>
      <w:color w:val="00A1DE"/>
      <w:sz w:val="24"/>
      <w:szCs w:val="24"/>
    </w:rPr>
  </w:style>
  <w:style w:type="paragraph" w:styleId="Heading5">
    <w:name w:val="heading 5"/>
    <w:basedOn w:val="Normal"/>
    <w:next w:val="BodyText"/>
    <w:qFormat/>
    <w:rsid w:val="00AC4800"/>
    <w:pPr>
      <w:keepNext/>
      <w:numPr>
        <w:ilvl w:val="4"/>
        <w:numId w:val="31"/>
      </w:numPr>
      <w:pBdr>
        <w:top w:val="single" w:sz="12" w:space="5" w:color="931638"/>
        <w:left w:val="single" w:sz="12" w:space="5" w:color="931638"/>
        <w:bottom w:val="single" w:sz="12" w:space="5" w:color="931638"/>
        <w:right w:val="single" w:sz="12" w:space="5" w:color="931638"/>
      </w:pBdr>
      <w:shd w:val="clear" w:color="auto" w:fill="931638"/>
      <w:ind w:right="284"/>
      <w:outlineLvl w:val="4"/>
    </w:pPr>
    <w:rPr>
      <w:b/>
      <w:color w:val="FFFFFF"/>
      <w:szCs w:val="24"/>
    </w:rPr>
  </w:style>
  <w:style w:type="paragraph" w:styleId="Heading6">
    <w:name w:val="heading 6"/>
    <w:basedOn w:val="Normal"/>
    <w:next w:val="BodyText"/>
    <w:qFormat/>
    <w:rsid w:val="00AC4800"/>
    <w:pPr>
      <w:outlineLvl w:val="5"/>
    </w:pPr>
    <w:rPr>
      <w:rFonts w:ascii="Arial Bold" w:hAnsi="Arial Bold"/>
      <w:b/>
      <w:color w:val="931638"/>
      <w:szCs w:val="22"/>
    </w:rPr>
  </w:style>
  <w:style w:type="paragraph" w:styleId="Heading7">
    <w:name w:val="heading 7"/>
    <w:basedOn w:val="Normal"/>
    <w:next w:val="BodyText"/>
    <w:qFormat/>
    <w:rsid w:val="00AC4800"/>
    <w:pPr>
      <w:outlineLvl w:val="6"/>
    </w:pPr>
    <w:rPr>
      <w:color w:val="931638"/>
      <w:szCs w:val="24"/>
    </w:rPr>
  </w:style>
  <w:style w:type="paragraph" w:styleId="Heading8">
    <w:name w:val="heading 8"/>
    <w:basedOn w:val="Normal"/>
    <w:next w:val="BodyText"/>
    <w:qFormat/>
    <w:rsid w:val="00AC4800"/>
    <w:pPr>
      <w:spacing w:before="180"/>
      <w:outlineLvl w:val="7"/>
    </w:pPr>
    <w:rPr>
      <w:color w:val="931638"/>
    </w:rPr>
  </w:style>
  <w:style w:type="paragraph" w:styleId="Heading9">
    <w:name w:val="heading 9"/>
    <w:basedOn w:val="Normal"/>
    <w:next w:val="BodyText"/>
    <w:qFormat/>
    <w:rsid w:val="00AC4800"/>
    <w:pPr>
      <w:spacing w:before="180"/>
      <w:outlineLvl w:val="8"/>
    </w:pPr>
    <w:rPr>
      <w:color w:val="9316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t1,Body,Body Text1 Char"/>
    <w:basedOn w:val="Normal"/>
    <w:link w:val="BodyTextChar"/>
    <w:uiPriority w:val="99"/>
    <w:qFormat/>
    <w:rsid w:val="002539EC"/>
    <w:pPr>
      <w:spacing w:before="240"/>
      <w:jc w:val="both"/>
    </w:pPr>
  </w:style>
  <w:style w:type="paragraph" w:customStyle="1" w:styleId="TableHeadingLeft">
    <w:name w:val="Table Heading Left"/>
    <w:basedOn w:val="Normal"/>
    <w:qFormat/>
    <w:rsid w:val="00AC4800"/>
    <w:pPr>
      <w:keepNext/>
      <w:keepLines/>
      <w:spacing w:before="20" w:after="20"/>
    </w:pPr>
    <w:rPr>
      <w:b/>
      <w:color w:val="002776"/>
    </w:rPr>
  </w:style>
  <w:style w:type="paragraph" w:customStyle="1" w:styleId="TableHeadingRight">
    <w:name w:val="Table Heading Right"/>
    <w:basedOn w:val="Normal"/>
    <w:qFormat/>
    <w:rsid w:val="00AC4800"/>
    <w:pPr>
      <w:keepNext/>
      <w:keepLines/>
      <w:spacing w:before="20" w:after="20"/>
      <w:jc w:val="right"/>
    </w:pPr>
    <w:rPr>
      <w:b/>
      <w:color w:val="002776"/>
    </w:rPr>
  </w:style>
  <w:style w:type="paragraph" w:customStyle="1" w:styleId="SingleLeft">
    <w:name w:val="Single Left"/>
    <w:basedOn w:val="Normal"/>
    <w:qFormat/>
    <w:rsid w:val="009114B5"/>
    <w:pPr>
      <w:jc w:val="both"/>
    </w:pPr>
  </w:style>
  <w:style w:type="paragraph" w:customStyle="1" w:styleId="TabletextCentre">
    <w:name w:val="Table text Centre"/>
    <w:basedOn w:val="Normal"/>
    <w:qFormat/>
    <w:rsid w:val="00AC4800"/>
    <w:pPr>
      <w:spacing w:before="60"/>
      <w:jc w:val="center"/>
    </w:pPr>
    <w:rPr>
      <w:rFonts w:cs="Arial"/>
      <w:sz w:val="20"/>
    </w:rPr>
  </w:style>
  <w:style w:type="paragraph" w:customStyle="1" w:styleId="TabletextRight">
    <w:name w:val="Table text Right"/>
    <w:basedOn w:val="Normal"/>
    <w:qFormat/>
    <w:rsid w:val="00AC4800"/>
    <w:pPr>
      <w:spacing w:before="60"/>
      <w:jc w:val="right"/>
    </w:pPr>
    <w:rPr>
      <w:sz w:val="20"/>
    </w:rPr>
  </w:style>
  <w:style w:type="paragraph" w:customStyle="1" w:styleId="IndentParaGreySource">
    <w:name w:val="Indent Para Grey Source"/>
    <w:basedOn w:val="IndentParaGrey"/>
    <w:qFormat/>
    <w:rsid w:val="00AC4800"/>
    <w:pPr>
      <w:keepNext w:val="0"/>
    </w:pPr>
    <w:rPr>
      <w:rFonts w:cs="Arial"/>
      <w:sz w:val="18"/>
    </w:rPr>
  </w:style>
  <w:style w:type="paragraph" w:customStyle="1" w:styleId="IndentParaGrey">
    <w:name w:val="Indent Para Grey"/>
    <w:basedOn w:val="IndentPara"/>
    <w:next w:val="Normal"/>
    <w:rsid w:val="00AC4800"/>
    <w:pPr>
      <w:keepNext/>
      <w:keepLines/>
      <w:pBdr>
        <w:top w:val="single" w:sz="8" w:space="5" w:color="002776"/>
        <w:left w:val="single" w:sz="8" w:space="5" w:color="002776"/>
        <w:bottom w:val="single" w:sz="8" w:space="5" w:color="002776"/>
        <w:right w:val="single" w:sz="8" w:space="5" w:color="002776"/>
      </w:pBdr>
      <w:shd w:val="solid" w:color="E1E1E1" w:fill="C0C0C0"/>
      <w:spacing w:after="240"/>
    </w:pPr>
    <w:rPr>
      <w:color w:val="000000"/>
    </w:rPr>
  </w:style>
  <w:style w:type="paragraph" w:customStyle="1" w:styleId="IndentPara">
    <w:name w:val="Indent Para"/>
    <w:basedOn w:val="Normal"/>
    <w:next w:val="BodyText"/>
    <w:rsid w:val="00AC4800"/>
    <w:pPr>
      <w:spacing w:before="240"/>
      <w:ind w:left="567" w:right="567"/>
      <w:jc w:val="both"/>
    </w:pPr>
  </w:style>
  <w:style w:type="paragraph" w:customStyle="1" w:styleId="IndentParaGreyBullet">
    <w:name w:val="Indent Para Grey Bullet"/>
    <w:basedOn w:val="IndentParaGrey"/>
    <w:qFormat/>
    <w:rsid w:val="00AC4800"/>
    <w:pPr>
      <w:numPr>
        <w:numId w:val="10"/>
      </w:numPr>
      <w:tabs>
        <w:tab w:val="left" w:pos="1134"/>
      </w:tabs>
      <w:spacing w:after="60"/>
    </w:pPr>
    <w:rPr>
      <w:rFonts w:cs="Arial"/>
    </w:rPr>
  </w:style>
  <w:style w:type="paragraph" w:styleId="Header">
    <w:name w:val="header"/>
    <w:basedOn w:val="Normal"/>
    <w:link w:val="HeaderChar"/>
    <w:rsid w:val="00F35BC0"/>
    <w:pPr>
      <w:jc w:val="right"/>
    </w:pPr>
    <w:rPr>
      <w:color w:val="595959"/>
    </w:rPr>
  </w:style>
  <w:style w:type="paragraph" w:customStyle="1" w:styleId="BoldPara">
    <w:name w:val="Bold Para"/>
    <w:basedOn w:val="Normal"/>
    <w:next w:val="BodyText"/>
    <w:link w:val="BoldParaChar"/>
    <w:rsid w:val="00AC4800"/>
    <w:pPr>
      <w:spacing w:before="240"/>
      <w:jc w:val="both"/>
    </w:pPr>
    <w:rPr>
      <w:b/>
      <w:color w:val="002776"/>
      <w:szCs w:val="24"/>
    </w:rPr>
  </w:style>
  <w:style w:type="character" w:styleId="PageNumber">
    <w:name w:val="page number"/>
    <w:basedOn w:val="DefaultParagraphFont"/>
    <w:rsid w:val="00A200CF"/>
    <w:rPr>
      <w:rFonts w:ascii="Calibri" w:hAnsi="Calibri"/>
      <w:color w:val="auto"/>
      <w:sz w:val="18"/>
      <w:szCs w:val="18"/>
    </w:rPr>
  </w:style>
  <w:style w:type="paragraph" w:customStyle="1" w:styleId="Bullet1">
    <w:name w:val="Bullet 1"/>
    <w:basedOn w:val="Normal"/>
    <w:link w:val="Bullet1Char"/>
    <w:rsid w:val="00003CCA"/>
    <w:pPr>
      <w:numPr>
        <w:numId w:val="6"/>
      </w:numPr>
      <w:spacing w:before="60"/>
      <w:jc w:val="both"/>
    </w:pPr>
    <w:rPr>
      <w:rFonts w:cs="Arial"/>
      <w:lang w:eastAsia="en-AU"/>
    </w:rPr>
  </w:style>
  <w:style w:type="paragraph" w:customStyle="1" w:styleId="BoxedHighlight">
    <w:name w:val="Boxed Highlight"/>
    <w:basedOn w:val="IndentPara"/>
    <w:next w:val="BodyText"/>
    <w:rsid w:val="006B29A4"/>
    <w:pPr>
      <w:pBdr>
        <w:top w:val="single" w:sz="18" w:space="5" w:color="002776"/>
        <w:left w:val="single" w:sz="18" w:space="5" w:color="002776"/>
        <w:bottom w:val="single" w:sz="18" w:space="5" w:color="002776"/>
        <w:right w:val="single" w:sz="18" w:space="5" w:color="002776"/>
      </w:pBdr>
      <w:contextualSpacing/>
    </w:pPr>
    <w:rPr>
      <w:rFonts w:cs="Arial"/>
      <w:color w:val="002776"/>
      <w:szCs w:val="24"/>
    </w:rPr>
  </w:style>
  <w:style w:type="paragraph" w:customStyle="1" w:styleId="Disclaimer">
    <w:name w:val="Disclaimer"/>
    <w:basedOn w:val="Normal"/>
    <w:rsid w:val="00A200CF"/>
    <w:rPr>
      <w:rFonts w:ascii="Swis721 Md BT" w:hAnsi="Swis721 Md BT"/>
      <w:b/>
      <w:color w:val="000000"/>
      <w:sz w:val="16"/>
      <w:szCs w:val="16"/>
    </w:rPr>
  </w:style>
  <w:style w:type="character" w:styleId="FootnoteReference">
    <w:name w:val="footnote reference"/>
    <w:basedOn w:val="DefaultParagraphFont"/>
    <w:semiHidden/>
    <w:rsid w:val="002F4274"/>
    <w:rPr>
      <w:rFonts w:ascii="Arial" w:hAnsi="Arial"/>
      <w:sz w:val="18"/>
      <w:szCs w:val="24"/>
      <w:vertAlign w:val="superscript"/>
    </w:rPr>
  </w:style>
  <w:style w:type="table" w:customStyle="1" w:styleId="TableAE">
    <w:name w:val="Table AE"/>
    <w:basedOn w:val="TableNormal"/>
    <w:uiPriority w:val="99"/>
    <w:rsid w:val="00A82926"/>
    <w:rPr>
      <w:rFonts w:ascii="Arial" w:hAnsi="Arial"/>
    </w:rPr>
    <w:tblPr>
      <w:jc w:val="center"/>
      <w:tblBorders>
        <w:bottom w:val="single" w:sz="12" w:space="0" w:color="002776"/>
      </w:tblBorders>
    </w:tblPr>
    <w:trPr>
      <w:cantSplit/>
      <w:jc w:val="center"/>
    </w:trPr>
    <w:tblStylePr w:type="firstRow">
      <w:tblPr/>
      <w:tcPr>
        <w:tcBorders>
          <w:top w:val="single" w:sz="12" w:space="0" w:color="002776"/>
          <w:left w:val="nil"/>
          <w:bottom w:val="single" w:sz="8" w:space="0" w:color="002776"/>
          <w:right w:val="nil"/>
          <w:insideH w:val="nil"/>
          <w:insideV w:val="nil"/>
          <w:tl2br w:val="nil"/>
          <w:tr2bl w:val="nil"/>
        </w:tcBorders>
      </w:tcPr>
    </w:tblStylePr>
  </w:style>
  <w:style w:type="paragraph" w:customStyle="1" w:styleId="IndentParaBurgundy">
    <w:name w:val="Indent Para Burgundy"/>
    <w:basedOn w:val="IndentParaDarkGrey"/>
    <w:next w:val="Normal"/>
    <w:rsid w:val="00AC4800"/>
    <w:pPr>
      <w:keepNext/>
      <w:keepLines/>
      <w:pBdr>
        <w:top w:val="single" w:sz="8" w:space="5" w:color="002776"/>
        <w:left w:val="single" w:sz="8" w:space="5" w:color="002776"/>
        <w:bottom w:val="single" w:sz="8" w:space="5" w:color="002776"/>
        <w:right w:val="single" w:sz="8" w:space="5" w:color="002776"/>
      </w:pBdr>
      <w:shd w:val="clear" w:color="808080" w:fill="002776"/>
    </w:pPr>
  </w:style>
  <w:style w:type="paragraph" w:customStyle="1" w:styleId="IndentQuote">
    <w:name w:val="Indent Quote"/>
    <w:basedOn w:val="Normal"/>
    <w:next w:val="Normal"/>
    <w:rsid w:val="00AC4800"/>
    <w:pPr>
      <w:tabs>
        <w:tab w:val="left" w:pos="1134"/>
      </w:tabs>
      <w:spacing w:before="240"/>
      <w:ind w:left="567" w:right="567"/>
      <w:jc w:val="both"/>
    </w:pPr>
    <w:rPr>
      <w:i/>
      <w:color w:val="595959"/>
    </w:rPr>
  </w:style>
  <w:style w:type="paragraph" w:customStyle="1" w:styleId="TableHeadingCentre">
    <w:name w:val="Table Heading Centre"/>
    <w:basedOn w:val="Normal"/>
    <w:rsid w:val="00AC4800"/>
    <w:pPr>
      <w:keepNext/>
      <w:keepLines/>
      <w:spacing w:before="20" w:after="20"/>
      <w:jc w:val="center"/>
    </w:pPr>
    <w:rPr>
      <w:b/>
      <w:color w:val="002776"/>
      <w:szCs w:val="22"/>
    </w:rPr>
  </w:style>
  <w:style w:type="paragraph" w:customStyle="1" w:styleId="Equation">
    <w:name w:val="Equation"/>
    <w:basedOn w:val="Normal"/>
    <w:next w:val="Normal"/>
    <w:rsid w:val="00AC4800"/>
    <w:pPr>
      <w:spacing w:before="240"/>
      <w:jc w:val="center"/>
    </w:pPr>
    <w:rPr>
      <w:rFonts w:ascii="Times New Roman" w:hAnsi="Times New Roman"/>
      <w:i/>
      <w:sz w:val="24"/>
      <w:szCs w:val="24"/>
    </w:rPr>
  </w:style>
  <w:style w:type="paragraph" w:customStyle="1" w:styleId="Contents-Major">
    <w:name w:val="Contents - Major"/>
    <w:basedOn w:val="Normal"/>
    <w:rsid w:val="006B29A4"/>
    <w:pPr>
      <w:keepNext/>
      <w:spacing w:after="200"/>
    </w:pPr>
    <w:rPr>
      <w:color w:val="002776"/>
      <w:sz w:val="56"/>
      <w:szCs w:val="32"/>
    </w:rPr>
  </w:style>
  <w:style w:type="paragraph" w:customStyle="1" w:styleId="Reference">
    <w:name w:val="Reference"/>
    <w:basedOn w:val="Normal"/>
    <w:rsid w:val="00F002DB"/>
    <w:pPr>
      <w:spacing w:before="240" w:after="240"/>
      <w:ind w:left="567" w:hanging="567"/>
    </w:pPr>
  </w:style>
  <w:style w:type="paragraph" w:styleId="TOC1">
    <w:name w:val="toc 1"/>
    <w:basedOn w:val="Normal"/>
    <w:next w:val="Normal"/>
    <w:uiPriority w:val="39"/>
    <w:rsid w:val="00AC4800"/>
    <w:pPr>
      <w:tabs>
        <w:tab w:val="left" w:pos="567"/>
        <w:tab w:val="right" w:leader="dot" w:pos="8505"/>
      </w:tabs>
      <w:spacing w:before="120"/>
    </w:pPr>
    <w:rPr>
      <w:rFonts w:cs="Arial"/>
      <w:szCs w:val="22"/>
    </w:rPr>
  </w:style>
  <w:style w:type="paragraph" w:styleId="TOC2">
    <w:name w:val="toc 2"/>
    <w:basedOn w:val="Normal"/>
    <w:next w:val="Normal"/>
    <w:uiPriority w:val="39"/>
    <w:rsid w:val="00AC4800"/>
    <w:pPr>
      <w:tabs>
        <w:tab w:val="left" w:pos="1134"/>
        <w:tab w:val="right" w:leader="dot" w:pos="8505"/>
      </w:tabs>
      <w:spacing w:before="60"/>
      <w:ind w:left="1134" w:right="567" w:hanging="567"/>
    </w:pPr>
    <w:rPr>
      <w:noProof/>
      <w:sz w:val="20"/>
    </w:rPr>
  </w:style>
  <w:style w:type="paragraph" w:styleId="TOC3">
    <w:name w:val="toc 3"/>
    <w:basedOn w:val="Normal"/>
    <w:next w:val="Normal"/>
    <w:autoRedefine/>
    <w:uiPriority w:val="39"/>
    <w:unhideWhenUsed/>
    <w:rsid w:val="00AC4800"/>
    <w:pPr>
      <w:tabs>
        <w:tab w:val="left" w:pos="1985"/>
        <w:tab w:val="right" w:leader="dot" w:pos="8505"/>
      </w:tabs>
      <w:spacing w:before="60" w:after="100" w:line="276" w:lineRule="auto"/>
      <w:ind w:left="2268" w:hanging="1134"/>
    </w:pPr>
    <w:rPr>
      <w:rFonts w:asciiTheme="minorHAnsi" w:eastAsiaTheme="minorHAnsi" w:hAnsiTheme="minorHAnsi" w:cstheme="minorBidi"/>
      <w:sz w:val="20"/>
      <w:szCs w:val="22"/>
    </w:rPr>
  </w:style>
  <w:style w:type="character" w:styleId="Hyperlink">
    <w:name w:val="Hyperlink"/>
    <w:basedOn w:val="DefaultParagraphFont"/>
    <w:uiPriority w:val="99"/>
    <w:rsid w:val="00D52DE2"/>
  </w:style>
  <w:style w:type="paragraph" w:customStyle="1" w:styleId="FooterOdd">
    <w:name w:val="Footer Odd"/>
    <w:basedOn w:val="Normal"/>
    <w:qFormat/>
    <w:rsid w:val="00F35BC0"/>
    <w:pPr>
      <w:framePr w:hSpace="181" w:wrap="around" w:vAnchor="text" w:hAnchor="page" w:x="10774" w:y="211"/>
      <w:shd w:val="solid" w:color="FFFFFF" w:fill="FFFFFF"/>
      <w:spacing w:before="120"/>
      <w:jc w:val="right"/>
    </w:pPr>
    <w:rPr>
      <w:sz w:val="18"/>
    </w:rPr>
  </w:style>
  <w:style w:type="table" w:customStyle="1" w:styleId="TableGridWithTotals">
    <w:name w:val="Table Grid With Totals"/>
    <w:basedOn w:val="TableNormal"/>
    <w:rsid w:val="00A82926"/>
    <w:pPr>
      <w:keepNext/>
      <w:keepLines/>
      <w:spacing w:before="60"/>
    </w:pPr>
    <w:rPr>
      <w:rFonts w:ascii="Arial" w:hAnsi="Arial"/>
    </w:rPr>
    <w:tblPr/>
    <w:trPr>
      <w:cantSplit/>
    </w:trPr>
    <w:tblStylePr w:type="firstRow">
      <w:pPr>
        <w:wordWrap/>
        <w:spacing w:beforeLines="0" w:beforeAutospacing="0" w:afterLines="0" w:afterAutospacing="0" w:line="240" w:lineRule="auto"/>
        <w:ind w:leftChars="0" w:left="0" w:rightChars="0" w:right="0"/>
        <w:contextualSpacing/>
        <w:outlineLvl w:val="9"/>
      </w:pPr>
      <w:tblPr/>
      <w:tcPr>
        <w:tcBorders>
          <w:top w:val="single" w:sz="12" w:space="0" w:color="002776"/>
          <w:left w:val="nil"/>
          <w:bottom w:val="single" w:sz="8" w:space="0" w:color="002776"/>
          <w:right w:val="nil"/>
          <w:insideH w:val="nil"/>
          <w:insideV w:val="nil"/>
          <w:tl2br w:val="nil"/>
          <w:tr2bl w:val="nil"/>
        </w:tcBorders>
      </w:tcPr>
    </w:tblStylePr>
    <w:tblStylePr w:type="lastRow">
      <w:pPr>
        <w:wordWrap/>
        <w:spacing w:beforeLines="0" w:beforeAutospacing="0" w:afterLines="0" w:afterAutospacing="0"/>
        <w:ind w:leftChars="0" w:left="142" w:firstLineChars="0" w:firstLine="0"/>
      </w:pPr>
      <w:rPr>
        <w:rFonts w:ascii="Arial" w:hAnsi="Arial"/>
        <w:b/>
        <w:i w:val="0"/>
        <w:color w:val="931638"/>
        <w:sz w:val="20"/>
        <w:szCs w:val="20"/>
      </w:rPr>
      <w:tblPr/>
      <w:tcPr>
        <w:tcBorders>
          <w:top w:val="single" w:sz="12" w:space="0" w:color="002776"/>
          <w:left w:val="nil"/>
          <w:bottom w:val="single" w:sz="12" w:space="0" w:color="002776"/>
          <w:right w:val="nil"/>
          <w:insideH w:val="nil"/>
          <w:insideV w:val="nil"/>
          <w:tl2br w:val="nil"/>
          <w:tr2bl w:val="nil"/>
        </w:tcBorders>
      </w:tcPr>
    </w:tblStylePr>
  </w:style>
  <w:style w:type="paragraph" w:customStyle="1" w:styleId="NumberedList">
    <w:name w:val="Numbered List"/>
    <w:basedOn w:val="Normal"/>
    <w:rsid w:val="00003CCA"/>
    <w:pPr>
      <w:numPr>
        <w:numId w:val="12"/>
      </w:numPr>
      <w:spacing w:before="120"/>
      <w:jc w:val="both"/>
    </w:pPr>
    <w:rPr>
      <w:rFonts w:cs="Arial"/>
    </w:rPr>
  </w:style>
  <w:style w:type="paragraph" w:styleId="Caption">
    <w:name w:val="caption"/>
    <w:basedOn w:val="Normal"/>
    <w:next w:val="Normal"/>
    <w:qFormat/>
    <w:rsid w:val="0076674A"/>
    <w:pPr>
      <w:keepNext/>
      <w:keepLines/>
      <w:spacing w:before="240" w:after="240"/>
      <w:jc w:val="center"/>
    </w:pPr>
    <w:rPr>
      <w:b/>
      <w:bCs/>
      <w:color w:val="931638"/>
      <w:szCs w:val="22"/>
    </w:rPr>
  </w:style>
  <w:style w:type="paragraph" w:customStyle="1" w:styleId="Note">
    <w:name w:val="Note"/>
    <w:basedOn w:val="Normal"/>
    <w:rsid w:val="00A200CF"/>
    <w:pPr>
      <w:spacing w:before="60" w:after="120"/>
    </w:pPr>
    <w:rPr>
      <w:sz w:val="18"/>
    </w:rPr>
  </w:style>
  <w:style w:type="paragraph" w:customStyle="1" w:styleId="MajorHeading">
    <w:name w:val="Major Heading"/>
    <w:basedOn w:val="Normal"/>
    <w:next w:val="Normal"/>
    <w:rsid w:val="0084641B"/>
    <w:pPr>
      <w:pageBreakBefore/>
      <w:spacing w:after="120"/>
    </w:pPr>
    <w:rPr>
      <w:rFonts w:cs="Arial"/>
      <w:b/>
      <w:color w:val="002776"/>
      <w:sz w:val="56"/>
    </w:rPr>
  </w:style>
  <w:style w:type="paragraph" w:styleId="TableofFigures">
    <w:name w:val="table of figures"/>
    <w:basedOn w:val="Normal"/>
    <w:next w:val="Normal"/>
    <w:uiPriority w:val="99"/>
    <w:rsid w:val="00AC4800"/>
    <w:pPr>
      <w:tabs>
        <w:tab w:val="right" w:leader="dot" w:pos="8505"/>
      </w:tabs>
      <w:spacing w:before="60"/>
      <w:ind w:left="567" w:right="567" w:hanging="567"/>
    </w:pPr>
    <w:rPr>
      <w:szCs w:val="22"/>
    </w:rPr>
  </w:style>
  <w:style w:type="paragraph" w:customStyle="1" w:styleId="TabletextLeft">
    <w:name w:val="Table text Left"/>
    <w:basedOn w:val="Normal"/>
    <w:rsid w:val="00AC4800"/>
    <w:pPr>
      <w:spacing w:before="60"/>
    </w:pPr>
    <w:rPr>
      <w:sz w:val="20"/>
    </w:rPr>
  </w:style>
  <w:style w:type="table" w:customStyle="1" w:styleId="TableGridWithoutTotals">
    <w:name w:val="Table Grid Without Totals"/>
    <w:basedOn w:val="TableNormal"/>
    <w:rsid w:val="00AC4800"/>
    <w:pPr>
      <w:keepNext/>
      <w:keepLines/>
    </w:pPr>
    <w:rPr>
      <w:rFonts w:ascii="Arial" w:hAnsi="Arial"/>
    </w:rPr>
    <w:tblPr/>
    <w:trPr>
      <w:cantSplit/>
    </w:trPr>
    <w:tblStylePr w:type="firstRow">
      <w:pPr>
        <w:wordWrap/>
        <w:spacing w:beforeLines="0" w:beforeAutospacing="0" w:afterLines="0" w:afterAutospacing="0" w:line="240" w:lineRule="auto"/>
        <w:ind w:leftChars="0" w:left="0" w:rightChars="0" w:right="0"/>
        <w:contextualSpacing/>
        <w:outlineLvl w:val="9"/>
      </w:pPr>
      <w:tblPr/>
      <w:tcPr>
        <w:tcBorders>
          <w:top w:val="single" w:sz="18" w:space="0" w:color="931638"/>
          <w:left w:val="nil"/>
          <w:bottom w:val="single" w:sz="12" w:space="0" w:color="931638"/>
          <w:right w:val="nil"/>
          <w:insideH w:val="nil"/>
          <w:insideV w:val="nil"/>
          <w:tl2br w:val="nil"/>
          <w:tr2bl w:val="nil"/>
        </w:tcBorders>
      </w:tcPr>
    </w:tblStylePr>
    <w:tblStylePr w:type="lastRow">
      <w:pPr>
        <w:wordWrap/>
        <w:spacing w:beforeLines="0" w:beforeAutospacing="0" w:afterLines="0" w:afterAutospacing="0"/>
        <w:ind w:leftChars="0" w:left="0"/>
      </w:pPr>
      <w:tblPr/>
      <w:tcPr>
        <w:tcBorders>
          <w:top w:val="nil"/>
          <w:left w:val="nil"/>
          <w:bottom w:val="single" w:sz="12" w:space="0" w:color="931638"/>
          <w:right w:val="nil"/>
          <w:insideH w:val="nil"/>
          <w:insideV w:val="nil"/>
          <w:tl2br w:val="nil"/>
          <w:tr2bl w:val="nil"/>
        </w:tcBorders>
      </w:tcPr>
    </w:tblStylePr>
  </w:style>
  <w:style w:type="table" w:styleId="TableGrid">
    <w:name w:val="Table Grid"/>
    <w:basedOn w:val="TableNormal"/>
    <w:rsid w:val="00AC4800"/>
    <w:pPr>
      <w:jc w:val="both"/>
    </w:pPr>
    <w:tblPr/>
    <w:trPr>
      <w:cantSplit/>
    </w:trPr>
  </w:style>
  <w:style w:type="paragraph" w:customStyle="1" w:styleId="Tabletotals">
    <w:name w:val="Table totals"/>
    <w:basedOn w:val="Normal"/>
    <w:rsid w:val="00AC4800"/>
    <w:pPr>
      <w:keepNext/>
      <w:keepLines/>
      <w:ind w:left="142"/>
    </w:pPr>
  </w:style>
  <w:style w:type="table" w:customStyle="1" w:styleId="TableTwoHeadingRows">
    <w:name w:val="Table Two Heading Rows"/>
    <w:basedOn w:val="TableNormal"/>
    <w:rsid w:val="001D0FDF"/>
    <w:rPr>
      <w:rFonts w:ascii="Arial" w:hAnsi="Arial"/>
    </w:rPr>
    <w:tblPr/>
    <w:tblStylePr w:type="firstRow">
      <w:rPr>
        <w:rFonts w:ascii="Arial" w:hAnsi="Arial"/>
      </w:rPr>
      <w:tblPr/>
      <w:tcPr>
        <w:tcBorders>
          <w:top w:val="single" w:sz="12" w:space="0" w:color="002776"/>
          <w:left w:val="nil"/>
          <w:bottom w:val="nil"/>
          <w:right w:val="nil"/>
          <w:insideH w:val="nil"/>
          <w:insideV w:val="nil"/>
          <w:tl2br w:val="nil"/>
          <w:tr2bl w:val="nil"/>
        </w:tcBorders>
      </w:tcPr>
    </w:tblStylePr>
    <w:tblStylePr w:type="lastRow">
      <w:tblPr/>
      <w:tcPr>
        <w:tcBorders>
          <w:top w:val="nil"/>
          <w:left w:val="nil"/>
          <w:bottom w:val="single" w:sz="12" w:space="0" w:color="002776"/>
          <w:right w:val="nil"/>
          <w:insideH w:val="nil"/>
          <w:insideV w:val="nil"/>
          <w:tl2br w:val="nil"/>
          <w:tr2bl w:val="nil"/>
        </w:tcBorders>
      </w:tcPr>
    </w:tblStylePr>
  </w:style>
  <w:style w:type="paragraph" w:customStyle="1" w:styleId="FooterLeft">
    <w:name w:val="FooterLeft"/>
    <w:basedOn w:val="Normal"/>
    <w:rsid w:val="00F35BC0"/>
    <w:pPr>
      <w:ind w:left="-227" w:right="357"/>
    </w:pPr>
    <w:rPr>
      <w:sz w:val="18"/>
    </w:rPr>
  </w:style>
  <w:style w:type="paragraph" w:customStyle="1" w:styleId="Appendix">
    <w:name w:val="Appendix"/>
    <w:basedOn w:val="Normal"/>
    <w:next w:val="Normal"/>
    <w:rsid w:val="006B29A4"/>
    <w:pPr>
      <w:keepNext/>
      <w:pageBreakBefore/>
      <w:numPr>
        <w:numId w:val="14"/>
      </w:numPr>
      <w:spacing w:before="360" w:after="180"/>
    </w:pPr>
    <w:rPr>
      <w:b/>
      <w:color w:val="002776"/>
      <w:sz w:val="56"/>
      <w:szCs w:val="28"/>
    </w:rPr>
  </w:style>
  <w:style w:type="paragraph" w:customStyle="1" w:styleId="Source">
    <w:name w:val="Source"/>
    <w:basedOn w:val="Note"/>
    <w:qFormat/>
    <w:rsid w:val="00A2029E"/>
    <w:pPr>
      <w:spacing w:before="0"/>
    </w:pPr>
    <w:rPr>
      <w:rFonts w:cs="Arial"/>
    </w:rPr>
  </w:style>
  <w:style w:type="paragraph" w:customStyle="1" w:styleId="HeaderLine2">
    <w:name w:val="Header Line 2"/>
    <w:basedOn w:val="Header"/>
    <w:qFormat/>
    <w:rsid w:val="002E1173"/>
  </w:style>
  <w:style w:type="paragraph" w:customStyle="1" w:styleId="DisclaimerText">
    <w:name w:val="DisclaimerText"/>
    <w:basedOn w:val="Normal"/>
    <w:rsid w:val="00A200CF"/>
    <w:pPr>
      <w:spacing w:before="20"/>
      <w:jc w:val="both"/>
    </w:pPr>
    <w:rPr>
      <w:rFonts w:ascii="Swis721 Md BT" w:hAnsi="Swis721 Md BT"/>
      <w:color w:val="000000"/>
      <w:sz w:val="16"/>
      <w:szCs w:val="16"/>
    </w:rPr>
  </w:style>
  <w:style w:type="paragraph" w:customStyle="1" w:styleId="FooterLandscape">
    <w:name w:val="FooterLandscape"/>
    <w:basedOn w:val="Normal"/>
    <w:rsid w:val="00F35BC0"/>
    <w:pPr>
      <w:tabs>
        <w:tab w:val="right" w:pos="14031"/>
      </w:tabs>
      <w:ind w:left="-454" w:right="142"/>
    </w:pPr>
    <w:rPr>
      <w:rFonts w:ascii="Swis721 LtCn BT" w:hAnsi="Swis721 LtCn BT"/>
      <w:sz w:val="18"/>
    </w:rPr>
  </w:style>
  <w:style w:type="paragraph" w:customStyle="1" w:styleId="ReportTitle">
    <w:name w:val="Report Title"/>
    <w:basedOn w:val="Normal"/>
    <w:qFormat/>
    <w:rsid w:val="0092257D"/>
    <w:pPr>
      <w:framePr w:hSpace="181" w:wrap="around" w:vAnchor="page" w:hAnchor="margin" w:y="3403"/>
      <w:suppressOverlap/>
    </w:pPr>
    <w:rPr>
      <w:color w:val="002776"/>
      <w:sz w:val="72"/>
      <w:szCs w:val="56"/>
    </w:rPr>
  </w:style>
  <w:style w:type="paragraph" w:customStyle="1" w:styleId="SubHeading">
    <w:name w:val="Sub Heading"/>
    <w:basedOn w:val="Normal"/>
    <w:qFormat/>
    <w:rsid w:val="00A200CF"/>
    <w:pPr>
      <w:keepNext/>
      <w:spacing w:before="360" w:after="60"/>
    </w:pPr>
    <w:rPr>
      <w:rFonts w:cs="Arial"/>
      <w:b/>
      <w:color w:val="931638"/>
    </w:rPr>
  </w:style>
  <w:style w:type="character" w:styleId="Strong">
    <w:name w:val="Strong"/>
    <w:basedOn w:val="DefaultParagraphFont"/>
    <w:qFormat/>
    <w:rsid w:val="00FA566F"/>
    <w:rPr>
      <w:b/>
      <w:bCs/>
    </w:rPr>
  </w:style>
  <w:style w:type="character" w:styleId="Emphasis">
    <w:name w:val="Emphasis"/>
    <w:basedOn w:val="DefaultParagraphFont"/>
    <w:uiPriority w:val="20"/>
    <w:qFormat/>
    <w:rsid w:val="008603FE"/>
    <w:rPr>
      <w:i/>
      <w:iCs/>
    </w:rPr>
  </w:style>
  <w:style w:type="paragraph" w:styleId="CommentSubject">
    <w:name w:val="annotation subject"/>
    <w:basedOn w:val="Normal"/>
    <w:semiHidden/>
    <w:rsid w:val="008F4249"/>
    <w:rPr>
      <w:b/>
      <w:bCs/>
      <w:sz w:val="20"/>
    </w:rPr>
  </w:style>
  <w:style w:type="paragraph" w:styleId="Revision">
    <w:name w:val="Revision"/>
    <w:hidden/>
    <w:uiPriority w:val="99"/>
    <w:semiHidden/>
    <w:rsid w:val="00721EC7"/>
    <w:pPr>
      <w:spacing w:before="240"/>
    </w:pPr>
    <w:rPr>
      <w:rFonts w:ascii="Arial" w:hAnsi="Arial"/>
      <w:sz w:val="22"/>
      <w:lang w:eastAsia="en-US"/>
    </w:rPr>
  </w:style>
  <w:style w:type="paragraph" w:customStyle="1" w:styleId="Bullet2">
    <w:name w:val="Bullet 2"/>
    <w:basedOn w:val="Normal"/>
    <w:qFormat/>
    <w:rsid w:val="00F0239F"/>
    <w:pPr>
      <w:numPr>
        <w:numId w:val="7"/>
      </w:numPr>
      <w:spacing w:before="60"/>
      <w:jc w:val="both"/>
    </w:pPr>
  </w:style>
  <w:style w:type="paragraph" w:customStyle="1" w:styleId="Bullet3">
    <w:name w:val="Bullet 3"/>
    <w:basedOn w:val="Normal"/>
    <w:qFormat/>
    <w:rsid w:val="00F0239F"/>
    <w:pPr>
      <w:numPr>
        <w:numId w:val="8"/>
      </w:numPr>
      <w:spacing w:before="60"/>
      <w:ind w:left="1134" w:firstLine="567"/>
      <w:jc w:val="both"/>
    </w:pPr>
  </w:style>
  <w:style w:type="paragraph" w:customStyle="1" w:styleId="FooterSecurity">
    <w:name w:val="Footer Security"/>
    <w:basedOn w:val="Normal"/>
    <w:qFormat/>
    <w:rsid w:val="00F35BC0"/>
    <w:pPr>
      <w:jc w:val="center"/>
    </w:pPr>
    <w:rPr>
      <w:rFonts w:cs="Arial"/>
      <w:color w:val="7A7A78"/>
      <w:sz w:val="24"/>
      <w:szCs w:val="16"/>
    </w:rPr>
  </w:style>
  <w:style w:type="paragraph" w:customStyle="1" w:styleId="ReportDate">
    <w:name w:val="Report Date"/>
    <w:basedOn w:val="Normal"/>
    <w:qFormat/>
    <w:rsid w:val="00042200"/>
    <w:rPr>
      <w:color w:val="92D400"/>
      <w:sz w:val="28"/>
      <w:szCs w:val="28"/>
    </w:rPr>
  </w:style>
  <w:style w:type="paragraph" w:customStyle="1" w:styleId="ReportBy">
    <w:name w:val="Report By"/>
    <w:basedOn w:val="Normal"/>
    <w:qFormat/>
    <w:rsid w:val="00AE49C0"/>
    <w:pPr>
      <w:spacing w:line="360" w:lineRule="auto"/>
    </w:pPr>
    <w:rPr>
      <w:rFonts w:cs="Arial"/>
      <w:color w:val="931638"/>
      <w:sz w:val="24"/>
      <w:szCs w:val="28"/>
    </w:rPr>
  </w:style>
  <w:style w:type="paragraph" w:customStyle="1" w:styleId="ReportCompany">
    <w:name w:val="Report Company"/>
    <w:basedOn w:val="Normal"/>
    <w:qFormat/>
    <w:rsid w:val="0092257D"/>
    <w:rPr>
      <w:rFonts w:cs="Arial"/>
      <w:color w:val="92D400"/>
      <w:sz w:val="56"/>
      <w:szCs w:val="56"/>
    </w:rPr>
  </w:style>
  <w:style w:type="paragraph" w:customStyle="1" w:styleId="BodyText-Centred">
    <w:name w:val="BodyText - Centred"/>
    <w:basedOn w:val="Normal"/>
    <w:qFormat/>
    <w:rsid w:val="002539EC"/>
    <w:pPr>
      <w:spacing w:before="240"/>
      <w:jc w:val="center"/>
    </w:pPr>
    <w:rPr>
      <w:noProof/>
      <w:sz w:val="24"/>
      <w:lang w:eastAsia="en-AU"/>
    </w:rPr>
  </w:style>
  <w:style w:type="paragraph" w:customStyle="1" w:styleId="FooterLine1">
    <w:name w:val="Footer Line 1"/>
    <w:basedOn w:val="Normal"/>
    <w:qFormat/>
    <w:rsid w:val="00F35BC0"/>
    <w:pPr>
      <w:jc w:val="right"/>
    </w:pPr>
    <w:rPr>
      <w:sz w:val="18"/>
    </w:rPr>
  </w:style>
  <w:style w:type="paragraph" w:customStyle="1" w:styleId="Glossarytext">
    <w:name w:val="Glossary text"/>
    <w:basedOn w:val="Normal"/>
    <w:qFormat/>
    <w:rsid w:val="00AC4800"/>
    <w:pPr>
      <w:spacing w:before="120"/>
      <w:contextualSpacing/>
    </w:pPr>
    <w:rPr>
      <w:rFonts w:cs="Arial"/>
    </w:rPr>
  </w:style>
  <w:style w:type="paragraph" w:customStyle="1" w:styleId="GlossaryAbbreviation">
    <w:name w:val="Glossary Abbreviation"/>
    <w:basedOn w:val="Normal"/>
    <w:qFormat/>
    <w:rsid w:val="00AC4800"/>
    <w:pPr>
      <w:spacing w:before="120"/>
    </w:pPr>
    <w:rPr>
      <w:rFonts w:cs="Arial"/>
      <w:caps/>
    </w:rPr>
  </w:style>
  <w:style w:type="table" w:customStyle="1" w:styleId="TableAEGrey">
    <w:name w:val="Table AE Grey"/>
    <w:basedOn w:val="TableAE"/>
    <w:rsid w:val="00A82926"/>
    <w:tblPr>
      <w:tblBorders>
        <w:top w:val="single" w:sz="12" w:space="0" w:color="002776"/>
        <w:bottom w:val="none" w:sz="0" w:space="0" w:color="auto"/>
        <w:insideH w:val="single" w:sz="4" w:space="0" w:color="A6A6A6"/>
        <w:insideV w:val="single" w:sz="4" w:space="0" w:color="A6A6A6"/>
      </w:tblBorders>
    </w:tblPr>
    <w:tblStylePr w:type="firstRow">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tblPr/>
      <w:tcPr>
        <w:tcBorders>
          <w:top w:val="nil"/>
          <w:bottom w:val="single" w:sz="12" w:space="0" w:color="002776"/>
        </w:tcBorders>
      </w:tcPr>
    </w:tblStylePr>
  </w:style>
  <w:style w:type="paragraph" w:customStyle="1" w:styleId="ReportFooterSecurity">
    <w:name w:val="Report Footer Security"/>
    <w:basedOn w:val="FooterSecurity"/>
    <w:qFormat/>
    <w:rsid w:val="00BE3FA6"/>
    <w:rPr>
      <w:color w:val="931638"/>
    </w:rPr>
  </w:style>
  <w:style w:type="table" w:customStyle="1" w:styleId="TableAEGreyTotals">
    <w:name w:val="Table AE Grey Totals"/>
    <w:basedOn w:val="TableAEGrey"/>
    <w:rsid w:val="00A82926"/>
    <w:tblPr/>
    <w:tblStylePr w:type="firstRow">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tblPr/>
      <w:tcPr>
        <w:tcBorders>
          <w:top w:val="single" w:sz="12" w:space="0" w:color="002776"/>
          <w:left w:val="nil"/>
          <w:bottom w:val="single" w:sz="12" w:space="0" w:color="002776"/>
          <w:right w:val="nil"/>
          <w:insideH w:val="nil"/>
          <w:insideV w:val="single" w:sz="4" w:space="0" w:color="A6A6A6"/>
          <w:tl2br w:val="nil"/>
          <w:tr2bl w:val="nil"/>
        </w:tcBorders>
      </w:tcPr>
    </w:tblStylePr>
  </w:style>
  <w:style w:type="paragraph" w:customStyle="1" w:styleId="Glossary">
    <w:name w:val="Glossary"/>
    <w:basedOn w:val="Normal"/>
    <w:next w:val="BodyText"/>
    <w:qFormat/>
    <w:rsid w:val="000175EC"/>
    <w:pPr>
      <w:keepNext/>
      <w:spacing w:after="200"/>
    </w:pPr>
    <w:rPr>
      <w:b/>
      <w:color w:val="002776"/>
      <w:sz w:val="56"/>
    </w:rPr>
  </w:style>
  <w:style w:type="table" w:customStyle="1" w:styleId="TableAEGlossary">
    <w:name w:val="Table AE Glossary"/>
    <w:basedOn w:val="TableNormal"/>
    <w:uiPriority w:val="99"/>
    <w:qFormat/>
    <w:rsid w:val="00C22E9A"/>
    <w:tblPr>
      <w:tblBorders>
        <w:top w:val="single" w:sz="4" w:space="0" w:color="931638"/>
        <w:bottom w:val="single" w:sz="4" w:space="0" w:color="931638"/>
      </w:tblBorders>
    </w:tblPr>
    <w:tblStylePr w:type="firstRow">
      <w:tblPr/>
      <w:tcPr>
        <w:tcBorders>
          <w:top w:val="single" w:sz="4" w:space="0" w:color="002776"/>
          <w:bottom w:val="nil"/>
        </w:tcBorders>
      </w:tcPr>
    </w:tblStylePr>
    <w:tblStylePr w:type="lastRow">
      <w:tblPr/>
      <w:tcPr>
        <w:tcBorders>
          <w:bottom w:val="single" w:sz="4" w:space="0" w:color="002776"/>
        </w:tcBorders>
      </w:tcPr>
    </w:tblStylePr>
  </w:style>
  <w:style w:type="paragraph" w:customStyle="1" w:styleId="Contents-Minor">
    <w:name w:val="Contents - Minor"/>
    <w:basedOn w:val="Contents-Major"/>
    <w:qFormat/>
    <w:rsid w:val="006B29A4"/>
    <w:pPr>
      <w:spacing w:before="400"/>
    </w:pPr>
  </w:style>
  <w:style w:type="paragraph" w:customStyle="1" w:styleId="ReportBy0">
    <w:name w:val="ReportBy"/>
    <w:basedOn w:val="Normal"/>
    <w:qFormat/>
    <w:rsid w:val="00A200CF"/>
    <w:pPr>
      <w:spacing w:line="360" w:lineRule="auto"/>
    </w:pPr>
    <w:rPr>
      <w:rFonts w:cs="Arial"/>
      <w:color w:val="000000"/>
      <w:sz w:val="28"/>
      <w:szCs w:val="28"/>
    </w:rPr>
  </w:style>
  <w:style w:type="paragraph" w:customStyle="1" w:styleId="ReportDate0">
    <w:name w:val="ReportDate"/>
    <w:basedOn w:val="Normal"/>
    <w:rsid w:val="0092257D"/>
    <w:pPr>
      <w:spacing w:before="300"/>
      <w:ind w:right="1429"/>
    </w:pPr>
    <w:rPr>
      <w:color w:val="92D400"/>
      <w:sz w:val="52"/>
      <w:szCs w:val="24"/>
    </w:rPr>
  </w:style>
  <w:style w:type="paragraph" w:customStyle="1" w:styleId="Security">
    <w:name w:val="Security"/>
    <w:basedOn w:val="Normal"/>
    <w:qFormat/>
    <w:rsid w:val="00A200CF"/>
    <w:pPr>
      <w:jc w:val="center"/>
    </w:pPr>
    <w:rPr>
      <w:rFonts w:cs="Arial"/>
      <w:color w:val="7A7A78"/>
      <w:sz w:val="16"/>
      <w:szCs w:val="16"/>
    </w:rPr>
  </w:style>
  <w:style w:type="paragraph" w:customStyle="1" w:styleId="TableofContents">
    <w:name w:val="Table of Contents"/>
    <w:basedOn w:val="Normal"/>
    <w:rsid w:val="00AC4800"/>
    <w:pPr>
      <w:keepNext/>
      <w:spacing w:before="400" w:after="200"/>
    </w:pPr>
    <w:rPr>
      <w:b/>
      <w:color w:val="002776"/>
      <w:sz w:val="32"/>
      <w:szCs w:val="32"/>
    </w:rPr>
  </w:style>
  <w:style w:type="paragraph" w:styleId="Footer">
    <w:name w:val="footer"/>
    <w:basedOn w:val="Normal"/>
    <w:link w:val="FooterChar"/>
    <w:rsid w:val="00F35BC0"/>
    <w:pPr>
      <w:tabs>
        <w:tab w:val="center" w:pos="4513"/>
        <w:tab w:val="right" w:pos="9026"/>
      </w:tabs>
    </w:pPr>
    <w:rPr>
      <w:sz w:val="18"/>
    </w:rPr>
  </w:style>
  <w:style w:type="character" w:customStyle="1" w:styleId="FooterChar">
    <w:name w:val="Footer Char"/>
    <w:basedOn w:val="DefaultParagraphFont"/>
    <w:link w:val="Footer"/>
    <w:rsid w:val="00F35BC0"/>
    <w:rPr>
      <w:rFonts w:ascii="Calibri" w:hAnsi="Calibri"/>
      <w:sz w:val="18"/>
      <w:lang w:eastAsia="en-US"/>
    </w:rPr>
  </w:style>
  <w:style w:type="paragraph" w:customStyle="1" w:styleId="HeadingA">
    <w:name w:val="Heading A"/>
    <w:next w:val="BodyText"/>
    <w:rsid w:val="00AC4800"/>
    <w:pPr>
      <w:keepNext/>
      <w:keepLines/>
      <w:spacing w:before="120" w:after="60"/>
    </w:pPr>
    <w:rPr>
      <w:rFonts w:ascii="Calibri" w:hAnsi="Calibri"/>
      <w:b/>
      <w:color w:val="002776"/>
      <w:sz w:val="32"/>
      <w:szCs w:val="28"/>
      <w:lang w:eastAsia="en-US"/>
    </w:rPr>
  </w:style>
  <w:style w:type="paragraph" w:customStyle="1" w:styleId="HeadingB">
    <w:name w:val="Heading B"/>
    <w:basedOn w:val="HeadingA"/>
    <w:next w:val="BodyText"/>
    <w:rsid w:val="00AC4800"/>
    <w:pPr>
      <w:spacing w:before="240" w:after="0"/>
    </w:pPr>
    <w:rPr>
      <w:sz w:val="28"/>
      <w:szCs w:val="26"/>
    </w:rPr>
  </w:style>
  <w:style w:type="paragraph" w:customStyle="1" w:styleId="HeadingC">
    <w:name w:val="Heading C"/>
    <w:basedOn w:val="Normal"/>
    <w:next w:val="BodyText"/>
    <w:link w:val="HeadingCChar"/>
    <w:rsid w:val="00AC4800"/>
    <w:pPr>
      <w:keepNext/>
      <w:keepLines/>
      <w:spacing w:before="240"/>
    </w:pPr>
    <w:rPr>
      <w:b/>
      <w:color w:val="002776"/>
      <w:sz w:val="24"/>
      <w:szCs w:val="28"/>
    </w:rPr>
  </w:style>
  <w:style w:type="paragraph" w:customStyle="1" w:styleId="AlphabeticList">
    <w:name w:val="Alphabetic List"/>
    <w:basedOn w:val="Normal"/>
    <w:rsid w:val="00F0239F"/>
    <w:pPr>
      <w:numPr>
        <w:numId w:val="2"/>
      </w:numPr>
      <w:spacing w:before="120"/>
      <w:jc w:val="both"/>
    </w:pPr>
  </w:style>
  <w:style w:type="paragraph" w:customStyle="1" w:styleId="DashList">
    <w:name w:val="Dash List"/>
    <w:basedOn w:val="Normal"/>
    <w:rsid w:val="005D7965"/>
    <w:pPr>
      <w:numPr>
        <w:ilvl w:val="1"/>
        <w:numId w:val="1"/>
      </w:numPr>
      <w:spacing w:before="60"/>
    </w:pPr>
  </w:style>
  <w:style w:type="paragraph" w:customStyle="1" w:styleId="IndentParaDarkGrey">
    <w:name w:val="Indent Para Dark Grey"/>
    <w:basedOn w:val="IndentPara"/>
    <w:next w:val="Normal"/>
    <w:rsid w:val="00AC4800"/>
    <w:pPr>
      <w:pBdr>
        <w:top w:val="single" w:sz="8" w:space="5" w:color="827F77"/>
        <w:left w:val="single" w:sz="8" w:space="5" w:color="827F77"/>
        <w:bottom w:val="single" w:sz="8" w:space="5" w:color="827F77"/>
        <w:right w:val="single" w:sz="8" w:space="5" w:color="827F77"/>
      </w:pBdr>
      <w:shd w:val="clear" w:color="808080" w:fill="827F77"/>
      <w:spacing w:after="240"/>
    </w:pPr>
    <w:rPr>
      <w:b/>
      <w:color w:val="FFFFFF"/>
      <w:szCs w:val="24"/>
    </w:rPr>
  </w:style>
  <w:style w:type="paragraph" w:customStyle="1" w:styleId="TableNote">
    <w:name w:val="Table Note"/>
    <w:basedOn w:val="Normal"/>
    <w:link w:val="TableNoteChar"/>
    <w:rsid w:val="00AC4800"/>
    <w:pPr>
      <w:tabs>
        <w:tab w:val="left" w:pos="425"/>
      </w:tabs>
      <w:spacing w:before="60"/>
      <w:jc w:val="center"/>
    </w:pPr>
    <w:rPr>
      <w:sz w:val="18"/>
    </w:rPr>
  </w:style>
  <w:style w:type="paragraph" w:customStyle="1" w:styleId="IndentNumberedList">
    <w:name w:val="Indent Numbered List"/>
    <w:basedOn w:val="Normal"/>
    <w:rsid w:val="002539EC"/>
    <w:pPr>
      <w:numPr>
        <w:numId w:val="5"/>
      </w:numPr>
      <w:spacing w:before="60"/>
      <w:jc w:val="both"/>
    </w:pPr>
  </w:style>
  <w:style w:type="paragraph" w:customStyle="1" w:styleId="IndentAlphabeticList">
    <w:name w:val="Indent Alphabetic List"/>
    <w:basedOn w:val="Normal"/>
    <w:rsid w:val="002539EC"/>
    <w:pPr>
      <w:numPr>
        <w:numId w:val="3"/>
      </w:numPr>
      <w:tabs>
        <w:tab w:val="left" w:pos="1134"/>
      </w:tabs>
      <w:spacing w:before="60"/>
      <w:ind w:left="1134" w:hanging="567"/>
      <w:jc w:val="both"/>
    </w:pPr>
  </w:style>
  <w:style w:type="paragraph" w:styleId="FootnoteText">
    <w:name w:val="footnote text"/>
    <w:basedOn w:val="Normal"/>
    <w:link w:val="FootnoteTextChar"/>
    <w:rsid w:val="00D929F4"/>
    <w:pPr>
      <w:spacing w:before="120" w:after="60"/>
      <w:jc w:val="both"/>
    </w:pPr>
    <w:rPr>
      <w:rFonts w:asciiTheme="minorHAnsi" w:hAnsiTheme="minorHAnsi"/>
      <w:sz w:val="18"/>
    </w:rPr>
  </w:style>
  <w:style w:type="character" w:customStyle="1" w:styleId="FootnoteTextChar">
    <w:name w:val="Footnote Text Char"/>
    <w:basedOn w:val="DefaultParagraphFont"/>
    <w:link w:val="FootnoteText"/>
    <w:rsid w:val="00D929F4"/>
    <w:rPr>
      <w:rFonts w:asciiTheme="minorHAnsi" w:hAnsiTheme="minorHAnsi"/>
      <w:sz w:val="18"/>
      <w:lang w:eastAsia="en-US"/>
    </w:rPr>
  </w:style>
  <w:style w:type="character" w:customStyle="1" w:styleId="HeaderChar">
    <w:name w:val="Header Char"/>
    <w:basedOn w:val="DefaultParagraphFont"/>
    <w:link w:val="Header"/>
    <w:rsid w:val="00F35BC0"/>
    <w:rPr>
      <w:rFonts w:ascii="Calibri" w:hAnsi="Calibri"/>
      <w:color w:val="595959"/>
      <w:sz w:val="22"/>
      <w:lang w:eastAsia="en-US"/>
    </w:rPr>
  </w:style>
  <w:style w:type="table" w:customStyle="1" w:styleId="TableAETotals">
    <w:name w:val="Table AE Totals"/>
    <w:basedOn w:val="TableNormal"/>
    <w:rsid w:val="00A82926"/>
    <w:rPr>
      <w:rFonts w:ascii="Arial" w:hAnsi="Arial"/>
    </w:rPr>
    <w:tblPr>
      <w:tblBorders>
        <w:top w:val="single" w:sz="12" w:space="0" w:color="002776"/>
        <w:bottom w:val="single" w:sz="12" w:space="0" w:color="002776"/>
      </w:tblBorders>
    </w:tblPr>
    <w:tblStylePr w:type="firstRow">
      <w:tblPr/>
      <w:tcPr>
        <w:tcBorders>
          <w:top w:val="single" w:sz="12" w:space="0" w:color="002776"/>
          <w:left w:val="nil"/>
          <w:bottom w:val="single" w:sz="8" w:space="0" w:color="002776"/>
          <w:right w:val="nil"/>
          <w:insideH w:val="nil"/>
          <w:insideV w:val="nil"/>
          <w:tl2br w:val="nil"/>
          <w:tr2bl w:val="nil"/>
        </w:tcBorders>
      </w:tcPr>
    </w:tblStylePr>
    <w:tblStylePr w:type="lastRow">
      <w:tblPr/>
      <w:tcPr>
        <w:tcBorders>
          <w:top w:val="single" w:sz="12" w:space="0" w:color="002776"/>
          <w:left w:val="nil"/>
          <w:bottom w:val="single" w:sz="12" w:space="0" w:color="002776"/>
          <w:right w:val="nil"/>
          <w:insideH w:val="nil"/>
          <w:insideV w:val="nil"/>
          <w:tl2br w:val="nil"/>
          <w:tr2bl w:val="nil"/>
        </w:tcBorders>
      </w:tcPr>
    </w:tblStylePr>
  </w:style>
  <w:style w:type="paragraph" w:customStyle="1" w:styleId="AppendixTableCaption">
    <w:name w:val="Appendix Table Caption"/>
    <w:basedOn w:val="CaptionAE"/>
    <w:next w:val="BodyText"/>
    <w:qFormat/>
    <w:rsid w:val="00AC4800"/>
    <w:pPr>
      <w:numPr>
        <w:ilvl w:val="1"/>
        <w:numId w:val="14"/>
      </w:numPr>
    </w:pPr>
    <w:rPr>
      <w:color w:val="002776"/>
    </w:rPr>
  </w:style>
  <w:style w:type="paragraph" w:customStyle="1" w:styleId="AppendixChartCaption">
    <w:name w:val="Appendix Chart Caption"/>
    <w:basedOn w:val="CaptionAE"/>
    <w:next w:val="BodyText"/>
    <w:qFormat/>
    <w:rsid w:val="00AC4800"/>
    <w:pPr>
      <w:numPr>
        <w:ilvl w:val="2"/>
        <w:numId w:val="14"/>
      </w:numPr>
    </w:pPr>
    <w:rPr>
      <w:color w:val="002776"/>
    </w:rPr>
  </w:style>
  <w:style w:type="paragraph" w:customStyle="1" w:styleId="AppendixFigureCaption">
    <w:name w:val="Appendix Figure Caption"/>
    <w:basedOn w:val="CaptionAE"/>
    <w:next w:val="BodyText"/>
    <w:qFormat/>
    <w:rsid w:val="00AC4800"/>
    <w:pPr>
      <w:numPr>
        <w:ilvl w:val="3"/>
        <w:numId w:val="14"/>
      </w:numPr>
    </w:pPr>
    <w:rPr>
      <w:color w:val="002776"/>
    </w:rPr>
  </w:style>
  <w:style w:type="paragraph" w:customStyle="1" w:styleId="CaptionTable">
    <w:name w:val="Caption_Table"/>
    <w:basedOn w:val="CaptionAE"/>
    <w:next w:val="BodyText"/>
    <w:qFormat/>
    <w:rsid w:val="00AC4800"/>
    <w:pPr>
      <w:numPr>
        <w:ilvl w:val="6"/>
        <w:numId w:val="31"/>
      </w:numPr>
    </w:pPr>
    <w:rPr>
      <w:color w:val="002776"/>
    </w:rPr>
  </w:style>
  <w:style w:type="paragraph" w:customStyle="1" w:styleId="CaptionFigure">
    <w:name w:val="Caption_Figure"/>
    <w:basedOn w:val="CaptionTable"/>
    <w:next w:val="BodyText"/>
    <w:qFormat/>
    <w:rsid w:val="00AC4800"/>
    <w:pPr>
      <w:numPr>
        <w:ilvl w:val="8"/>
      </w:numPr>
      <w:ind w:left="0"/>
    </w:pPr>
    <w:rPr>
      <w:bCs/>
      <w:szCs w:val="22"/>
    </w:rPr>
  </w:style>
  <w:style w:type="paragraph" w:customStyle="1" w:styleId="CaptionChart">
    <w:name w:val="Caption_Chart"/>
    <w:basedOn w:val="CaptionFigure"/>
    <w:next w:val="BodyText"/>
    <w:qFormat/>
    <w:rsid w:val="00AC4800"/>
    <w:pPr>
      <w:numPr>
        <w:ilvl w:val="7"/>
      </w:numPr>
    </w:pPr>
  </w:style>
  <w:style w:type="paragraph" w:customStyle="1" w:styleId="ExecChartCaption">
    <w:name w:val="Exec Chart Caption"/>
    <w:basedOn w:val="CaptionAE"/>
    <w:next w:val="BodyText"/>
    <w:qFormat/>
    <w:rsid w:val="0084641B"/>
    <w:pPr>
      <w:numPr>
        <w:ilvl w:val="2"/>
        <w:numId w:val="11"/>
      </w:numPr>
    </w:pPr>
    <w:rPr>
      <w:color w:val="002776"/>
    </w:rPr>
  </w:style>
  <w:style w:type="paragraph" w:customStyle="1" w:styleId="ExecFigureCaption">
    <w:name w:val="Exec Figure Caption"/>
    <w:basedOn w:val="CaptionAE"/>
    <w:next w:val="BodyText"/>
    <w:qFormat/>
    <w:rsid w:val="0084641B"/>
    <w:pPr>
      <w:numPr>
        <w:ilvl w:val="3"/>
        <w:numId w:val="11"/>
      </w:numPr>
    </w:pPr>
    <w:rPr>
      <w:color w:val="002776"/>
    </w:rPr>
  </w:style>
  <w:style w:type="paragraph" w:customStyle="1" w:styleId="ExecTableCaption">
    <w:name w:val="Exec Table Caption"/>
    <w:basedOn w:val="CaptionAE"/>
    <w:next w:val="BodyText"/>
    <w:qFormat/>
    <w:rsid w:val="0084641B"/>
    <w:pPr>
      <w:numPr>
        <w:ilvl w:val="1"/>
        <w:numId w:val="11"/>
      </w:numPr>
    </w:pPr>
    <w:rPr>
      <w:color w:val="002776"/>
    </w:rPr>
  </w:style>
  <w:style w:type="paragraph" w:customStyle="1" w:styleId="CaptionAE">
    <w:name w:val="Caption AE"/>
    <w:basedOn w:val="Normal"/>
    <w:next w:val="BodyText"/>
    <w:rsid w:val="00215E92"/>
    <w:pPr>
      <w:keepNext/>
      <w:keepLines/>
      <w:spacing w:before="240" w:after="240"/>
      <w:jc w:val="center"/>
    </w:pPr>
    <w:rPr>
      <w:b/>
      <w:color w:val="931638"/>
    </w:rPr>
  </w:style>
  <w:style w:type="paragraph" w:customStyle="1" w:styleId="CVaddress">
    <w:name w:val="CV address"/>
    <w:rsid w:val="00FD5CAC"/>
    <w:rPr>
      <w:rFonts w:ascii="Calibri" w:hAnsi="Calibri"/>
      <w:color w:val="404040" w:themeColor="text1" w:themeTint="BF"/>
      <w:lang w:eastAsia="en-US"/>
    </w:rPr>
  </w:style>
  <w:style w:type="paragraph" w:customStyle="1" w:styleId="CVbullet">
    <w:name w:val="CV bullet"/>
    <w:basedOn w:val="Normal"/>
    <w:qFormat/>
    <w:rsid w:val="00FD5CAC"/>
    <w:pPr>
      <w:spacing w:after="60"/>
      <w:jc w:val="both"/>
    </w:pPr>
  </w:style>
  <w:style w:type="paragraph" w:customStyle="1" w:styleId="CVbulletindent">
    <w:name w:val="CV bullet indent"/>
    <w:basedOn w:val="Normal"/>
    <w:qFormat/>
    <w:rsid w:val="00FD5CAC"/>
    <w:pPr>
      <w:spacing w:after="60"/>
      <w:jc w:val="both"/>
    </w:pPr>
  </w:style>
  <w:style w:type="paragraph" w:customStyle="1" w:styleId="CVDate">
    <w:name w:val="CV Date"/>
    <w:basedOn w:val="CVaddress"/>
    <w:next w:val="Normal"/>
    <w:rsid w:val="00FD5CAC"/>
    <w:pPr>
      <w:keepNext/>
      <w:spacing w:before="60" w:after="60"/>
    </w:pPr>
    <w:rPr>
      <w:b/>
      <w:color w:val="931638"/>
      <w:sz w:val="22"/>
    </w:rPr>
  </w:style>
  <w:style w:type="paragraph" w:customStyle="1" w:styleId="CVDateExperience">
    <w:name w:val="CV Date Experience"/>
    <w:basedOn w:val="CVDate"/>
    <w:rsid w:val="00FD5CAC"/>
    <w:pPr>
      <w:spacing w:before="120" w:after="0"/>
    </w:pPr>
    <w:rPr>
      <w:sz w:val="24"/>
    </w:rPr>
  </w:style>
  <w:style w:type="paragraph" w:customStyle="1" w:styleId="CVHeadingB">
    <w:name w:val="CV Heading B"/>
    <w:basedOn w:val="HeadingA"/>
    <w:next w:val="Normal"/>
    <w:rsid w:val="00FD5CAC"/>
    <w:rPr>
      <w:sz w:val="28"/>
      <w:szCs w:val="26"/>
    </w:rPr>
  </w:style>
  <w:style w:type="paragraph" w:customStyle="1" w:styleId="CVHeadingC">
    <w:name w:val="CV Heading C"/>
    <w:basedOn w:val="Normal"/>
    <w:next w:val="Normal"/>
    <w:rsid w:val="00FD5CAC"/>
    <w:pPr>
      <w:keepNext/>
      <w:keepLines/>
      <w:spacing w:before="180"/>
    </w:pPr>
    <w:rPr>
      <w:b/>
      <w:color w:val="931638"/>
      <w:sz w:val="24"/>
      <w:szCs w:val="28"/>
    </w:rPr>
  </w:style>
  <w:style w:type="paragraph" w:customStyle="1" w:styleId="CVHeadingExperience">
    <w:name w:val="CV Heading Experience"/>
    <w:basedOn w:val="CVDate"/>
    <w:rsid w:val="00FD5CAC"/>
    <w:pPr>
      <w:spacing w:before="120" w:after="0"/>
    </w:pPr>
    <w:rPr>
      <w:sz w:val="24"/>
    </w:rPr>
  </w:style>
  <w:style w:type="paragraph" w:customStyle="1" w:styleId="CVHeadingqualifications">
    <w:name w:val="CV Heading qualifications"/>
    <w:basedOn w:val="CVHeadingC"/>
    <w:rsid w:val="00FD5CAC"/>
    <w:pPr>
      <w:spacing w:before="0"/>
      <w:ind w:left="142"/>
    </w:pPr>
    <w:rPr>
      <w:bCs/>
      <w:szCs w:val="20"/>
    </w:rPr>
  </w:style>
  <w:style w:type="paragraph" w:customStyle="1" w:styleId="CVqualificationsawards">
    <w:name w:val="CV qualifications/awards"/>
    <w:basedOn w:val="CVaddress"/>
    <w:rsid w:val="00FD5CAC"/>
    <w:pPr>
      <w:ind w:left="142"/>
    </w:pPr>
    <w:rPr>
      <w:color w:val="auto"/>
    </w:rPr>
  </w:style>
  <w:style w:type="paragraph" w:customStyle="1" w:styleId="CVtabledate">
    <w:name w:val="CV table date"/>
    <w:basedOn w:val="Normal"/>
    <w:rsid w:val="00FD5CAC"/>
    <w:pPr>
      <w:jc w:val="both"/>
    </w:pPr>
    <w:rPr>
      <w:b/>
      <w:color w:val="262626" w:themeColor="text1" w:themeTint="D9"/>
    </w:rPr>
  </w:style>
  <w:style w:type="paragraph" w:customStyle="1" w:styleId="CVTableText">
    <w:name w:val="CV Table Text"/>
    <w:basedOn w:val="CVaddress"/>
    <w:rsid w:val="00FD5CAC"/>
    <w:rPr>
      <w:color w:val="auto"/>
      <w:sz w:val="22"/>
    </w:rPr>
  </w:style>
  <w:style w:type="character" w:customStyle="1" w:styleId="Boldword">
    <w:name w:val="Bold word"/>
    <w:basedOn w:val="DefaultParagraphFont"/>
    <w:uiPriority w:val="1"/>
    <w:qFormat/>
    <w:rsid w:val="00E843DD"/>
    <w:rPr>
      <w:rFonts w:ascii="Calibri" w:hAnsi="Calibri"/>
      <w:b/>
      <w:color w:val="002776"/>
      <w:sz w:val="22"/>
      <w:lang w:eastAsia="en-AU"/>
    </w:rPr>
  </w:style>
  <w:style w:type="paragraph" w:styleId="BalloonText">
    <w:name w:val="Balloon Text"/>
    <w:basedOn w:val="Normal"/>
    <w:link w:val="BalloonTextChar"/>
    <w:rsid w:val="00CB7948"/>
    <w:rPr>
      <w:rFonts w:ascii="Tahoma" w:hAnsi="Tahoma" w:cs="Tahoma"/>
      <w:sz w:val="16"/>
      <w:szCs w:val="16"/>
    </w:rPr>
  </w:style>
  <w:style w:type="character" w:customStyle="1" w:styleId="BalloonTextChar">
    <w:name w:val="Balloon Text Char"/>
    <w:basedOn w:val="DefaultParagraphFont"/>
    <w:link w:val="BalloonText"/>
    <w:rsid w:val="00CB7948"/>
    <w:rPr>
      <w:rFonts w:ascii="Tahoma" w:hAnsi="Tahoma" w:cs="Tahoma"/>
      <w:sz w:val="16"/>
      <w:szCs w:val="16"/>
      <w:lang w:eastAsia="en-US"/>
    </w:rPr>
  </w:style>
  <w:style w:type="character" w:customStyle="1" w:styleId="BodyTextChar">
    <w:name w:val="Body Text Char"/>
    <w:aliases w:val="bt Char,t1 Char,Body Char,Body Text1 Char Char"/>
    <w:basedOn w:val="DefaultParagraphFont"/>
    <w:link w:val="BodyText"/>
    <w:uiPriority w:val="99"/>
    <w:rsid w:val="0034223A"/>
    <w:rPr>
      <w:rFonts w:ascii="Calibri" w:hAnsi="Calibri"/>
      <w:sz w:val="22"/>
      <w:lang w:eastAsia="en-US"/>
    </w:rPr>
  </w:style>
  <w:style w:type="character" w:customStyle="1" w:styleId="BoldParaChar">
    <w:name w:val="Bold Para Char"/>
    <w:basedOn w:val="DefaultParagraphFont"/>
    <w:link w:val="BoldPara"/>
    <w:locked/>
    <w:rsid w:val="0034223A"/>
    <w:rPr>
      <w:rFonts w:ascii="Calibri" w:hAnsi="Calibri"/>
      <w:b/>
      <w:color w:val="002776"/>
      <w:sz w:val="22"/>
      <w:szCs w:val="24"/>
      <w:lang w:eastAsia="en-US"/>
    </w:rPr>
  </w:style>
  <w:style w:type="paragraph" w:customStyle="1" w:styleId="Addressdetails">
    <w:name w:val="Address details"/>
    <w:basedOn w:val="Normal"/>
    <w:link w:val="AddressdetailsChar"/>
    <w:rsid w:val="00042200"/>
    <w:pPr>
      <w:spacing w:before="85" w:line="180" w:lineRule="atLeast"/>
    </w:pPr>
    <w:rPr>
      <w:rFonts w:ascii="Arial" w:hAnsi="Arial"/>
      <w:sz w:val="15"/>
      <w:szCs w:val="24"/>
    </w:rPr>
  </w:style>
  <w:style w:type="character" w:customStyle="1" w:styleId="AddressdetailsChar">
    <w:name w:val="Address details Char"/>
    <w:basedOn w:val="DefaultParagraphFont"/>
    <w:link w:val="Addressdetails"/>
    <w:rsid w:val="00042200"/>
    <w:rPr>
      <w:rFonts w:ascii="Arial" w:hAnsi="Arial"/>
      <w:sz w:val="15"/>
      <w:szCs w:val="24"/>
      <w:lang w:eastAsia="en-US"/>
    </w:rPr>
  </w:style>
  <w:style w:type="paragraph" w:customStyle="1" w:styleId="Bodycopy">
    <w:name w:val="Body copy"/>
    <w:basedOn w:val="Normal"/>
    <w:link w:val="BodycopyChar"/>
    <w:rsid w:val="00042200"/>
    <w:pPr>
      <w:spacing w:after="113" w:line="240" w:lineRule="atLeast"/>
      <w:jc w:val="both"/>
    </w:pPr>
    <w:rPr>
      <w:rFonts w:ascii="Arial" w:hAnsi="Arial"/>
      <w:sz w:val="20"/>
      <w:szCs w:val="24"/>
    </w:rPr>
  </w:style>
  <w:style w:type="paragraph" w:customStyle="1" w:styleId="BodycopyBold">
    <w:name w:val="Body copy Bold"/>
    <w:basedOn w:val="Normal"/>
    <w:semiHidden/>
    <w:rsid w:val="00042200"/>
    <w:pPr>
      <w:spacing w:after="113" w:line="240" w:lineRule="atLeast"/>
    </w:pPr>
    <w:rPr>
      <w:rFonts w:ascii="Times New Roman" w:hAnsi="Times New Roman"/>
      <w:b/>
      <w:sz w:val="20"/>
      <w:szCs w:val="24"/>
    </w:rPr>
  </w:style>
  <w:style w:type="character" w:customStyle="1" w:styleId="BodycopyChar">
    <w:name w:val="Body copy Char"/>
    <w:basedOn w:val="DefaultParagraphFont"/>
    <w:link w:val="Bodycopy"/>
    <w:rsid w:val="00042200"/>
    <w:rPr>
      <w:rFonts w:ascii="Arial" w:hAnsi="Arial"/>
      <w:szCs w:val="24"/>
      <w:lang w:eastAsia="en-US"/>
    </w:rPr>
  </w:style>
  <w:style w:type="paragraph" w:customStyle="1" w:styleId="SignOffTextwithImage">
    <w:name w:val="SignOff Text with Image"/>
    <w:basedOn w:val="Normal"/>
    <w:rsid w:val="00042200"/>
    <w:pPr>
      <w:spacing w:before="480"/>
    </w:pPr>
  </w:style>
  <w:style w:type="paragraph" w:customStyle="1" w:styleId="SignOffText">
    <w:name w:val="SignOff Text"/>
    <w:basedOn w:val="Normal"/>
    <w:next w:val="Normal"/>
    <w:rsid w:val="00042200"/>
    <w:pPr>
      <w:spacing w:before="480" w:after="1120"/>
    </w:pPr>
  </w:style>
  <w:style w:type="paragraph" w:customStyle="1" w:styleId="Table">
    <w:name w:val="Table"/>
    <w:basedOn w:val="Bodycopy"/>
    <w:next w:val="Bodycopy"/>
    <w:qFormat/>
    <w:rsid w:val="00AC4800"/>
    <w:pPr>
      <w:spacing w:before="240" w:after="0" w:line="240" w:lineRule="auto"/>
      <w:ind w:left="851"/>
    </w:pPr>
    <w:rPr>
      <w:rFonts w:ascii="Calibri" w:hAnsi="Calibri"/>
      <w:b/>
      <w:sz w:val="22"/>
    </w:rPr>
  </w:style>
  <w:style w:type="paragraph" w:customStyle="1" w:styleId="Box">
    <w:name w:val="Box"/>
    <w:basedOn w:val="Bodycopy"/>
    <w:next w:val="Bodycopy"/>
    <w:qFormat/>
    <w:rsid w:val="00AC4800"/>
    <w:pPr>
      <w:spacing w:before="240" w:after="0" w:line="240" w:lineRule="auto"/>
      <w:ind w:left="851"/>
    </w:pPr>
    <w:rPr>
      <w:rFonts w:ascii="Calibri" w:hAnsi="Calibri"/>
      <w:b/>
      <w:sz w:val="22"/>
    </w:rPr>
  </w:style>
  <w:style w:type="paragraph" w:customStyle="1" w:styleId="Keypoint">
    <w:name w:val="Keypoint"/>
    <w:basedOn w:val="Normal"/>
    <w:qFormat/>
    <w:rsid w:val="006B29A4"/>
    <w:pPr>
      <w:spacing w:before="600"/>
    </w:pPr>
    <w:rPr>
      <w:rFonts w:ascii="Times New Roman" w:hAnsi="Times New Roman"/>
      <w:color w:val="72C7E7"/>
      <w:sz w:val="32"/>
      <w:szCs w:val="24"/>
    </w:rPr>
  </w:style>
  <w:style w:type="paragraph" w:customStyle="1" w:styleId="BSubheading-Bluedk">
    <w:name w:val="B Subheading - Blue dk"/>
    <w:basedOn w:val="Normal"/>
    <w:qFormat/>
    <w:rsid w:val="006B29A4"/>
    <w:pPr>
      <w:spacing w:before="320" w:after="120"/>
      <w:outlineLvl w:val="1"/>
    </w:pPr>
    <w:rPr>
      <w:rFonts w:ascii="Arial" w:eastAsia="Times" w:hAnsi="Arial"/>
      <w:b/>
      <w:noProof/>
      <w:color w:val="002776"/>
      <w:sz w:val="24"/>
      <w:szCs w:val="24"/>
      <w:lang w:val="en-US"/>
    </w:rPr>
  </w:style>
  <w:style w:type="paragraph" w:customStyle="1" w:styleId="DHeading">
    <w:name w:val="DHeading"/>
    <w:basedOn w:val="Normal"/>
    <w:rsid w:val="006B29A4"/>
    <w:pPr>
      <w:autoSpaceDE w:val="0"/>
      <w:autoSpaceDN w:val="0"/>
      <w:adjustRightInd w:val="0"/>
      <w:spacing w:before="360" w:after="120"/>
      <w:ind w:firstLine="11"/>
    </w:pPr>
    <w:rPr>
      <w:rFonts w:eastAsia="Times"/>
      <w:color w:val="333F7F"/>
      <w:sz w:val="44"/>
      <w:szCs w:val="44"/>
      <w:lang w:val="en-GB"/>
    </w:rPr>
  </w:style>
  <w:style w:type="paragraph" w:customStyle="1" w:styleId="DBody">
    <w:name w:val="DBody"/>
    <w:basedOn w:val="Normal"/>
    <w:rsid w:val="006B29A4"/>
    <w:pPr>
      <w:spacing w:before="60" w:after="113"/>
    </w:pPr>
    <w:rPr>
      <w:rFonts w:ascii="Arial" w:eastAsia="Times" w:hAnsi="Arial"/>
      <w:color w:val="333F7F"/>
      <w:sz w:val="20"/>
      <w:lang w:val="en-GB"/>
    </w:rPr>
  </w:style>
  <w:style w:type="paragraph" w:customStyle="1" w:styleId="DBullet">
    <w:name w:val="DBullet"/>
    <w:basedOn w:val="ListBullet"/>
    <w:rsid w:val="006B29A4"/>
    <w:pPr>
      <w:numPr>
        <w:numId w:val="15"/>
      </w:numPr>
      <w:spacing w:before="40" w:after="40"/>
      <w:contextualSpacing w:val="0"/>
    </w:pPr>
    <w:rPr>
      <w:rFonts w:ascii="Arial" w:hAnsi="Arial"/>
      <w:color w:val="333D7F"/>
      <w:szCs w:val="24"/>
    </w:rPr>
  </w:style>
  <w:style w:type="paragraph" w:styleId="ListBullet">
    <w:name w:val="List Bullet"/>
    <w:basedOn w:val="Normal"/>
    <w:rsid w:val="006B29A4"/>
    <w:pPr>
      <w:numPr>
        <w:numId w:val="13"/>
      </w:numPr>
      <w:contextualSpacing/>
    </w:pPr>
  </w:style>
  <w:style w:type="paragraph" w:customStyle="1" w:styleId="DBluedk">
    <w:name w:val="D Blue dk"/>
    <w:basedOn w:val="Normal"/>
    <w:qFormat/>
    <w:rsid w:val="007257C4"/>
    <w:pPr>
      <w:spacing w:before="320" w:after="120"/>
      <w:outlineLvl w:val="1"/>
    </w:pPr>
    <w:rPr>
      <w:rFonts w:ascii="Arial" w:eastAsia="Times" w:hAnsi="Arial"/>
      <w:b/>
      <w:noProof/>
      <w:color w:val="002776"/>
      <w:sz w:val="24"/>
      <w:szCs w:val="24"/>
      <w:lang w:val="en-US"/>
    </w:rPr>
  </w:style>
  <w:style w:type="character" w:styleId="CommentReference">
    <w:name w:val="annotation reference"/>
    <w:basedOn w:val="DefaultParagraphFont"/>
    <w:rsid w:val="001D0FDF"/>
    <w:rPr>
      <w:sz w:val="16"/>
      <w:szCs w:val="16"/>
    </w:rPr>
  </w:style>
  <w:style w:type="paragraph" w:styleId="ListParagraph">
    <w:name w:val="List Paragraph"/>
    <w:basedOn w:val="Normal"/>
    <w:uiPriority w:val="34"/>
    <w:qFormat/>
    <w:rsid w:val="001D0FDF"/>
    <w:pPr>
      <w:ind w:left="720"/>
      <w:contextualSpacing/>
    </w:pPr>
    <w:rPr>
      <w:rFonts w:ascii="Times New Roman" w:hAnsi="Times New Roman"/>
      <w:sz w:val="24"/>
      <w:szCs w:val="24"/>
    </w:rPr>
  </w:style>
  <w:style w:type="paragraph" w:customStyle="1" w:styleId="Legalstatement">
    <w:name w:val="Legal statement"/>
    <w:basedOn w:val="Footer"/>
    <w:rsid w:val="001D0FDF"/>
    <w:pPr>
      <w:tabs>
        <w:tab w:val="clear" w:pos="4513"/>
        <w:tab w:val="clear" w:pos="9026"/>
        <w:tab w:val="right" w:pos="9356"/>
      </w:tabs>
      <w:spacing w:before="120"/>
    </w:pPr>
    <w:rPr>
      <w:rFonts w:ascii="Arial" w:hAnsi="Arial" w:cs="Arial"/>
      <w:color w:val="000000"/>
      <w:sz w:val="14"/>
      <w:szCs w:val="16"/>
    </w:rPr>
  </w:style>
  <w:style w:type="paragraph" w:styleId="CommentText">
    <w:name w:val="annotation text"/>
    <w:basedOn w:val="Normal"/>
    <w:link w:val="CommentTextChar"/>
    <w:rsid w:val="009C606D"/>
    <w:rPr>
      <w:sz w:val="20"/>
    </w:rPr>
  </w:style>
  <w:style w:type="character" w:customStyle="1" w:styleId="CommentTextChar">
    <w:name w:val="Comment Text Char"/>
    <w:basedOn w:val="DefaultParagraphFont"/>
    <w:link w:val="CommentText"/>
    <w:rsid w:val="009C606D"/>
    <w:rPr>
      <w:rFonts w:ascii="Calibri" w:hAnsi="Calibri"/>
      <w:lang w:eastAsia="en-US"/>
    </w:rPr>
  </w:style>
  <w:style w:type="character" w:customStyle="1" w:styleId="Bullet1Char">
    <w:name w:val="Bullet 1 Char"/>
    <w:basedOn w:val="DefaultParagraphFont"/>
    <w:link w:val="Bullet1"/>
    <w:rsid w:val="00B45B5C"/>
    <w:rPr>
      <w:rFonts w:ascii="Calibri" w:hAnsi="Calibri" w:cs="Arial"/>
      <w:sz w:val="22"/>
    </w:rPr>
  </w:style>
  <w:style w:type="character" w:customStyle="1" w:styleId="HeadingCChar">
    <w:name w:val="Heading C Char"/>
    <w:basedOn w:val="DefaultParagraphFont"/>
    <w:link w:val="HeadingC"/>
    <w:rsid w:val="00B45B5C"/>
    <w:rPr>
      <w:rFonts w:ascii="Calibri" w:hAnsi="Calibri"/>
      <w:b/>
      <w:color w:val="002776"/>
      <w:sz w:val="24"/>
      <w:szCs w:val="28"/>
      <w:lang w:eastAsia="en-US"/>
    </w:rPr>
  </w:style>
  <w:style w:type="character" w:customStyle="1" w:styleId="TableNoteChar">
    <w:name w:val="Table Note Char"/>
    <w:basedOn w:val="DefaultParagraphFont"/>
    <w:link w:val="TableNote"/>
    <w:rsid w:val="00B45B5C"/>
    <w:rPr>
      <w:rFonts w:ascii="Calibri" w:hAnsi="Calibri"/>
      <w:sz w:val="18"/>
      <w:lang w:eastAsia="en-US"/>
    </w:rPr>
  </w:style>
  <w:style w:type="paragraph" w:customStyle="1" w:styleId="Picture">
    <w:name w:val="Picture"/>
    <w:basedOn w:val="Normal"/>
    <w:next w:val="Normal"/>
    <w:rsid w:val="00B45B5C"/>
    <w:pPr>
      <w:spacing w:after="240"/>
      <w:jc w:val="center"/>
    </w:pPr>
    <w:rPr>
      <w:sz w:val="28"/>
      <w:szCs w:val="28"/>
    </w:rPr>
  </w:style>
  <w:style w:type="paragraph" w:customStyle="1" w:styleId="Default">
    <w:name w:val="Default"/>
    <w:rsid w:val="007730BE"/>
    <w:pPr>
      <w:autoSpaceDE w:val="0"/>
      <w:autoSpaceDN w:val="0"/>
      <w:adjustRightInd w:val="0"/>
    </w:pPr>
    <w:rPr>
      <w:rFonts w:ascii="Calibri" w:hAnsi="Calibri" w:cs="Calibri"/>
      <w:color w:val="000000"/>
      <w:sz w:val="24"/>
      <w:szCs w:val="24"/>
    </w:rPr>
  </w:style>
  <w:style w:type="character" w:customStyle="1" w:styleId="st1">
    <w:name w:val="st1"/>
    <w:basedOn w:val="DefaultParagraphFont"/>
    <w:rsid w:val="007730BE"/>
  </w:style>
  <w:style w:type="paragraph" w:customStyle="1" w:styleId="NoParagraphStyle">
    <w:name w:val="[No Paragraph Style]"/>
    <w:rsid w:val="006C4BC8"/>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GB"/>
    </w:rPr>
  </w:style>
  <w:style w:type="paragraph" w:customStyle="1" w:styleId="BodyText1">
    <w:name w:val="Body Text1"/>
    <w:basedOn w:val="NoParagraphStyle"/>
    <w:uiPriority w:val="99"/>
    <w:rsid w:val="006C4BC8"/>
    <w:pPr>
      <w:tabs>
        <w:tab w:val="left" w:pos="283"/>
      </w:tabs>
      <w:suppressAutoHyphens/>
      <w:spacing w:before="57" w:after="57" w:line="280" w:lineRule="atLeast"/>
    </w:pPr>
    <w:rPr>
      <w:rFonts w:ascii="HelveticaNeueLTStd-Lt" w:hAnsi="HelveticaNeueLTStd-Lt" w:cs="HelveticaNeueLTStd-Lt"/>
      <w:sz w:val="20"/>
      <w:szCs w:val="20"/>
    </w:rPr>
  </w:style>
  <w:style w:type="paragraph" w:styleId="BodyTextFirstIndent">
    <w:name w:val="Body Text First Indent"/>
    <w:basedOn w:val="BodyText"/>
    <w:link w:val="BodyTextFirstIndentChar"/>
    <w:rsid w:val="006C4BC8"/>
    <w:pPr>
      <w:spacing w:before="0"/>
      <w:ind w:firstLine="360"/>
      <w:jc w:val="left"/>
    </w:pPr>
  </w:style>
  <w:style w:type="character" w:customStyle="1" w:styleId="BodyTextFirstIndentChar">
    <w:name w:val="Body Text First Indent Char"/>
    <w:basedOn w:val="BodyTextChar"/>
    <w:link w:val="BodyTextFirstIndent"/>
    <w:rsid w:val="006C4BC8"/>
    <w:rPr>
      <w:rFonts w:ascii="Calibri" w:hAnsi="Calibri"/>
      <w:sz w:val="22"/>
      <w:lang w:eastAsia="en-US"/>
    </w:rPr>
  </w:style>
  <w:style w:type="paragraph" w:styleId="TOC4">
    <w:name w:val="toc 4"/>
    <w:basedOn w:val="Normal"/>
    <w:next w:val="Normal"/>
    <w:autoRedefine/>
    <w:unhideWhenUsed/>
    <w:rsid w:val="00161B44"/>
    <w:pPr>
      <w:ind w:left="660"/>
    </w:pPr>
  </w:style>
  <w:style w:type="paragraph" w:styleId="TOC5">
    <w:name w:val="toc 5"/>
    <w:basedOn w:val="Normal"/>
    <w:next w:val="Normal"/>
    <w:autoRedefine/>
    <w:unhideWhenUsed/>
    <w:rsid w:val="00161B44"/>
    <w:pPr>
      <w:ind w:left="880"/>
    </w:pPr>
  </w:style>
  <w:style w:type="paragraph" w:styleId="TOC6">
    <w:name w:val="toc 6"/>
    <w:basedOn w:val="Normal"/>
    <w:next w:val="Normal"/>
    <w:autoRedefine/>
    <w:unhideWhenUsed/>
    <w:rsid w:val="00161B44"/>
    <w:pPr>
      <w:ind w:left="1100"/>
    </w:pPr>
  </w:style>
  <w:style w:type="paragraph" w:styleId="TOC7">
    <w:name w:val="toc 7"/>
    <w:basedOn w:val="Normal"/>
    <w:next w:val="Normal"/>
    <w:autoRedefine/>
    <w:unhideWhenUsed/>
    <w:rsid w:val="00161B44"/>
    <w:pPr>
      <w:ind w:left="1320"/>
    </w:pPr>
  </w:style>
  <w:style w:type="paragraph" w:styleId="TOC8">
    <w:name w:val="toc 8"/>
    <w:basedOn w:val="Normal"/>
    <w:next w:val="Normal"/>
    <w:autoRedefine/>
    <w:unhideWhenUsed/>
    <w:rsid w:val="00161B44"/>
    <w:pPr>
      <w:ind w:left="1540"/>
    </w:pPr>
  </w:style>
  <w:style w:type="paragraph" w:styleId="TOC9">
    <w:name w:val="toc 9"/>
    <w:basedOn w:val="Normal"/>
    <w:next w:val="Normal"/>
    <w:autoRedefine/>
    <w:unhideWhenUsed/>
    <w:rsid w:val="00161B44"/>
    <w:pPr>
      <w:ind w:left="17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iPriority="99"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iPriority="1" w:unhideWhenUsed="1"/>
    <w:lsdException w:name="Body Text" w:uiPriority="99"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843DD"/>
    <w:rPr>
      <w:rFonts w:ascii="Calibri" w:hAnsi="Calibri"/>
      <w:sz w:val="22"/>
      <w:lang w:eastAsia="en-US"/>
    </w:rPr>
  </w:style>
  <w:style w:type="paragraph" w:styleId="Heading1">
    <w:name w:val="heading 1"/>
    <w:next w:val="BodyText"/>
    <w:qFormat/>
    <w:rsid w:val="00F0239F"/>
    <w:pPr>
      <w:keepNext/>
      <w:keepLines/>
      <w:pageBreakBefore/>
      <w:numPr>
        <w:numId w:val="31"/>
      </w:numPr>
      <w:spacing w:before="360"/>
      <w:outlineLvl w:val="0"/>
    </w:pPr>
    <w:rPr>
      <w:rFonts w:ascii="Calibri" w:hAnsi="Calibri"/>
      <w:b/>
      <w:color w:val="002776"/>
      <w:kern w:val="28"/>
      <w:sz w:val="56"/>
      <w:lang w:eastAsia="en-US"/>
    </w:rPr>
  </w:style>
  <w:style w:type="paragraph" w:styleId="Heading2">
    <w:name w:val="heading 2"/>
    <w:basedOn w:val="Normal"/>
    <w:next w:val="BodyText"/>
    <w:qFormat/>
    <w:rsid w:val="00F0239F"/>
    <w:pPr>
      <w:keepNext/>
      <w:numPr>
        <w:ilvl w:val="1"/>
        <w:numId w:val="31"/>
      </w:numPr>
      <w:tabs>
        <w:tab w:val="left" w:pos="851"/>
      </w:tabs>
      <w:spacing w:before="240"/>
      <w:outlineLvl w:val="1"/>
    </w:pPr>
    <w:rPr>
      <w:b/>
      <w:color w:val="00A1DE"/>
      <w:sz w:val="40"/>
      <w:szCs w:val="28"/>
    </w:rPr>
  </w:style>
  <w:style w:type="paragraph" w:styleId="Heading3">
    <w:name w:val="heading 3"/>
    <w:basedOn w:val="Normal"/>
    <w:next w:val="BodyText"/>
    <w:qFormat/>
    <w:rsid w:val="00F0239F"/>
    <w:pPr>
      <w:keepNext/>
      <w:numPr>
        <w:ilvl w:val="2"/>
        <w:numId w:val="31"/>
      </w:numPr>
      <w:spacing w:before="240"/>
      <w:outlineLvl w:val="2"/>
    </w:pPr>
    <w:rPr>
      <w:color w:val="00A1DE"/>
      <w:sz w:val="28"/>
    </w:rPr>
  </w:style>
  <w:style w:type="paragraph" w:styleId="Heading4">
    <w:name w:val="heading 4"/>
    <w:basedOn w:val="Normal"/>
    <w:next w:val="BodyText"/>
    <w:qFormat/>
    <w:rsid w:val="00F0239F"/>
    <w:pPr>
      <w:keepNext/>
      <w:numPr>
        <w:ilvl w:val="3"/>
        <w:numId w:val="31"/>
      </w:numPr>
      <w:spacing w:before="180" w:after="60"/>
      <w:outlineLvl w:val="3"/>
    </w:pPr>
    <w:rPr>
      <w:b/>
      <w:color w:val="00A1DE"/>
      <w:sz w:val="24"/>
      <w:szCs w:val="24"/>
    </w:rPr>
  </w:style>
  <w:style w:type="paragraph" w:styleId="Heading5">
    <w:name w:val="heading 5"/>
    <w:basedOn w:val="Normal"/>
    <w:next w:val="BodyText"/>
    <w:qFormat/>
    <w:rsid w:val="00AC4800"/>
    <w:pPr>
      <w:keepNext/>
      <w:numPr>
        <w:ilvl w:val="4"/>
        <w:numId w:val="31"/>
      </w:numPr>
      <w:pBdr>
        <w:top w:val="single" w:sz="12" w:space="5" w:color="931638"/>
        <w:left w:val="single" w:sz="12" w:space="5" w:color="931638"/>
        <w:bottom w:val="single" w:sz="12" w:space="5" w:color="931638"/>
        <w:right w:val="single" w:sz="12" w:space="5" w:color="931638"/>
      </w:pBdr>
      <w:shd w:val="clear" w:color="auto" w:fill="931638"/>
      <w:ind w:right="284"/>
      <w:outlineLvl w:val="4"/>
    </w:pPr>
    <w:rPr>
      <w:b/>
      <w:color w:val="FFFFFF"/>
      <w:szCs w:val="24"/>
    </w:rPr>
  </w:style>
  <w:style w:type="paragraph" w:styleId="Heading6">
    <w:name w:val="heading 6"/>
    <w:basedOn w:val="Normal"/>
    <w:next w:val="BodyText"/>
    <w:qFormat/>
    <w:rsid w:val="00AC4800"/>
    <w:pPr>
      <w:outlineLvl w:val="5"/>
    </w:pPr>
    <w:rPr>
      <w:rFonts w:ascii="Arial Bold" w:hAnsi="Arial Bold"/>
      <w:b/>
      <w:color w:val="931638"/>
      <w:szCs w:val="22"/>
    </w:rPr>
  </w:style>
  <w:style w:type="paragraph" w:styleId="Heading7">
    <w:name w:val="heading 7"/>
    <w:basedOn w:val="Normal"/>
    <w:next w:val="BodyText"/>
    <w:qFormat/>
    <w:rsid w:val="00AC4800"/>
    <w:pPr>
      <w:outlineLvl w:val="6"/>
    </w:pPr>
    <w:rPr>
      <w:color w:val="931638"/>
      <w:szCs w:val="24"/>
    </w:rPr>
  </w:style>
  <w:style w:type="paragraph" w:styleId="Heading8">
    <w:name w:val="heading 8"/>
    <w:basedOn w:val="Normal"/>
    <w:next w:val="BodyText"/>
    <w:qFormat/>
    <w:rsid w:val="00AC4800"/>
    <w:pPr>
      <w:spacing w:before="180"/>
      <w:outlineLvl w:val="7"/>
    </w:pPr>
    <w:rPr>
      <w:color w:val="931638"/>
    </w:rPr>
  </w:style>
  <w:style w:type="paragraph" w:styleId="Heading9">
    <w:name w:val="heading 9"/>
    <w:basedOn w:val="Normal"/>
    <w:next w:val="BodyText"/>
    <w:qFormat/>
    <w:rsid w:val="00AC4800"/>
    <w:pPr>
      <w:spacing w:before="180"/>
      <w:outlineLvl w:val="8"/>
    </w:pPr>
    <w:rPr>
      <w:color w:val="9316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t1,Body,Body Text1 Char"/>
    <w:basedOn w:val="Normal"/>
    <w:link w:val="BodyTextChar"/>
    <w:uiPriority w:val="99"/>
    <w:qFormat/>
    <w:rsid w:val="002539EC"/>
    <w:pPr>
      <w:spacing w:before="240"/>
      <w:jc w:val="both"/>
    </w:pPr>
  </w:style>
  <w:style w:type="paragraph" w:customStyle="1" w:styleId="TableHeadingLeft">
    <w:name w:val="Table Heading Left"/>
    <w:basedOn w:val="Normal"/>
    <w:qFormat/>
    <w:rsid w:val="00AC4800"/>
    <w:pPr>
      <w:keepNext/>
      <w:keepLines/>
      <w:spacing w:before="20" w:after="20"/>
    </w:pPr>
    <w:rPr>
      <w:b/>
      <w:color w:val="002776"/>
    </w:rPr>
  </w:style>
  <w:style w:type="paragraph" w:customStyle="1" w:styleId="TableHeadingRight">
    <w:name w:val="Table Heading Right"/>
    <w:basedOn w:val="Normal"/>
    <w:qFormat/>
    <w:rsid w:val="00AC4800"/>
    <w:pPr>
      <w:keepNext/>
      <w:keepLines/>
      <w:spacing w:before="20" w:after="20"/>
      <w:jc w:val="right"/>
    </w:pPr>
    <w:rPr>
      <w:b/>
      <w:color w:val="002776"/>
    </w:rPr>
  </w:style>
  <w:style w:type="paragraph" w:customStyle="1" w:styleId="SingleLeft">
    <w:name w:val="Single Left"/>
    <w:basedOn w:val="Normal"/>
    <w:qFormat/>
    <w:rsid w:val="009114B5"/>
    <w:pPr>
      <w:jc w:val="both"/>
    </w:pPr>
  </w:style>
  <w:style w:type="paragraph" w:customStyle="1" w:styleId="TabletextCentre">
    <w:name w:val="Table text Centre"/>
    <w:basedOn w:val="Normal"/>
    <w:qFormat/>
    <w:rsid w:val="00AC4800"/>
    <w:pPr>
      <w:spacing w:before="60"/>
      <w:jc w:val="center"/>
    </w:pPr>
    <w:rPr>
      <w:rFonts w:cs="Arial"/>
      <w:sz w:val="20"/>
    </w:rPr>
  </w:style>
  <w:style w:type="paragraph" w:customStyle="1" w:styleId="TabletextRight">
    <w:name w:val="Table text Right"/>
    <w:basedOn w:val="Normal"/>
    <w:qFormat/>
    <w:rsid w:val="00AC4800"/>
    <w:pPr>
      <w:spacing w:before="60"/>
      <w:jc w:val="right"/>
    </w:pPr>
    <w:rPr>
      <w:sz w:val="20"/>
    </w:rPr>
  </w:style>
  <w:style w:type="paragraph" w:customStyle="1" w:styleId="IndentParaGreySource">
    <w:name w:val="Indent Para Grey Source"/>
    <w:basedOn w:val="IndentParaGrey"/>
    <w:qFormat/>
    <w:rsid w:val="00AC4800"/>
    <w:pPr>
      <w:keepNext w:val="0"/>
    </w:pPr>
    <w:rPr>
      <w:rFonts w:cs="Arial"/>
      <w:sz w:val="18"/>
    </w:rPr>
  </w:style>
  <w:style w:type="paragraph" w:customStyle="1" w:styleId="IndentParaGrey">
    <w:name w:val="Indent Para Grey"/>
    <w:basedOn w:val="IndentPara"/>
    <w:next w:val="Normal"/>
    <w:rsid w:val="00AC4800"/>
    <w:pPr>
      <w:keepNext/>
      <w:keepLines/>
      <w:pBdr>
        <w:top w:val="single" w:sz="8" w:space="5" w:color="002776"/>
        <w:left w:val="single" w:sz="8" w:space="5" w:color="002776"/>
        <w:bottom w:val="single" w:sz="8" w:space="5" w:color="002776"/>
        <w:right w:val="single" w:sz="8" w:space="5" w:color="002776"/>
      </w:pBdr>
      <w:shd w:val="solid" w:color="E1E1E1" w:fill="C0C0C0"/>
      <w:spacing w:after="240"/>
    </w:pPr>
    <w:rPr>
      <w:color w:val="000000"/>
    </w:rPr>
  </w:style>
  <w:style w:type="paragraph" w:customStyle="1" w:styleId="IndentPara">
    <w:name w:val="Indent Para"/>
    <w:basedOn w:val="Normal"/>
    <w:next w:val="BodyText"/>
    <w:rsid w:val="00AC4800"/>
    <w:pPr>
      <w:spacing w:before="240"/>
      <w:ind w:left="567" w:right="567"/>
      <w:jc w:val="both"/>
    </w:pPr>
  </w:style>
  <w:style w:type="paragraph" w:customStyle="1" w:styleId="IndentParaGreyBullet">
    <w:name w:val="Indent Para Grey Bullet"/>
    <w:basedOn w:val="IndentParaGrey"/>
    <w:qFormat/>
    <w:rsid w:val="00AC4800"/>
    <w:pPr>
      <w:numPr>
        <w:numId w:val="10"/>
      </w:numPr>
      <w:tabs>
        <w:tab w:val="left" w:pos="1134"/>
      </w:tabs>
      <w:spacing w:after="60"/>
    </w:pPr>
    <w:rPr>
      <w:rFonts w:cs="Arial"/>
    </w:rPr>
  </w:style>
  <w:style w:type="paragraph" w:styleId="Header">
    <w:name w:val="header"/>
    <w:basedOn w:val="Normal"/>
    <w:link w:val="HeaderChar"/>
    <w:rsid w:val="00F35BC0"/>
    <w:pPr>
      <w:jc w:val="right"/>
    </w:pPr>
    <w:rPr>
      <w:color w:val="595959"/>
    </w:rPr>
  </w:style>
  <w:style w:type="paragraph" w:customStyle="1" w:styleId="BoldPara">
    <w:name w:val="Bold Para"/>
    <w:basedOn w:val="Normal"/>
    <w:next w:val="BodyText"/>
    <w:link w:val="BoldParaChar"/>
    <w:rsid w:val="00AC4800"/>
    <w:pPr>
      <w:spacing w:before="240"/>
      <w:jc w:val="both"/>
    </w:pPr>
    <w:rPr>
      <w:b/>
      <w:color w:val="002776"/>
      <w:szCs w:val="24"/>
    </w:rPr>
  </w:style>
  <w:style w:type="character" w:styleId="PageNumber">
    <w:name w:val="page number"/>
    <w:basedOn w:val="DefaultParagraphFont"/>
    <w:rsid w:val="00A200CF"/>
    <w:rPr>
      <w:rFonts w:ascii="Calibri" w:hAnsi="Calibri"/>
      <w:color w:val="auto"/>
      <w:sz w:val="18"/>
      <w:szCs w:val="18"/>
    </w:rPr>
  </w:style>
  <w:style w:type="paragraph" w:customStyle="1" w:styleId="Bullet1">
    <w:name w:val="Bullet 1"/>
    <w:basedOn w:val="Normal"/>
    <w:link w:val="Bullet1Char"/>
    <w:rsid w:val="00003CCA"/>
    <w:pPr>
      <w:numPr>
        <w:numId w:val="6"/>
      </w:numPr>
      <w:spacing w:before="60"/>
      <w:jc w:val="both"/>
    </w:pPr>
    <w:rPr>
      <w:rFonts w:cs="Arial"/>
      <w:lang w:eastAsia="en-AU"/>
    </w:rPr>
  </w:style>
  <w:style w:type="paragraph" w:customStyle="1" w:styleId="BoxedHighlight">
    <w:name w:val="Boxed Highlight"/>
    <w:basedOn w:val="IndentPara"/>
    <w:next w:val="BodyText"/>
    <w:rsid w:val="006B29A4"/>
    <w:pPr>
      <w:pBdr>
        <w:top w:val="single" w:sz="18" w:space="5" w:color="002776"/>
        <w:left w:val="single" w:sz="18" w:space="5" w:color="002776"/>
        <w:bottom w:val="single" w:sz="18" w:space="5" w:color="002776"/>
        <w:right w:val="single" w:sz="18" w:space="5" w:color="002776"/>
      </w:pBdr>
      <w:contextualSpacing/>
    </w:pPr>
    <w:rPr>
      <w:rFonts w:cs="Arial"/>
      <w:color w:val="002776"/>
      <w:szCs w:val="24"/>
    </w:rPr>
  </w:style>
  <w:style w:type="paragraph" w:customStyle="1" w:styleId="Disclaimer">
    <w:name w:val="Disclaimer"/>
    <w:basedOn w:val="Normal"/>
    <w:rsid w:val="00A200CF"/>
    <w:rPr>
      <w:rFonts w:ascii="Swis721 Md BT" w:hAnsi="Swis721 Md BT"/>
      <w:b/>
      <w:color w:val="000000"/>
      <w:sz w:val="16"/>
      <w:szCs w:val="16"/>
    </w:rPr>
  </w:style>
  <w:style w:type="character" w:styleId="FootnoteReference">
    <w:name w:val="footnote reference"/>
    <w:basedOn w:val="DefaultParagraphFont"/>
    <w:semiHidden/>
    <w:rsid w:val="002F4274"/>
    <w:rPr>
      <w:rFonts w:ascii="Arial" w:hAnsi="Arial"/>
      <w:sz w:val="18"/>
      <w:szCs w:val="24"/>
      <w:vertAlign w:val="superscript"/>
    </w:rPr>
  </w:style>
  <w:style w:type="table" w:customStyle="1" w:styleId="TableAE">
    <w:name w:val="Table AE"/>
    <w:basedOn w:val="TableNormal"/>
    <w:uiPriority w:val="99"/>
    <w:rsid w:val="00A82926"/>
    <w:rPr>
      <w:rFonts w:ascii="Arial" w:hAnsi="Arial"/>
    </w:rPr>
    <w:tblPr>
      <w:jc w:val="center"/>
      <w:tblBorders>
        <w:bottom w:val="single" w:sz="12" w:space="0" w:color="002776"/>
      </w:tblBorders>
    </w:tblPr>
    <w:trPr>
      <w:cantSplit/>
      <w:jc w:val="center"/>
    </w:trPr>
    <w:tblStylePr w:type="firstRow">
      <w:tblPr/>
      <w:tcPr>
        <w:tcBorders>
          <w:top w:val="single" w:sz="12" w:space="0" w:color="002776"/>
          <w:left w:val="nil"/>
          <w:bottom w:val="single" w:sz="8" w:space="0" w:color="002776"/>
          <w:right w:val="nil"/>
          <w:insideH w:val="nil"/>
          <w:insideV w:val="nil"/>
          <w:tl2br w:val="nil"/>
          <w:tr2bl w:val="nil"/>
        </w:tcBorders>
      </w:tcPr>
    </w:tblStylePr>
  </w:style>
  <w:style w:type="paragraph" w:customStyle="1" w:styleId="IndentParaBurgundy">
    <w:name w:val="Indent Para Burgundy"/>
    <w:basedOn w:val="IndentParaDarkGrey"/>
    <w:next w:val="Normal"/>
    <w:rsid w:val="00AC4800"/>
    <w:pPr>
      <w:keepNext/>
      <w:keepLines/>
      <w:pBdr>
        <w:top w:val="single" w:sz="8" w:space="5" w:color="002776"/>
        <w:left w:val="single" w:sz="8" w:space="5" w:color="002776"/>
        <w:bottom w:val="single" w:sz="8" w:space="5" w:color="002776"/>
        <w:right w:val="single" w:sz="8" w:space="5" w:color="002776"/>
      </w:pBdr>
      <w:shd w:val="clear" w:color="808080" w:fill="002776"/>
    </w:pPr>
  </w:style>
  <w:style w:type="paragraph" w:customStyle="1" w:styleId="IndentQuote">
    <w:name w:val="Indent Quote"/>
    <w:basedOn w:val="Normal"/>
    <w:next w:val="Normal"/>
    <w:rsid w:val="00AC4800"/>
    <w:pPr>
      <w:tabs>
        <w:tab w:val="left" w:pos="1134"/>
      </w:tabs>
      <w:spacing w:before="240"/>
      <w:ind w:left="567" w:right="567"/>
      <w:jc w:val="both"/>
    </w:pPr>
    <w:rPr>
      <w:i/>
      <w:color w:val="595959"/>
    </w:rPr>
  </w:style>
  <w:style w:type="paragraph" w:customStyle="1" w:styleId="TableHeadingCentre">
    <w:name w:val="Table Heading Centre"/>
    <w:basedOn w:val="Normal"/>
    <w:rsid w:val="00AC4800"/>
    <w:pPr>
      <w:keepNext/>
      <w:keepLines/>
      <w:spacing w:before="20" w:after="20"/>
      <w:jc w:val="center"/>
    </w:pPr>
    <w:rPr>
      <w:b/>
      <w:color w:val="002776"/>
      <w:szCs w:val="22"/>
    </w:rPr>
  </w:style>
  <w:style w:type="paragraph" w:customStyle="1" w:styleId="Equation">
    <w:name w:val="Equation"/>
    <w:basedOn w:val="Normal"/>
    <w:next w:val="Normal"/>
    <w:rsid w:val="00AC4800"/>
    <w:pPr>
      <w:spacing w:before="240"/>
      <w:jc w:val="center"/>
    </w:pPr>
    <w:rPr>
      <w:rFonts w:ascii="Times New Roman" w:hAnsi="Times New Roman"/>
      <w:i/>
      <w:sz w:val="24"/>
      <w:szCs w:val="24"/>
    </w:rPr>
  </w:style>
  <w:style w:type="paragraph" w:customStyle="1" w:styleId="Contents-Major">
    <w:name w:val="Contents - Major"/>
    <w:basedOn w:val="Normal"/>
    <w:rsid w:val="006B29A4"/>
    <w:pPr>
      <w:keepNext/>
      <w:spacing w:after="200"/>
    </w:pPr>
    <w:rPr>
      <w:color w:val="002776"/>
      <w:sz w:val="56"/>
      <w:szCs w:val="32"/>
    </w:rPr>
  </w:style>
  <w:style w:type="paragraph" w:customStyle="1" w:styleId="Reference">
    <w:name w:val="Reference"/>
    <w:basedOn w:val="Normal"/>
    <w:rsid w:val="00F002DB"/>
    <w:pPr>
      <w:spacing w:before="240" w:after="240"/>
      <w:ind w:left="567" w:hanging="567"/>
    </w:pPr>
  </w:style>
  <w:style w:type="paragraph" w:styleId="TOC1">
    <w:name w:val="toc 1"/>
    <w:basedOn w:val="Normal"/>
    <w:next w:val="Normal"/>
    <w:uiPriority w:val="39"/>
    <w:rsid w:val="00AC4800"/>
    <w:pPr>
      <w:tabs>
        <w:tab w:val="left" w:pos="567"/>
        <w:tab w:val="right" w:leader="dot" w:pos="8505"/>
      </w:tabs>
      <w:spacing w:before="120"/>
    </w:pPr>
    <w:rPr>
      <w:rFonts w:cs="Arial"/>
      <w:szCs w:val="22"/>
    </w:rPr>
  </w:style>
  <w:style w:type="paragraph" w:styleId="TOC2">
    <w:name w:val="toc 2"/>
    <w:basedOn w:val="Normal"/>
    <w:next w:val="Normal"/>
    <w:uiPriority w:val="39"/>
    <w:rsid w:val="00AC4800"/>
    <w:pPr>
      <w:tabs>
        <w:tab w:val="left" w:pos="1134"/>
        <w:tab w:val="right" w:leader="dot" w:pos="8505"/>
      </w:tabs>
      <w:spacing w:before="60"/>
      <w:ind w:left="1134" w:right="567" w:hanging="567"/>
    </w:pPr>
    <w:rPr>
      <w:noProof/>
      <w:sz w:val="20"/>
    </w:rPr>
  </w:style>
  <w:style w:type="paragraph" w:styleId="TOC3">
    <w:name w:val="toc 3"/>
    <w:basedOn w:val="Normal"/>
    <w:next w:val="Normal"/>
    <w:autoRedefine/>
    <w:uiPriority w:val="39"/>
    <w:unhideWhenUsed/>
    <w:rsid w:val="00AC4800"/>
    <w:pPr>
      <w:tabs>
        <w:tab w:val="left" w:pos="1985"/>
        <w:tab w:val="right" w:leader="dot" w:pos="8505"/>
      </w:tabs>
      <w:spacing w:before="60" w:after="100" w:line="276" w:lineRule="auto"/>
      <w:ind w:left="2268" w:hanging="1134"/>
    </w:pPr>
    <w:rPr>
      <w:rFonts w:asciiTheme="minorHAnsi" w:eastAsiaTheme="minorHAnsi" w:hAnsiTheme="minorHAnsi" w:cstheme="minorBidi"/>
      <w:sz w:val="20"/>
      <w:szCs w:val="22"/>
    </w:rPr>
  </w:style>
  <w:style w:type="character" w:styleId="Hyperlink">
    <w:name w:val="Hyperlink"/>
    <w:basedOn w:val="DefaultParagraphFont"/>
    <w:uiPriority w:val="99"/>
    <w:rsid w:val="00D52DE2"/>
  </w:style>
  <w:style w:type="paragraph" w:customStyle="1" w:styleId="FooterOdd">
    <w:name w:val="Footer Odd"/>
    <w:basedOn w:val="Normal"/>
    <w:qFormat/>
    <w:rsid w:val="00F35BC0"/>
    <w:pPr>
      <w:framePr w:hSpace="181" w:wrap="around" w:vAnchor="text" w:hAnchor="page" w:x="10774" w:y="211"/>
      <w:shd w:val="solid" w:color="FFFFFF" w:fill="FFFFFF"/>
      <w:spacing w:before="120"/>
      <w:jc w:val="right"/>
    </w:pPr>
    <w:rPr>
      <w:sz w:val="18"/>
    </w:rPr>
  </w:style>
  <w:style w:type="table" w:customStyle="1" w:styleId="TableGridWithTotals">
    <w:name w:val="Table Grid With Totals"/>
    <w:basedOn w:val="TableNormal"/>
    <w:rsid w:val="00A82926"/>
    <w:pPr>
      <w:keepNext/>
      <w:keepLines/>
      <w:spacing w:before="60"/>
    </w:pPr>
    <w:rPr>
      <w:rFonts w:ascii="Arial" w:hAnsi="Arial"/>
    </w:rPr>
    <w:tblPr/>
    <w:trPr>
      <w:cantSplit/>
    </w:trPr>
    <w:tblStylePr w:type="firstRow">
      <w:pPr>
        <w:wordWrap/>
        <w:spacing w:beforeLines="0" w:beforeAutospacing="0" w:afterLines="0" w:afterAutospacing="0" w:line="240" w:lineRule="auto"/>
        <w:ind w:leftChars="0" w:left="0" w:rightChars="0" w:right="0"/>
        <w:contextualSpacing/>
        <w:outlineLvl w:val="9"/>
      </w:pPr>
      <w:tblPr/>
      <w:tcPr>
        <w:tcBorders>
          <w:top w:val="single" w:sz="12" w:space="0" w:color="002776"/>
          <w:left w:val="nil"/>
          <w:bottom w:val="single" w:sz="8" w:space="0" w:color="002776"/>
          <w:right w:val="nil"/>
          <w:insideH w:val="nil"/>
          <w:insideV w:val="nil"/>
          <w:tl2br w:val="nil"/>
          <w:tr2bl w:val="nil"/>
        </w:tcBorders>
      </w:tcPr>
    </w:tblStylePr>
    <w:tblStylePr w:type="lastRow">
      <w:pPr>
        <w:wordWrap/>
        <w:spacing w:beforeLines="0" w:beforeAutospacing="0" w:afterLines="0" w:afterAutospacing="0"/>
        <w:ind w:leftChars="0" w:left="142" w:firstLineChars="0" w:firstLine="0"/>
      </w:pPr>
      <w:rPr>
        <w:rFonts w:ascii="Arial" w:hAnsi="Arial"/>
        <w:b/>
        <w:i w:val="0"/>
        <w:color w:val="931638"/>
        <w:sz w:val="20"/>
        <w:szCs w:val="20"/>
      </w:rPr>
      <w:tblPr/>
      <w:tcPr>
        <w:tcBorders>
          <w:top w:val="single" w:sz="12" w:space="0" w:color="002776"/>
          <w:left w:val="nil"/>
          <w:bottom w:val="single" w:sz="12" w:space="0" w:color="002776"/>
          <w:right w:val="nil"/>
          <w:insideH w:val="nil"/>
          <w:insideV w:val="nil"/>
          <w:tl2br w:val="nil"/>
          <w:tr2bl w:val="nil"/>
        </w:tcBorders>
      </w:tcPr>
    </w:tblStylePr>
  </w:style>
  <w:style w:type="paragraph" w:customStyle="1" w:styleId="NumberedList">
    <w:name w:val="Numbered List"/>
    <w:basedOn w:val="Normal"/>
    <w:rsid w:val="00003CCA"/>
    <w:pPr>
      <w:numPr>
        <w:numId w:val="12"/>
      </w:numPr>
      <w:spacing w:before="120"/>
      <w:jc w:val="both"/>
    </w:pPr>
    <w:rPr>
      <w:rFonts w:cs="Arial"/>
    </w:rPr>
  </w:style>
  <w:style w:type="paragraph" w:styleId="Caption">
    <w:name w:val="caption"/>
    <w:basedOn w:val="Normal"/>
    <w:next w:val="Normal"/>
    <w:qFormat/>
    <w:rsid w:val="0076674A"/>
    <w:pPr>
      <w:keepNext/>
      <w:keepLines/>
      <w:spacing w:before="240" w:after="240"/>
      <w:jc w:val="center"/>
    </w:pPr>
    <w:rPr>
      <w:b/>
      <w:bCs/>
      <w:color w:val="931638"/>
      <w:szCs w:val="22"/>
    </w:rPr>
  </w:style>
  <w:style w:type="paragraph" w:customStyle="1" w:styleId="Note">
    <w:name w:val="Note"/>
    <w:basedOn w:val="Normal"/>
    <w:rsid w:val="00A200CF"/>
    <w:pPr>
      <w:spacing w:before="60" w:after="120"/>
    </w:pPr>
    <w:rPr>
      <w:sz w:val="18"/>
    </w:rPr>
  </w:style>
  <w:style w:type="paragraph" w:customStyle="1" w:styleId="MajorHeading">
    <w:name w:val="Major Heading"/>
    <w:basedOn w:val="Normal"/>
    <w:next w:val="Normal"/>
    <w:rsid w:val="0084641B"/>
    <w:pPr>
      <w:pageBreakBefore/>
      <w:spacing w:after="120"/>
    </w:pPr>
    <w:rPr>
      <w:rFonts w:cs="Arial"/>
      <w:b/>
      <w:color w:val="002776"/>
      <w:sz w:val="56"/>
    </w:rPr>
  </w:style>
  <w:style w:type="paragraph" w:styleId="TableofFigures">
    <w:name w:val="table of figures"/>
    <w:basedOn w:val="Normal"/>
    <w:next w:val="Normal"/>
    <w:uiPriority w:val="99"/>
    <w:rsid w:val="00AC4800"/>
    <w:pPr>
      <w:tabs>
        <w:tab w:val="right" w:leader="dot" w:pos="8505"/>
      </w:tabs>
      <w:spacing w:before="60"/>
      <w:ind w:left="567" w:right="567" w:hanging="567"/>
    </w:pPr>
    <w:rPr>
      <w:szCs w:val="22"/>
    </w:rPr>
  </w:style>
  <w:style w:type="paragraph" w:customStyle="1" w:styleId="TabletextLeft">
    <w:name w:val="Table text Left"/>
    <w:basedOn w:val="Normal"/>
    <w:rsid w:val="00AC4800"/>
    <w:pPr>
      <w:spacing w:before="60"/>
    </w:pPr>
    <w:rPr>
      <w:sz w:val="20"/>
    </w:rPr>
  </w:style>
  <w:style w:type="table" w:customStyle="1" w:styleId="TableGridWithoutTotals">
    <w:name w:val="Table Grid Without Totals"/>
    <w:basedOn w:val="TableNormal"/>
    <w:rsid w:val="00AC4800"/>
    <w:pPr>
      <w:keepNext/>
      <w:keepLines/>
    </w:pPr>
    <w:rPr>
      <w:rFonts w:ascii="Arial" w:hAnsi="Arial"/>
    </w:rPr>
    <w:tblPr/>
    <w:trPr>
      <w:cantSplit/>
    </w:trPr>
    <w:tblStylePr w:type="firstRow">
      <w:pPr>
        <w:wordWrap/>
        <w:spacing w:beforeLines="0" w:beforeAutospacing="0" w:afterLines="0" w:afterAutospacing="0" w:line="240" w:lineRule="auto"/>
        <w:ind w:leftChars="0" w:left="0" w:rightChars="0" w:right="0"/>
        <w:contextualSpacing/>
        <w:outlineLvl w:val="9"/>
      </w:pPr>
      <w:tblPr/>
      <w:tcPr>
        <w:tcBorders>
          <w:top w:val="single" w:sz="18" w:space="0" w:color="931638"/>
          <w:left w:val="nil"/>
          <w:bottom w:val="single" w:sz="12" w:space="0" w:color="931638"/>
          <w:right w:val="nil"/>
          <w:insideH w:val="nil"/>
          <w:insideV w:val="nil"/>
          <w:tl2br w:val="nil"/>
          <w:tr2bl w:val="nil"/>
        </w:tcBorders>
      </w:tcPr>
    </w:tblStylePr>
    <w:tblStylePr w:type="lastRow">
      <w:pPr>
        <w:wordWrap/>
        <w:spacing w:beforeLines="0" w:beforeAutospacing="0" w:afterLines="0" w:afterAutospacing="0"/>
        <w:ind w:leftChars="0" w:left="0"/>
      </w:pPr>
      <w:tblPr/>
      <w:tcPr>
        <w:tcBorders>
          <w:top w:val="nil"/>
          <w:left w:val="nil"/>
          <w:bottom w:val="single" w:sz="12" w:space="0" w:color="931638"/>
          <w:right w:val="nil"/>
          <w:insideH w:val="nil"/>
          <w:insideV w:val="nil"/>
          <w:tl2br w:val="nil"/>
          <w:tr2bl w:val="nil"/>
        </w:tcBorders>
      </w:tcPr>
    </w:tblStylePr>
  </w:style>
  <w:style w:type="table" w:styleId="TableGrid">
    <w:name w:val="Table Grid"/>
    <w:basedOn w:val="TableNormal"/>
    <w:rsid w:val="00AC4800"/>
    <w:pPr>
      <w:jc w:val="both"/>
    </w:pPr>
    <w:tblPr/>
    <w:trPr>
      <w:cantSplit/>
    </w:trPr>
  </w:style>
  <w:style w:type="paragraph" w:customStyle="1" w:styleId="Tabletotals">
    <w:name w:val="Table totals"/>
    <w:basedOn w:val="Normal"/>
    <w:rsid w:val="00AC4800"/>
    <w:pPr>
      <w:keepNext/>
      <w:keepLines/>
      <w:ind w:left="142"/>
    </w:pPr>
  </w:style>
  <w:style w:type="table" w:customStyle="1" w:styleId="TableTwoHeadingRows">
    <w:name w:val="Table Two Heading Rows"/>
    <w:basedOn w:val="TableNormal"/>
    <w:rsid w:val="001D0FDF"/>
    <w:rPr>
      <w:rFonts w:ascii="Arial" w:hAnsi="Arial"/>
    </w:rPr>
    <w:tblPr/>
    <w:tblStylePr w:type="firstRow">
      <w:rPr>
        <w:rFonts w:ascii="Arial" w:hAnsi="Arial"/>
      </w:rPr>
      <w:tblPr/>
      <w:tcPr>
        <w:tcBorders>
          <w:top w:val="single" w:sz="12" w:space="0" w:color="002776"/>
          <w:left w:val="nil"/>
          <w:bottom w:val="nil"/>
          <w:right w:val="nil"/>
          <w:insideH w:val="nil"/>
          <w:insideV w:val="nil"/>
          <w:tl2br w:val="nil"/>
          <w:tr2bl w:val="nil"/>
        </w:tcBorders>
      </w:tcPr>
    </w:tblStylePr>
    <w:tblStylePr w:type="lastRow">
      <w:tblPr/>
      <w:tcPr>
        <w:tcBorders>
          <w:top w:val="nil"/>
          <w:left w:val="nil"/>
          <w:bottom w:val="single" w:sz="12" w:space="0" w:color="002776"/>
          <w:right w:val="nil"/>
          <w:insideH w:val="nil"/>
          <w:insideV w:val="nil"/>
          <w:tl2br w:val="nil"/>
          <w:tr2bl w:val="nil"/>
        </w:tcBorders>
      </w:tcPr>
    </w:tblStylePr>
  </w:style>
  <w:style w:type="paragraph" w:customStyle="1" w:styleId="FooterLeft">
    <w:name w:val="FooterLeft"/>
    <w:basedOn w:val="Normal"/>
    <w:rsid w:val="00F35BC0"/>
    <w:pPr>
      <w:ind w:left="-227" w:right="357"/>
    </w:pPr>
    <w:rPr>
      <w:sz w:val="18"/>
    </w:rPr>
  </w:style>
  <w:style w:type="paragraph" w:customStyle="1" w:styleId="Appendix">
    <w:name w:val="Appendix"/>
    <w:basedOn w:val="Normal"/>
    <w:next w:val="Normal"/>
    <w:rsid w:val="006B29A4"/>
    <w:pPr>
      <w:keepNext/>
      <w:pageBreakBefore/>
      <w:numPr>
        <w:numId w:val="14"/>
      </w:numPr>
      <w:spacing w:before="360" w:after="180"/>
    </w:pPr>
    <w:rPr>
      <w:b/>
      <w:color w:val="002776"/>
      <w:sz w:val="56"/>
      <w:szCs w:val="28"/>
    </w:rPr>
  </w:style>
  <w:style w:type="paragraph" w:customStyle="1" w:styleId="Source">
    <w:name w:val="Source"/>
    <w:basedOn w:val="Note"/>
    <w:qFormat/>
    <w:rsid w:val="00A2029E"/>
    <w:pPr>
      <w:spacing w:before="0"/>
    </w:pPr>
    <w:rPr>
      <w:rFonts w:cs="Arial"/>
    </w:rPr>
  </w:style>
  <w:style w:type="paragraph" w:customStyle="1" w:styleId="HeaderLine2">
    <w:name w:val="Header Line 2"/>
    <w:basedOn w:val="Header"/>
    <w:qFormat/>
    <w:rsid w:val="002E1173"/>
  </w:style>
  <w:style w:type="paragraph" w:customStyle="1" w:styleId="DisclaimerText">
    <w:name w:val="DisclaimerText"/>
    <w:basedOn w:val="Normal"/>
    <w:rsid w:val="00A200CF"/>
    <w:pPr>
      <w:spacing w:before="20"/>
      <w:jc w:val="both"/>
    </w:pPr>
    <w:rPr>
      <w:rFonts w:ascii="Swis721 Md BT" w:hAnsi="Swis721 Md BT"/>
      <w:color w:val="000000"/>
      <w:sz w:val="16"/>
      <w:szCs w:val="16"/>
    </w:rPr>
  </w:style>
  <w:style w:type="paragraph" w:customStyle="1" w:styleId="FooterLandscape">
    <w:name w:val="FooterLandscape"/>
    <w:basedOn w:val="Normal"/>
    <w:rsid w:val="00F35BC0"/>
    <w:pPr>
      <w:tabs>
        <w:tab w:val="right" w:pos="14031"/>
      </w:tabs>
      <w:ind w:left="-454" w:right="142"/>
    </w:pPr>
    <w:rPr>
      <w:rFonts w:ascii="Swis721 LtCn BT" w:hAnsi="Swis721 LtCn BT"/>
      <w:sz w:val="18"/>
    </w:rPr>
  </w:style>
  <w:style w:type="paragraph" w:customStyle="1" w:styleId="ReportTitle">
    <w:name w:val="Report Title"/>
    <w:basedOn w:val="Normal"/>
    <w:qFormat/>
    <w:rsid w:val="0092257D"/>
    <w:pPr>
      <w:framePr w:hSpace="181" w:wrap="around" w:vAnchor="page" w:hAnchor="margin" w:y="3403"/>
      <w:suppressOverlap/>
    </w:pPr>
    <w:rPr>
      <w:color w:val="002776"/>
      <w:sz w:val="72"/>
      <w:szCs w:val="56"/>
    </w:rPr>
  </w:style>
  <w:style w:type="paragraph" w:customStyle="1" w:styleId="SubHeading">
    <w:name w:val="Sub Heading"/>
    <w:basedOn w:val="Normal"/>
    <w:qFormat/>
    <w:rsid w:val="00A200CF"/>
    <w:pPr>
      <w:keepNext/>
      <w:spacing w:before="360" w:after="60"/>
    </w:pPr>
    <w:rPr>
      <w:rFonts w:cs="Arial"/>
      <w:b/>
      <w:color w:val="931638"/>
    </w:rPr>
  </w:style>
  <w:style w:type="character" w:styleId="Strong">
    <w:name w:val="Strong"/>
    <w:basedOn w:val="DefaultParagraphFont"/>
    <w:qFormat/>
    <w:rsid w:val="00FA566F"/>
    <w:rPr>
      <w:b/>
      <w:bCs/>
    </w:rPr>
  </w:style>
  <w:style w:type="character" w:styleId="Emphasis">
    <w:name w:val="Emphasis"/>
    <w:basedOn w:val="DefaultParagraphFont"/>
    <w:uiPriority w:val="20"/>
    <w:qFormat/>
    <w:rsid w:val="008603FE"/>
    <w:rPr>
      <w:i/>
      <w:iCs/>
    </w:rPr>
  </w:style>
  <w:style w:type="paragraph" w:styleId="CommentSubject">
    <w:name w:val="annotation subject"/>
    <w:basedOn w:val="Normal"/>
    <w:semiHidden/>
    <w:rsid w:val="008F4249"/>
    <w:rPr>
      <w:b/>
      <w:bCs/>
      <w:sz w:val="20"/>
    </w:rPr>
  </w:style>
  <w:style w:type="paragraph" w:styleId="Revision">
    <w:name w:val="Revision"/>
    <w:hidden/>
    <w:uiPriority w:val="99"/>
    <w:semiHidden/>
    <w:rsid w:val="00721EC7"/>
    <w:pPr>
      <w:spacing w:before="240"/>
    </w:pPr>
    <w:rPr>
      <w:rFonts w:ascii="Arial" w:hAnsi="Arial"/>
      <w:sz w:val="22"/>
      <w:lang w:eastAsia="en-US"/>
    </w:rPr>
  </w:style>
  <w:style w:type="paragraph" w:customStyle="1" w:styleId="Bullet2">
    <w:name w:val="Bullet 2"/>
    <w:basedOn w:val="Normal"/>
    <w:qFormat/>
    <w:rsid w:val="00F0239F"/>
    <w:pPr>
      <w:numPr>
        <w:numId w:val="7"/>
      </w:numPr>
      <w:spacing w:before="60"/>
      <w:jc w:val="both"/>
    </w:pPr>
  </w:style>
  <w:style w:type="paragraph" w:customStyle="1" w:styleId="Bullet3">
    <w:name w:val="Bullet 3"/>
    <w:basedOn w:val="Normal"/>
    <w:qFormat/>
    <w:rsid w:val="00F0239F"/>
    <w:pPr>
      <w:numPr>
        <w:numId w:val="8"/>
      </w:numPr>
      <w:spacing w:before="60"/>
      <w:ind w:left="1134" w:firstLine="567"/>
      <w:jc w:val="both"/>
    </w:pPr>
  </w:style>
  <w:style w:type="paragraph" w:customStyle="1" w:styleId="FooterSecurity">
    <w:name w:val="Footer Security"/>
    <w:basedOn w:val="Normal"/>
    <w:qFormat/>
    <w:rsid w:val="00F35BC0"/>
    <w:pPr>
      <w:jc w:val="center"/>
    </w:pPr>
    <w:rPr>
      <w:rFonts w:cs="Arial"/>
      <w:color w:val="7A7A78"/>
      <w:sz w:val="24"/>
      <w:szCs w:val="16"/>
    </w:rPr>
  </w:style>
  <w:style w:type="paragraph" w:customStyle="1" w:styleId="ReportDate">
    <w:name w:val="Report Date"/>
    <w:basedOn w:val="Normal"/>
    <w:qFormat/>
    <w:rsid w:val="00042200"/>
    <w:rPr>
      <w:color w:val="92D400"/>
      <w:sz w:val="28"/>
      <w:szCs w:val="28"/>
    </w:rPr>
  </w:style>
  <w:style w:type="paragraph" w:customStyle="1" w:styleId="ReportBy">
    <w:name w:val="Report By"/>
    <w:basedOn w:val="Normal"/>
    <w:qFormat/>
    <w:rsid w:val="00AE49C0"/>
    <w:pPr>
      <w:spacing w:line="360" w:lineRule="auto"/>
    </w:pPr>
    <w:rPr>
      <w:rFonts w:cs="Arial"/>
      <w:color w:val="931638"/>
      <w:sz w:val="24"/>
      <w:szCs w:val="28"/>
    </w:rPr>
  </w:style>
  <w:style w:type="paragraph" w:customStyle="1" w:styleId="ReportCompany">
    <w:name w:val="Report Company"/>
    <w:basedOn w:val="Normal"/>
    <w:qFormat/>
    <w:rsid w:val="0092257D"/>
    <w:rPr>
      <w:rFonts w:cs="Arial"/>
      <w:color w:val="92D400"/>
      <w:sz w:val="56"/>
      <w:szCs w:val="56"/>
    </w:rPr>
  </w:style>
  <w:style w:type="paragraph" w:customStyle="1" w:styleId="BodyText-Centred">
    <w:name w:val="BodyText - Centred"/>
    <w:basedOn w:val="Normal"/>
    <w:qFormat/>
    <w:rsid w:val="002539EC"/>
    <w:pPr>
      <w:spacing w:before="240"/>
      <w:jc w:val="center"/>
    </w:pPr>
    <w:rPr>
      <w:noProof/>
      <w:sz w:val="24"/>
      <w:lang w:eastAsia="en-AU"/>
    </w:rPr>
  </w:style>
  <w:style w:type="paragraph" w:customStyle="1" w:styleId="FooterLine1">
    <w:name w:val="Footer Line 1"/>
    <w:basedOn w:val="Normal"/>
    <w:qFormat/>
    <w:rsid w:val="00F35BC0"/>
    <w:pPr>
      <w:jc w:val="right"/>
    </w:pPr>
    <w:rPr>
      <w:sz w:val="18"/>
    </w:rPr>
  </w:style>
  <w:style w:type="paragraph" w:customStyle="1" w:styleId="Glossarytext">
    <w:name w:val="Glossary text"/>
    <w:basedOn w:val="Normal"/>
    <w:qFormat/>
    <w:rsid w:val="00AC4800"/>
    <w:pPr>
      <w:spacing w:before="120"/>
      <w:contextualSpacing/>
    </w:pPr>
    <w:rPr>
      <w:rFonts w:cs="Arial"/>
    </w:rPr>
  </w:style>
  <w:style w:type="paragraph" w:customStyle="1" w:styleId="GlossaryAbbreviation">
    <w:name w:val="Glossary Abbreviation"/>
    <w:basedOn w:val="Normal"/>
    <w:qFormat/>
    <w:rsid w:val="00AC4800"/>
    <w:pPr>
      <w:spacing w:before="120"/>
    </w:pPr>
    <w:rPr>
      <w:rFonts w:cs="Arial"/>
      <w:caps/>
    </w:rPr>
  </w:style>
  <w:style w:type="table" w:customStyle="1" w:styleId="TableAEGrey">
    <w:name w:val="Table AE Grey"/>
    <w:basedOn w:val="TableAE"/>
    <w:rsid w:val="00A82926"/>
    <w:tblPr>
      <w:tblBorders>
        <w:top w:val="single" w:sz="12" w:space="0" w:color="002776"/>
        <w:bottom w:val="none" w:sz="0" w:space="0" w:color="auto"/>
        <w:insideH w:val="single" w:sz="4" w:space="0" w:color="A6A6A6"/>
        <w:insideV w:val="single" w:sz="4" w:space="0" w:color="A6A6A6"/>
      </w:tblBorders>
    </w:tblPr>
    <w:tblStylePr w:type="firstRow">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tblPr/>
      <w:tcPr>
        <w:tcBorders>
          <w:top w:val="nil"/>
          <w:bottom w:val="single" w:sz="12" w:space="0" w:color="002776"/>
        </w:tcBorders>
      </w:tcPr>
    </w:tblStylePr>
  </w:style>
  <w:style w:type="paragraph" w:customStyle="1" w:styleId="ReportFooterSecurity">
    <w:name w:val="Report Footer Security"/>
    <w:basedOn w:val="FooterSecurity"/>
    <w:qFormat/>
    <w:rsid w:val="00BE3FA6"/>
    <w:rPr>
      <w:color w:val="931638"/>
    </w:rPr>
  </w:style>
  <w:style w:type="table" w:customStyle="1" w:styleId="TableAEGreyTotals">
    <w:name w:val="Table AE Grey Totals"/>
    <w:basedOn w:val="TableAEGrey"/>
    <w:rsid w:val="00A82926"/>
    <w:tblPr/>
    <w:tblStylePr w:type="firstRow">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tblPr/>
      <w:tcPr>
        <w:tcBorders>
          <w:top w:val="single" w:sz="12" w:space="0" w:color="002776"/>
          <w:left w:val="nil"/>
          <w:bottom w:val="single" w:sz="12" w:space="0" w:color="002776"/>
          <w:right w:val="nil"/>
          <w:insideH w:val="nil"/>
          <w:insideV w:val="single" w:sz="4" w:space="0" w:color="A6A6A6"/>
          <w:tl2br w:val="nil"/>
          <w:tr2bl w:val="nil"/>
        </w:tcBorders>
      </w:tcPr>
    </w:tblStylePr>
  </w:style>
  <w:style w:type="paragraph" w:customStyle="1" w:styleId="Glossary">
    <w:name w:val="Glossary"/>
    <w:basedOn w:val="Normal"/>
    <w:next w:val="BodyText"/>
    <w:qFormat/>
    <w:rsid w:val="000175EC"/>
    <w:pPr>
      <w:keepNext/>
      <w:spacing w:after="200"/>
    </w:pPr>
    <w:rPr>
      <w:b/>
      <w:color w:val="002776"/>
      <w:sz w:val="56"/>
    </w:rPr>
  </w:style>
  <w:style w:type="table" w:customStyle="1" w:styleId="TableAEGlossary">
    <w:name w:val="Table AE Glossary"/>
    <w:basedOn w:val="TableNormal"/>
    <w:uiPriority w:val="99"/>
    <w:qFormat/>
    <w:rsid w:val="00C22E9A"/>
    <w:tblPr>
      <w:tblBorders>
        <w:top w:val="single" w:sz="4" w:space="0" w:color="931638"/>
        <w:bottom w:val="single" w:sz="4" w:space="0" w:color="931638"/>
      </w:tblBorders>
    </w:tblPr>
    <w:tblStylePr w:type="firstRow">
      <w:tblPr/>
      <w:tcPr>
        <w:tcBorders>
          <w:top w:val="single" w:sz="4" w:space="0" w:color="002776"/>
          <w:bottom w:val="nil"/>
        </w:tcBorders>
      </w:tcPr>
    </w:tblStylePr>
    <w:tblStylePr w:type="lastRow">
      <w:tblPr/>
      <w:tcPr>
        <w:tcBorders>
          <w:bottom w:val="single" w:sz="4" w:space="0" w:color="002776"/>
        </w:tcBorders>
      </w:tcPr>
    </w:tblStylePr>
  </w:style>
  <w:style w:type="paragraph" w:customStyle="1" w:styleId="Contents-Minor">
    <w:name w:val="Contents - Minor"/>
    <w:basedOn w:val="Contents-Major"/>
    <w:qFormat/>
    <w:rsid w:val="006B29A4"/>
    <w:pPr>
      <w:spacing w:before="400"/>
    </w:pPr>
  </w:style>
  <w:style w:type="paragraph" w:customStyle="1" w:styleId="ReportBy0">
    <w:name w:val="ReportBy"/>
    <w:basedOn w:val="Normal"/>
    <w:qFormat/>
    <w:rsid w:val="00A200CF"/>
    <w:pPr>
      <w:spacing w:line="360" w:lineRule="auto"/>
    </w:pPr>
    <w:rPr>
      <w:rFonts w:cs="Arial"/>
      <w:color w:val="000000"/>
      <w:sz w:val="28"/>
      <w:szCs w:val="28"/>
    </w:rPr>
  </w:style>
  <w:style w:type="paragraph" w:customStyle="1" w:styleId="ReportDate0">
    <w:name w:val="ReportDate"/>
    <w:basedOn w:val="Normal"/>
    <w:rsid w:val="0092257D"/>
    <w:pPr>
      <w:spacing w:before="300"/>
      <w:ind w:right="1429"/>
    </w:pPr>
    <w:rPr>
      <w:color w:val="92D400"/>
      <w:sz w:val="52"/>
      <w:szCs w:val="24"/>
    </w:rPr>
  </w:style>
  <w:style w:type="paragraph" w:customStyle="1" w:styleId="Security">
    <w:name w:val="Security"/>
    <w:basedOn w:val="Normal"/>
    <w:qFormat/>
    <w:rsid w:val="00A200CF"/>
    <w:pPr>
      <w:jc w:val="center"/>
    </w:pPr>
    <w:rPr>
      <w:rFonts w:cs="Arial"/>
      <w:color w:val="7A7A78"/>
      <w:sz w:val="16"/>
      <w:szCs w:val="16"/>
    </w:rPr>
  </w:style>
  <w:style w:type="paragraph" w:customStyle="1" w:styleId="TableofContents">
    <w:name w:val="Table of Contents"/>
    <w:basedOn w:val="Normal"/>
    <w:rsid w:val="00AC4800"/>
    <w:pPr>
      <w:keepNext/>
      <w:spacing w:before="400" w:after="200"/>
    </w:pPr>
    <w:rPr>
      <w:b/>
      <w:color w:val="002776"/>
      <w:sz w:val="32"/>
      <w:szCs w:val="32"/>
    </w:rPr>
  </w:style>
  <w:style w:type="paragraph" w:styleId="Footer">
    <w:name w:val="footer"/>
    <w:basedOn w:val="Normal"/>
    <w:link w:val="FooterChar"/>
    <w:rsid w:val="00F35BC0"/>
    <w:pPr>
      <w:tabs>
        <w:tab w:val="center" w:pos="4513"/>
        <w:tab w:val="right" w:pos="9026"/>
      </w:tabs>
    </w:pPr>
    <w:rPr>
      <w:sz w:val="18"/>
    </w:rPr>
  </w:style>
  <w:style w:type="character" w:customStyle="1" w:styleId="FooterChar">
    <w:name w:val="Footer Char"/>
    <w:basedOn w:val="DefaultParagraphFont"/>
    <w:link w:val="Footer"/>
    <w:rsid w:val="00F35BC0"/>
    <w:rPr>
      <w:rFonts w:ascii="Calibri" w:hAnsi="Calibri"/>
      <w:sz w:val="18"/>
      <w:lang w:eastAsia="en-US"/>
    </w:rPr>
  </w:style>
  <w:style w:type="paragraph" w:customStyle="1" w:styleId="HeadingA">
    <w:name w:val="Heading A"/>
    <w:next w:val="BodyText"/>
    <w:rsid w:val="00AC4800"/>
    <w:pPr>
      <w:keepNext/>
      <w:keepLines/>
      <w:spacing w:before="120" w:after="60"/>
    </w:pPr>
    <w:rPr>
      <w:rFonts w:ascii="Calibri" w:hAnsi="Calibri"/>
      <w:b/>
      <w:color w:val="002776"/>
      <w:sz w:val="32"/>
      <w:szCs w:val="28"/>
      <w:lang w:eastAsia="en-US"/>
    </w:rPr>
  </w:style>
  <w:style w:type="paragraph" w:customStyle="1" w:styleId="HeadingB">
    <w:name w:val="Heading B"/>
    <w:basedOn w:val="HeadingA"/>
    <w:next w:val="BodyText"/>
    <w:rsid w:val="00AC4800"/>
    <w:pPr>
      <w:spacing w:before="240" w:after="0"/>
    </w:pPr>
    <w:rPr>
      <w:sz w:val="28"/>
      <w:szCs w:val="26"/>
    </w:rPr>
  </w:style>
  <w:style w:type="paragraph" w:customStyle="1" w:styleId="HeadingC">
    <w:name w:val="Heading C"/>
    <w:basedOn w:val="Normal"/>
    <w:next w:val="BodyText"/>
    <w:link w:val="HeadingCChar"/>
    <w:rsid w:val="00AC4800"/>
    <w:pPr>
      <w:keepNext/>
      <w:keepLines/>
      <w:spacing w:before="240"/>
    </w:pPr>
    <w:rPr>
      <w:b/>
      <w:color w:val="002776"/>
      <w:sz w:val="24"/>
      <w:szCs w:val="28"/>
    </w:rPr>
  </w:style>
  <w:style w:type="paragraph" w:customStyle="1" w:styleId="AlphabeticList">
    <w:name w:val="Alphabetic List"/>
    <w:basedOn w:val="Normal"/>
    <w:rsid w:val="00F0239F"/>
    <w:pPr>
      <w:numPr>
        <w:numId w:val="2"/>
      </w:numPr>
      <w:spacing w:before="120"/>
      <w:jc w:val="both"/>
    </w:pPr>
  </w:style>
  <w:style w:type="paragraph" w:customStyle="1" w:styleId="DashList">
    <w:name w:val="Dash List"/>
    <w:basedOn w:val="Normal"/>
    <w:rsid w:val="005D7965"/>
    <w:pPr>
      <w:numPr>
        <w:ilvl w:val="1"/>
        <w:numId w:val="1"/>
      </w:numPr>
      <w:spacing w:before="60"/>
    </w:pPr>
  </w:style>
  <w:style w:type="paragraph" w:customStyle="1" w:styleId="IndentParaDarkGrey">
    <w:name w:val="Indent Para Dark Grey"/>
    <w:basedOn w:val="IndentPara"/>
    <w:next w:val="Normal"/>
    <w:rsid w:val="00AC4800"/>
    <w:pPr>
      <w:pBdr>
        <w:top w:val="single" w:sz="8" w:space="5" w:color="827F77"/>
        <w:left w:val="single" w:sz="8" w:space="5" w:color="827F77"/>
        <w:bottom w:val="single" w:sz="8" w:space="5" w:color="827F77"/>
        <w:right w:val="single" w:sz="8" w:space="5" w:color="827F77"/>
      </w:pBdr>
      <w:shd w:val="clear" w:color="808080" w:fill="827F77"/>
      <w:spacing w:after="240"/>
    </w:pPr>
    <w:rPr>
      <w:b/>
      <w:color w:val="FFFFFF"/>
      <w:szCs w:val="24"/>
    </w:rPr>
  </w:style>
  <w:style w:type="paragraph" w:customStyle="1" w:styleId="TableNote">
    <w:name w:val="Table Note"/>
    <w:basedOn w:val="Normal"/>
    <w:link w:val="TableNoteChar"/>
    <w:rsid w:val="00AC4800"/>
    <w:pPr>
      <w:tabs>
        <w:tab w:val="left" w:pos="425"/>
      </w:tabs>
      <w:spacing w:before="60"/>
      <w:jc w:val="center"/>
    </w:pPr>
    <w:rPr>
      <w:sz w:val="18"/>
    </w:rPr>
  </w:style>
  <w:style w:type="paragraph" w:customStyle="1" w:styleId="IndentNumberedList">
    <w:name w:val="Indent Numbered List"/>
    <w:basedOn w:val="Normal"/>
    <w:rsid w:val="002539EC"/>
    <w:pPr>
      <w:numPr>
        <w:numId w:val="5"/>
      </w:numPr>
      <w:spacing w:before="60"/>
      <w:jc w:val="both"/>
    </w:pPr>
  </w:style>
  <w:style w:type="paragraph" w:customStyle="1" w:styleId="IndentAlphabeticList">
    <w:name w:val="Indent Alphabetic List"/>
    <w:basedOn w:val="Normal"/>
    <w:rsid w:val="002539EC"/>
    <w:pPr>
      <w:numPr>
        <w:numId w:val="3"/>
      </w:numPr>
      <w:tabs>
        <w:tab w:val="left" w:pos="1134"/>
      </w:tabs>
      <w:spacing w:before="60"/>
      <w:ind w:left="1134" w:hanging="567"/>
      <w:jc w:val="both"/>
    </w:pPr>
  </w:style>
  <w:style w:type="paragraph" w:styleId="FootnoteText">
    <w:name w:val="footnote text"/>
    <w:basedOn w:val="Normal"/>
    <w:link w:val="FootnoteTextChar"/>
    <w:rsid w:val="00D929F4"/>
    <w:pPr>
      <w:spacing w:before="120" w:after="60"/>
      <w:jc w:val="both"/>
    </w:pPr>
    <w:rPr>
      <w:rFonts w:asciiTheme="minorHAnsi" w:hAnsiTheme="minorHAnsi"/>
      <w:sz w:val="18"/>
    </w:rPr>
  </w:style>
  <w:style w:type="character" w:customStyle="1" w:styleId="FootnoteTextChar">
    <w:name w:val="Footnote Text Char"/>
    <w:basedOn w:val="DefaultParagraphFont"/>
    <w:link w:val="FootnoteText"/>
    <w:rsid w:val="00D929F4"/>
    <w:rPr>
      <w:rFonts w:asciiTheme="minorHAnsi" w:hAnsiTheme="minorHAnsi"/>
      <w:sz w:val="18"/>
      <w:lang w:eastAsia="en-US"/>
    </w:rPr>
  </w:style>
  <w:style w:type="character" w:customStyle="1" w:styleId="HeaderChar">
    <w:name w:val="Header Char"/>
    <w:basedOn w:val="DefaultParagraphFont"/>
    <w:link w:val="Header"/>
    <w:rsid w:val="00F35BC0"/>
    <w:rPr>
      <w:rFonts w:ascii="Calibri" w:hAnsi="Calibri"/>
      <w:color w:val="595959"/>
      <w:sz w:val="22"/>
      <w:lang w:eastAsia="en-US"/>
    </w:rPr>
  </w:style>
  <w:style w:type="table" w:customStyle="1" w:styleId="TableAETotals">
    <w:name w:val="Table AE Totals"/>
    <w:basedOn w:val="TableNormal"/>
    <w:rsid w:val="00A82926"/>
    <w:rPr>
      <w:rFonts w:ascii="Arial" w:hAnsi="Arial"/>
    </w:rPr>
    <w:tblPr>
      <w:tblBorders>
        <w:top w:val="single" w:sz="12" w:space="0" w:color="002776"/>
        <w:bottom w:val="single" w:sz="12" w:space="0" w:color="002776"/>
      </w:tblBorders>
    </w:tblPr>
    <w:tblStylePr w:type="firstRow">
      <w:tblPr/>
      <w:tcPr>
        <w:tcBorders>
          <w:top w:val="single" w:sz="12" w:space="0" w:color="002776"/>
          <w:left w:val="nil"/>
          <w:bottom w:val="single" w:sz="8" w:space="0" w:color="002776"/>
          <w:right w:val="nil"/>
          <w:insideH w:val="nil"/>
          <w:insideV w:val="nil"/>
          <w:tl2br w:val="nil"/>
          <w:tr2bl w:val="nil"/>
        </w:tcBorders>
      </w:tcPr>
    </w:tblStylePr>
    <w:tblStylePr w:type="lastRow">
      <w:tblPr/>
      <w:tcPr>
        <w:tcBorders>
          <w:top w:val="single" w:sz="12" w:space="0" w:color="002776"/>
          <w:left w:val="nil"/>
          <w:bottom w:val="single" w:sz="12" w:space="0" w:color="002776"/>
          <w:right w:val="nil"/>
          <w:insideH w:val="nil"/>
          <w:insideV w:val="nil"/>
          <w:tl2br w:val="nil"/>
          <w:tr2bl w:val="nil"/>
        </w:tcBorders>
      </w:tcPr>
    </w:tblStylePr>
  </w:style>
  <w:style w:type="paragraph" w:customStyle="1" w:styleId="AppendixTableCaption">
    <w:name w:val="Appendix Table Caption"/>
    <w:basedOn w:val="CaptionAE"/>
    <w:next w:val="BodyText"/>
    <w:qFormat/>
    <w:rsid w:val="00AC4800"/>
    <w:pPr>
      <w:numPr>
        <w:ilvl w:val="1"/>
        <w:numId w:val="14"/>
      </w:numPr>
    </w:pPr>
    <w:rPr>
      <w:color w:val="002776"/>
    </w:rPr>
  </w:style>
  <w:style w:type="paragraph" w:customStyle="1" w:styleId="AppendixChartCaption">
    <w:name w:val="Appendix Chart Caption"/>
    <w:basedOn w:val="CaptionAE"/>
    <w:next w:val="BodyText"/>
    <w:qFormat/>
    <w:rsid w:val="00AC4800"/>
    <w:pPr>
      <w:numPr>
        <w:ilvl w:val="2"/>
        <w:numId w:val="14"/>
      </w:numPr>
    </w:pPr>
    <w:rPr>
      <w:color w:val="002776"/>
    </w:rPr>
  </w:style>
  <w:style w:type="paragraph" w:customStyle="1" w:styleId="AppendixFigureCaption">
    <w:name w:val="Appendix Figure Caption"/>
    <w:basedOn w:val="CaptionAE"/>
    <w:next w:val="BodyText"/>
    <w:qFormat/>
    <w:rsid w:val="00AC4800"/>
    <w:pPr>
      <w:numPr>
        <w:ilvl w:val="3"/>
        <w:numId w:val="14"/>
      </w:numPr>
    </w:pPr>
    <w:rPr>
      <w:color w:val="002776"/>
    </w:rPr>
  </w:style>
  <w:style w:type="paragraph" w:customStyle="1" w:styleId="CaptionTable">
    <w:name w:val="Caption_Table"/>
    <w:basedOn w:val="CaptionAE"/>
    <w:next w:val="BodyText"/>
    <w:qFormat/>
    <w:rsid w:val="00AC4800"/>
    <w:pPr>
      <w:numPr>
        <w:ilvl w:val="6"/>
        <w:numId w:val="31"/>
      </w:numPr>
    </w:pPr>
    <w:rPr>
      <w:color w:val="002776"/>
    </w:rPr>
  </w:style>
  <w:style w:type="paragraph" w:customStyle="1" w:styleId="CaptionFigure">
    <w:name w:val="Caption_Figure"/>
    <w:basedOn w:val="CaptionTable"/>
    <w:next w:val="BodyText"/>
    <w:qFormat/>
    <w:rsid w:val="00AC4800"/>
    <w:pPr>
      <w:numPr>
        <w:ilvl w:val="8"/>
      </w:numPr>
      <w:ind w:left="0"/>
    </w:pPr>
    <w:rPr>
      <w:bCs/>
      <w:szCs w:val="22"/>
    </w:rPr>
  </w:style>
  <w:style w:type="paragraph" w:customStyle="1" w:styleId="CaptionChart">
    <w:name w:val="Caption_Chart"/>
    <w:basedOn w:val="CaptionFigure"/>
    <w:next w:val="BodyText"/>
    <w:qFormat/>
    <w:rsid w:val="00AC4800"/>
    <w:pPr>
      <w:numPr>
        <w:ilvl w:val="7"/>
      </w:numPr>
    </w:pPr>
  </w:style>
  <w:style w:type="paragraph" w:customStyle="1" w:styleId="ExecChartCaption">
    <w:name w:val="Exec Chart Caption"/>
    <w:basedOn w:val="CaptionAE"/>
    <w:next w:val="BodyText"/>
    <w:qFormat/>
    <w:rsid w:val="0084641B"/>
    <w:pPr>
      <w:numPr>
        <w:ilvl w:val="2"/>
        <w:numId w:val="11"/>
      </w:numPr>
    </w:pPr>
    <w:rPr>
      <w:color w:val="002776"/>
    </w:rPr>
  </w:style>
  <w:style w:type="paragraph" w:customStyle="1" w:styleId="ExecFigureCaption">
    <w:name w:val="Exec Figure Caption"/>
    <w:basedOn w:val="CaptionAE"/>
    <w:next w:val="BodyText"/>
    <w:qFormat/>
    <w:rsid w:val="0084641B"/>
    <w:pPr>
      <w:numPr>
        <w:ilvl w:val="3"/>
        <w:numId w:val="11"/>
      </w:numPr>
    </w:pPr>
    <w:rPr>
      <w:color w:val="002776"/>
    </w:rPr>
  </w:style>
  <w:style w:type="paragraph" w:customStyle="1" w:styleId="ExecTableCaption">
    <w:name w:val="Exec Table Caption"/>
    <w:basedOn w:val="CaptionAE"/>
    <w:next w:val="BodyText"/>
    <w:qFormat/>
    <w:rsid w:val="0084641B"/>
    <w:pPr>
      <w:numPr>
        <w:ilvl w:val="1"/>
        <w:numId w:val="11"/>
      </w:numPr>
    </w:pPr>
    <w:rPr>
      <w:color w:val="002776"/>
    </w:rPr>
  </w:style>
  <w:style w:type="paragraph" w:customStyle="1" w:styleId="CaptionAE">
    <w:name w:val="Caption AE"/>
    <w:basedOn w:val="Normal"/>
    <w:next w:val="BodyText"/>
    <w:rsid w:val="00215E92"/>
    <w:pPr>
      <w:keepNext/>
      <w:keepLines/>
      <w:spacing w:before="240" w:after="240"/>
      <w:jc w:val="center"/>
    </w:pPr>
    <w:rPr>
      <w:b/>
      <w:color w:val="931638"/>
    </w:rPr>
  </w:style>
  <w:style w:type="paragraph" w:customStyle="1" w:styleId="CVaddress">
    <w:name w:val="CV address"/>
    <w:rsid w:val="00FD5CAC"/>
    <w:rPr>
      <w:rFonts w:ascii="Calibri" w:hAnsi="Calibri"/>
      <w:color w:val="404040" w:themeColor="text1" w:themeTint="BF"/>
      <w:lang w:eastAsia="en-US"/>
    </w:rPr>
  </w:style>
  <w:style w:type="paragraph" w:customStyle="1" w:styleId="CVbullet">
    <w:name w:val="CV bullet"/>
    <w:basedOn w:val="Normal"/>
    <w:qFormat/>
    <w:rsid w:val="00FD5CAC"/>
    <w:pPr>
      <w:spacing w:after="60"/>
      <w:jc w:val="both"/>
    </w:pPr>
  </w:style>
  <w:style w:type="paragraph" w:customStyle="1" w:styleId="CVbulletindent">
    <w:name w:val="CV bullet indent"/>
    <w:basedOn w:val="Normal"/>
    <w:qFormat/>
    <w:rsid w:val="00FD5CAC"/>
    <w:pPr>
      <w:spacing w:after="60"/>
      <w:jc w:val="both"/>
    </w:pPr>
  </w:style>
  <w:style w:type="paragraph" w:customStyle="1" w:styleId="CVDate">
    <w:name w:val="CV Date"/>
    <w:basedOn w:val="CVaddress"/>
    <w:next w:val="Normal"/>
    <w:rsid w:val="00FD5CAC"/>
    <w:pPr>
      <w:keepNext/>
      <w:spacing w:before="60" w:after="60"/>
    </w:pPr>
    <w:rPr>
      <w:b/>
      <w:color w:val="931638"/>
      <w:sz w:val="22"/>
    </w:rPr>
  </w:style>
  <w:style w:type="paragraph" w:customStyle="1" w:styleId="CVDateExperience">
    <w:name w:val="CV Date Experience"/>
    <w:basedOn w:val="CVDate"/>
    <w:rsid w:val="00FD5CAC"/>
    <w:pPr>
      <w:spacing w:before="120" w:after="0"/>
    </w:pPr>
    <w:rPr>
      <w:sz w:val="24"/>
    </w:rPr>
  </w:style>
  <w:style w:type="paragraph" w:customStyle="1" w:styleId="CVHeadingB">
    <w:name w:val="CV Heading B"/>
    <w:basedOn w:val="HeadingA"/>
    <w:next w:val="Normal"/>
    <w:rsid w:val="00FD5CAC"/>
    <w:rPr>
      <w:sz w:val="28"/>
      <w:szCs w:val="26"/>
    </w:rPr>
  </w:style>
  <w:style w:type="paragraph" w:customStyle="1" w:styleId="CVHeadingC">
    <w:name w:val="CV Heading C"/>
    <w:basedOn w:val="Normal"/>
    <w:next w:val="Normal"/>
    <w:rsid w:val="00FD5CAC"/>
    <w:pPr>
      <w:keepNext/>
      <w:keepLines/>
      <w:spacing w:before="180"/>
    </w:pPr>
    <w:rPr>
      <w:b/>
      <w:color w:val="931638"/>
      <w:sz w:val="24"/>
      <w:szCs w:val="28"/>
    </w:rPr>
  </w:style>
  <w:style w:type="paragraph" w:customStyle="1" w:styleId="CVHeadingExperience">
    <w:name w:val="CV Heading Experience"/>
    <w:basedOn w:val="CVDate"/>
    <w:rsid w:val="00FD5CAC"/>
    <w:pPr>
      <w:spacing w:before="120" w:after="0"/>
    </w:pPr>
    <w:rPr>
      <w:sz w:val="24"/>
    </w:rPr>
  </w:style>
  <w:style w:type="paragraph" w:customStyle="1" w:styleId="CVHeadingqualifications">
    <w:name w:val="CV Heading qualifications"/>
    <w:basedOn w:val="CVHeadingC"/>
    <w:rsid w:val="00FD5CAC"/>
    <w:pPr>
      <w:spacing w:before="0"/>
      <w:ind w:left="142"/>
    </w:pPr>
    <w:rPr>
      <w:bCs/>
      <w:szCs w:val="20"/>
    </w:rPr>
  </w:style>
  <w:style w:type="paragraph" w:customStyle="1" w:styleId="CVqualificationsawards">
    <w:name w:val="CV qualifications/awards"/>
    <w:basedOn w:val="CVaddress"/>
    <w:rsid w:val="00FD5CAC"/>
    <w:pPr>
      <w:ind w:left="142"/>
    </w:pPr>
    <w:rPr>
      <w:color w:val="auto"/>
    </w:rPr>
  </w:style>
  <w:style w:type="paragraph" w:customStyle="1" w:styleId="CVtabledate">
    <w:name w:val="CV table date"/>
    <w:basedOn w:val="Normal"/>
    <w:rsid w:val="00FD5CAC"/>
    <w:pPr>
      <w:jc w:val="both"/>
    </w:pPr>
    <w:rPr>
      <w:b/>
      <w:color w:val="262626" w:themeColor="text1" w:themeTint="D9"/>
    </w:rPr>
  </w:style>
  <w:style w:type="paragraph" w:customStyle="1" w:styleId="CVTableText">
    <w:name w:val="CV Table Text"/>
    <w:basedOn w:val="CVaddress"/>
    <w:rsid w:val="00FD5CAC"/>
    <w:rPr>
      <w:color w:val="auto"/>
      <w:sz w:val="22"/>
    </w:rPr>
  </w:style>
  <w:style w:type="character" w:customStyle="1" w:styleId="Boldword">
    <w:name w:val="Bold word"/>
    <w:basedOn w:val="DefaultParagraphFont"/>
    <w:uiPriority w:val="1"/>
    <w:qFormat/>
    <w:rsid w:val="00E843DD"/>
    <w:rPr>
      <w:rFonts w:ascii="Calibri" w:hAnsi="Calibri"/>
      <w:b/>
      <w:color w:val="002776"/>
      <w:sz w:val="22"/>
      <w:lang w:eastAsia="en-AU"/>
    </w:rPr>
  </w:style>
  <w:style w:type="paragraph" w:styleId="BalloonText">
    <w:name w:val="Balloon Text"/>
    <w:basedOn w:val="Normal"/>
    <w:link w:val="BalloonTextChar"/>
    <w:rsid w:val="00CB7948"/>
    <w:rPr>
      <w:rFonts w:ascii="Tahoma" w:hAnsi="Tahoma" w:cs="Tahoma"/>
      <w:sz w:val="16"/>
      <w:szCs w:val="16"/>
    </w:rPr>
  </w:style>
  <w:style w:type="character" w:customStyle="1" w:styleId="BalloonTextChar">
    <w:name w:val="Balloon Text Char"/>
    <w:basedOn w:val="DefaultParagraphFont"/>
    <w:link w:val="BalloonText"/>
    <w:rsid w:val="00CB7948"/>
    <w:rPr>
      <w:rFonts w:ascii="Tahoma" w:hAnsi="Tahoma" w:cs="Tahoma"/>
      <w:sz w:val="16"/>
      <w:szCs w:val="16"/>
      <w:lang w:eastAsia="en-US"/>
    </w:rPr>
  </w:style>
  <w:style w:type="character" w:customStyle="1" w:styleId="BodyTextChar">
    <w:name w:val="Body Text Char"/>
    <w:aliases w:val="bt Char,t1 Char,Body Char,Body Text1 Char Char"/>
    <w:basedOn w:val="DefaultParagraphFont"/>
    <w:link w:val="BodyText"/>
    <w:uiPriority w:val="99"/>
    <w:rsid w:val="0034223A"/>
    <w:rPr>
      <w:rFonts w:ascii="Calibri" w:hAnsi="Calibri"/>
      <w:sz w:val="22"/>
      <w:lang w:eastAsia="en-US"/>
    </w:rPr>
  </w:style>
  <w:style w:type="character" w:customStyle="1" w:styleId="BoldParaChar">
    <w:name w:val="Bold Para Char"/>
    <w:basedOn w:val="DefaultParagraphFont"/>
    <w:link w:val="BoldPara"/>
    <w:locked/>
    <w:rsid w:val="0034223A"/>
    <w:rPr>
      <w:rFonts w:ascii="Calibri" w:hAnsi="Calibri"/>
      <w:b/>
      <w:color w:val="002776"/>
      <w:sz w:val="22"/>
      <w:szCs w:val="24"/>
      <w:lang w:eastAsia="en-US"/>
    </w:rPr>
  </w:style>
  <w:style w:type="paragraph" w:customStyle="1" w:styleId="Addressdetails">
    <w:name w:val="Address details"/>
    <w:basedOn w:val="Normal"/>
    <w:link w:val="AddressdetailsChar"/>
    <w:rsid w:val="00042200"/>
    <w:pPr>
      <w:spacing w:before="85" w:line="180" w:lineRule="atLeast"/>
    </w:pPr>
    <w:rPr>
      <w:rFonts w:ascii="Arial" w:hAnsi="Arial"/>
      <w:sz w:val="15"/>
      <w:szCs w:val="24"/>
    </w:rPr>
  </w:style>
  <w:style w:type="character" w:customStyle="1" w:styleId="AddressdetailsChar">
    <w:name w:val="Address details Char"/>
    <w:basedOn w:val="DefaultParagraphFont"/>
    <w:link w:val="Addressdetails"/>
    <w:rsid w:val="00042200"/>
    <w:rPr>
      <w:rFonts w:ascii="Arial" w:hAnsi="Arial"/>
      <w:sz w:val="15"/>
      <w:szCs w:val="24"/>
      <w:lang w:eastAsia="en-US"/>
    </w:rPr>
  </w:style>
  <w:style w:type="paragraph" w:customStyle="1" w:styleId="Bodycopy">
    <w:name w:val="Body copy"/>
    <w:basedOn w:val="Normal"/>
    <w:link w:val="BodycopyChar"/>
    <w:rsid w:val="00042200"/>
    <w:pPr>
      <w:spacing w:after="113" w:line="240" w:lineRule="atLeast"/>
      <w:jc w:val="both"/>
    </w:pPr>
    <w:rPr>
      <w:rFonts w:ascii="Arial" w:hAnsi="Arial"/>
      <w:sz w:val="20"/>
      <w:szCs w:val="24"/>
    </w:rPr>
  </w:style>
  <w:style w:type="paragraph" w:customStyle="1" w:styleId="BodycopyBold">
    <w:name w:val="Body copy Bold"/>
    <w:basedOn w:val="Normal"/>
    <w:semiHidden/>
    <w:rsid w:val="00042200"/>
    <w:pPr>
      <w:spacing w:after="113" w:line="240" w:lineRule="atLeast"/>
    </w:pPr>
    <w:rPr>
      <w:rFonts w:ascii="Times New Roman" w:hAnsi="Times New Roman"/>
      <w:b/>
      <w:sz w:val="20"/>
      <w:szCs w:val="24"/>
    </w:rPr>
  </w:style>
  <w:style w:type="character" w:customStyle="1" w:styleId="BodycopyChar">
    <w:name w:val="Body copy Char"/>
    <w:basedOn w:val="DefaultParagraphFont"/>
    <w:link w:val="Bodycopy"/>
    <w:rsid w:val="00042200"/>
    <w:rPr>
      <w:rFonts w:ascii="Arial" w:hAnsi="Arial"/>
      <w:szCs w:val="24"/>
      <w:lang w:eastAsia="en-US"/>
    </w:rPr>
  </w:style>
  <w:style w:type="paragraph" w:customStyle="1" w:styleId="SignOffTextwithImage">
    <w:name w:val="SignOff Text with Image"/>
    <w:basedOn w:val="Normal"/>
    <w:rsid w:val="00042200"/>
    <w:pPr>
      <w:spacing w:before="480"/>
    </w:pPr>
  </w:style>
  <w:style w:type="paragraph" w:customStyle="1" w:styleId="SignOffText">
    <w:name w:val="SignOff Text"/>
    <w:basedOn w:val="Normal"/>
    <w:next w:val="Normal"/>
    <w:rsid w:val="00042200"/>
    <w:pPr>
      <w:spacing w:before="480" w:after="1120"/>
    </w:pPr>
  </w:style>
  <w:style w:type="paragraph" w:customStyle="1" w:styleId="Table">
    <w:name w:val="Table"/>
    <w:basedOn w:val="Bodycopy"/>
    <w:next w:val="Bodycopy"/>
    <w:qFormat/>
    <w:rsid w:val="00AC4800"/>
    <w:pPr>
      <w:spacing w:before="240" w:after="0" w:line="240" w:lineRule="auto"/>
      <w:ind w:left="851"/>
    </w:pPr>
    <w:rPr>
      <w:rFonts w:ascii="Calibri" w:hAnsi="Calibri"/>
      <w:b/>
      <w:sz w:val="22"/>
    </w:rPr>
  </w:style>
  <w:style w:type="paragraph" w:customStyle="1" w:styleId="Box">
    <w:name w:val="Box"/>
    <w:basedOn w:val="Bodycopy"/>
    <w:next w:val="Bodycopy"/>
    <w:qFormat/>
    <w:rsid w:val="00AC4800"/>
    <w:pPr>
      <w:spacing w:before="240" w:after="0" w:line="240" w:lineRule="auto"/>
      <w:ind w:left="851"/>
    </w:pPr>
    <w:rPr>
      <w:rFonts w:ascii="Calibri" w:hAnsi="Calibri"/>
      <w:b/>
      <w:sz w:val="22"/>
    </w:rPr>
  </w:style>
  <w:style w:type="paragraph" w:customStyle="1" w:styleId="Keypoint">
    <w:name w:val="Keypoint"/>
    <w:basedOn w:val="Normal"/>
    <w:qFormat/>
    <w:rsid w:val="006B29A4"/>
    <w:pPr>
      <w:spacing w:before="600"/>
    </w:pPr>
    <w:rPr>
      <w:rFonts w:ascii="Times New Roman" w:hAnsi="Times New Roman"/>
      <w:color w:val="72C7E7"/>
      <w:sz w:val="32"/>
      <w:szCs w:val="24"/>
    </w:rPr>
  </w:style>
  <w:style w:type="paragraph" w:customStyle="1" w:styleId="BSubheading-Bluedk">
    <w:name w:val="B Subheading - Blue dk"/>
    <w:basedOn w:val="Normal"/>
    <w:qFormat/>
    <w:rsid w:val="006B29A4"/>
    <w:pPr>
      <w:spacing w:before="320" w:after="120"/>
      <w:outlineLvl w:val="1"/>
    </w:pPr>
    <w:rPr>
      <w:rFonts w:ascii="Arial" w:eastAsia="Times" w:hAnsi="Arial"/>
      <w:b/>
      <w:noProof/>
      <w:color w:val="002776"/>
      <w:sz w:val="24"/>
      <w:szCs w:val="24"/>
      <w:lang w:val="en-US"/>
    </w:rPr>
  </w:style>
  <w:style w:type="paragraph" w:customStyle="1" w:styleId="DHeading">
    <w:name w:val="DHeading"/>
    <w:basedOn w:val="Normal"/>
    <w:rsid w:val="006B29A4"/>
    <w:pPr>
      <w:autoSpaceDE w:val="0"/>
      <w:autoSpaceDN w:val="0"/>
      <w:adjustRightInd w:val="0"/>
      <w:spacing w:before="360" w:after="120"/>
      <w:ind w:firstLine="11"/>
    </w:pPr>
    <w:rPr>
      <w:rFonts w:eastAsia="Times"/>
      <w:color w:val="333F7F"/>
      <w:sz w:val="44"/>
      <w:szCs w:val="44"/>
      <w:lang w:val="en-GB"/>
    </w:rPr>
  </w:style>
  <w:style w:type="paragraph" w:customStyle="1" w:styleId="DBody">
    <w:name w:val="DBody"/>
    <w:basedOn w:val="Normal"/>
    <w:rsid w:val="006B29A4"/>
    <w:pPr>
      <w:spacing w:before="60" w:after="113"/>
    </w:pPr>
    <w:rPr>
      <w:rFonts w:ascii="Arial" w:eastAsia="Times" w:hAnsi="Arial"/>
      <w:color w:val="333F7F"/>
      <w:sz w:val="20"/>
      <w:lang w:val="en-GB"/>
    </w:rPr>
  </w:style>
  <w:style w:type="paragraph" w:customStyle="1" w:styleId="DBullet">
    <w:name w:val="DBullet"/>
    <w:basedOn w:val="ListBullet"/>
    <w:rsid w:val="006B29A4"/>
    <w:pPr>
      <w:numPr>
        <w:numId w:val="15"/>
      </w:numPr>
      <w:spacing w:before="40" w:after="40"/>
      <w:contextualSpacing w:val="0"/>
    </w:pPr>
    <w:rPr>
      <w:rFonts w:ascii="Arial" w:hAnsi="Arial"/>
      <w:color w:val="333D7F"/>
      <w:szCs w:val="24"/>
    </w:rPr>
  </w:style>
  <w:style w:type="paragraph" w:styleId="ListBullet">
    <w:name w:val="List Bullet"/>
    <w:basedOn w:val="Normal"/>
    <w:rsid w:val="006B29A4"/>
    <w:pPr>
      <w:numPr>
        <w:numId w:val="13"/>
      </w:numPr>
      <w:contextualSpacing/>
    </w:pPr>
  </w:style>
  <w:style w:type="paragraph" w:customStyle="1" w:styleId="DBluedk">
    <w:name w:val="D Blue dk"/>
    <w:basedOn w:val="Normal"/>
    <w:qFormat/>
    <w:rsid w:val="007257C4"/>
    <w:pPr>
      <w:spacing w:before="320" w:after="120"/>
      <w:outlineLvl w:val="1"/>
    </w:pPr>
    <w:rPr>
      <w:rFonts w:ascii="Arial" w:eastAsia="Times" w:hAnsi="Arial"/>
      <w:b/>
      <w:noProof/>
      <w:color w:val="002776"/>
      <w:sz w:val="24"/>
      <w:szCs w:val="24"/>
      <w:lang w:val="en-US"/>
    </w:rPr>
  </w:style>
  <w:style w:type="character" w:styleId="CommentReference">
    <w:name w:val="annotation reference"/>
    <w:basedOn w:val="DefaultParagraphFont"/>
    <w:rsid w:val="001D0FDF"/>
    <w:rPr>
      <w:sz w:val="16"/>
      <w:szCs w:val="16"/>
    </w:rPr>
  </w:style>
  <w:style w:type="paragraph" w:styleId="ListParagraph">
    <w:name w:val="List Paragraph"/>
    <w:basedOn w:val="Normal"/>
    <w:uiPriority w:val="34"/>
    <w:qFormat/>
    <w:rsid w:val="001D0FDF"/>
    <w:pPr>
      <w:ind w:left="720"/>
      <w:contextualSpacing/>
    </w:pPr>
    <w:rPr>
      <w:rFonts w:ascii="Times New Roman" w:hAnsi="Times New Roman"/>
      <w:sz w:val="24"/>
      <w:szCs w:val="24"/>
    </w:rPr>
  </w:style>
  <w:style w:type="paragraph" w:customStyle="1" w:styleId="Legalstatement">
    <w:name w:val="Legal statement"/>
    <w:basedOn w:val="Footer"/>
    <w:rsid w:val="001D0FDF"/>
    <w:pPr>
      <w:tabs>
        <w:tab w:val="clear" w:pos="4513"/>
        <w:tab w:val="clear" w:pos="9026"/>
        <w:tab w:val="right" w:pos="9356"/>
      </w:tabs>
      <w:spacing w:before="120"/>
    </w:pPr>
    <w:rPr>
      <w:rFonts w:ascii="Arial" w:hAnsi="Arial" w:cs="Arial"/>
      <w:color w:val="000000"/>
      <w:sz w:val="14"/>
      <w:szCs w:val="16"/>
    </w:rPr>
  </w:style>
  <w:style w:type="paragraph" w:styleId="CommentText">
    <w:name w:val="annotation text"/>
    <w:basedOn w:val="Normal"/>
    <w:link w:val="CommentTextChar"/>
    <w:rsid w:val="009C606D"/>
    <w:rPr>
      <w:sz w:val="20"/>
    </w:rPr>
  </w:style>
  <w:style w:type="character" w:customStyle="1" w:styleId="CommentTextChar">
    <w:name w:val="Comment Text Char"/>
    <w:basedOn w:val="DefaultParagraphFont"/>
    <w:link w:val="CommentText"/>
    <w:rsid w:val="009C606D"/>
    <w:rPr>
      <w:rFonts w:ascii="Calibri" w:hAnsi="Calibri"/>
      <w:lang w:eastAsia="en-US"/>
    </w:rPr>
  </w:style>
  <w:style w:type="character" w:customStyle="1" w:styleId="Bullet1Char">
    <w:name w:val="Bullet 1 Char"/>
    <w:basedOn w:val="DefaultParagraphFont"/>
    <w:link w:val="Bullet1"/>
    <w:rsid w:val="00B45B5C"/>
    <w:rPr>
      <w:rFonts w:ascii="Calibri" w:hAnsi="Calibri" w:cs="Arial"/>
      <w:sz w:val="22"/>
    </w:rPr>
  </w:style>
  <w:style w:type="character" w:customStyle="1" w:styleId="HeadingCChar">
    <w:name w:val="Heading C Char"/>
    <w:basedOn w:val="DefaultParagraphFont"/>
    <w:link w:val="HeadingC"/>
    <w:rsid w:val="00B45B5C"/>
    <w:rPr>
      <w:rFonts w:ascii="Calibri" w:hAnsi="Calibri"/>
      <w:b/>
      <w:color w:val="002776"/>
      <w:sz w:val="24"/>
      <w:szCs w:val="28"/>
      <w:lang w:eastAsia="en-US"/>
    </w:rPr>
  </w:style>
  <w:style w:type="character" w:customStyle="1" w:styleId="TableNoteChar">
    <w:name w:val="Table Note Char"/>
    <w:basedOn w:val="DefaultParagraphFont"/>
    <w:link w:val="TableNote"/>
    <w:rsid w:val="00B45B5C"/>
    <w:rPr>
      <w:rFonts w:ascii="Calibri" w:hAnsi="Calibri"/>
      <w:sz w:val="18"/>
      <w:lang w:eastAsia="en-US"/>
    </w:rPr>
  </w:style>
  <w:style w:type="paragraph" w:customStyle="1" w:styleId="Picture">
    <w:name w:val="Picture"/>
    <w:basedOn w:val="Normal"/>
    <w:next w:val="Normal"/>
    <w:rsid w:val="00B45B5C"/>
    <w:pPr>
      <w:spacing w:after="240"/>
      <w:jc w:val="center"/>
    </w:pPr>
    <w:rPr>
      <w:sz w:val="28"/>
      <w:szCs w:val="28"/>
    </w:rPr>
  </w:style>
  <w:style w:type="paragraph" w:customStyle="1" w:styleId="Default">
    <w:name w:val="Default"/>
    <w:rsid w:val="007730BE"/>
    <w:pPr>
      <w:autoSpaceDE w:val="0"/>
      <w:autoSpaceDN w:val="0"/>
      <w:adjustRightInd w:val="0"/>
    </w:pPr>
    <w:rPr>
      <w:rFonts w:ascii="Calibri" w:hAnsi="Calibri" w:cs="Calibri"/>
      <w:color w:val="000000"/>
      <w:sz w:val="24"/>
      <w:szCs w:val="24"/>
    </w:rPr>
  </w:style>
  <w:style w:type="character" w:customStyle="1" w:styleId="st1">
    <w:name w:val="st1"/>
    <w:basedOn w:val="DefaultParagraphFont"/>
    <w:rsid w:val="007730BE"/>
  </w:style>
  <w:style w:type="paragraph" w:customStyle="1" w:styleId="NoParagraphStyle">
    <w:name w:val="[No Paragraph Style]"/>
    <w:rsid w:val="006C4BC8"/>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GB"/>
    </w:rPr>
  </w:style>
  <w:style w:type="paragraph" w:customStyle="1" w:styleId="BodyText1">
    <w:name w:val="Body Text1"/>
    <w:basedOn w:val="NoParagraphStyle"/>
    <w:uiPriority w:val="99"/>
    <w:rsid w:val="006C4BC8"/>
    <w:pPr>
      <w:tabs>
        <w:tab w:val="left" w:pos="283"/>
      </w:tabs>
      <w:suppressAutoHyphens/>
      <w:spacing w:before="57" w:after="57" w:line="280" w:lineRule="atLeast"/>
    </w:pPr>
    <w:rPr>
      <w:rFonts w:ascii="HelveticaNeueLTStd-Lt" w:hAnsi="HelveticaNeueLTStd-Lt" w:cs="HelveticaNeueLTStd-Lt"/>
      <w:sz w:val="20"/>
      <w:szCs w:val="20"/>
    </w:rPr>
  </w:style>
  <w:style w:type="paragraph" w:styleId="BodyTextFirstIndent">
    <w:name w:val="Body Text First Indent"/>
    <w:basedOn w:val="BodyText"/>
    <w:link w:val="BodyTextFirstIndentChar"/>
    <w:rsid w:val="006C4BC8"/>
    <w:pPr>
      <w:spacing w:before="0"/>
      <w:ind w:firstLine="360"/>
      <w:jc w:val="left"/>
    </w:pPr>
  </w:style>
  <w:style w:type="character" w:customStyle="1" w:styleId="BodyTextFirstIndentChar">
    <w:name w:val="Body Text First Indent Char"/>
    <w:basedOn w:val="BodyTextChar"/>
    <w:link w:val="BodyTextFirstIndent"/>
    <w:rsid w:val="006C4BC8"/>
    <w:rPr>
      <w:rFonts w:ascii="Calibri" w:hAnsi="Calibri"/>
      <w:sz w:val="22"/>
      <w:lang w:eastAsia="en-US"/>
    </w:rPr>
  </w:style>
  <w:style w:type="paragraph" w:styleId="TOC4">
    <w:name w:val="toc 4"/>
    <w:basedOn w:val="Normal"/>
    <w:next w:val="Normal"/>
    <w:autoRedefine/>
    <w:unhideWhenUsed/>
    <w:rsid w:val="00161B44"/>
    <w:pPr>
      <w:ind w:left="660"/>
    </w:pPr>
  </w:style>
  <w:style w:type="paragraph" w:styleId="TOC5">
    <w:name w:val="toc 5"/>
    <w:basedOn w:val="Normal"/>
    <w:next w:val="Normal"/>
    <w:autoRedefine/>
    <w:unhideWhenUsed/>
    <w:rsid w:val="00161B44"/>
    <w:pPr>
      <w:ind w:left="880"/>
    </w:pPr>
  </w:style>
  <w:style w:type="paragraph" w:styleId="TOC6">
    <w:name w:val="toc 6"/>
    <w:basedOn w:val="Normal"/>
    <w:next w:val="Normal"/>
    <w:autoRedefine/>
    <w:unhideWhenUsed/>
    <w:rsid w:val="00161B44"/>
    <w:pPr>
      <w:ind w:left="1100"/>
    </w:pPr>
  </w:style>
  <w:style w:type="paragraph" w:styleId="TOC7">
    <w:name w:val="toc 7"/>
    <w:basedOn w:val="Normal"/>
    <w:next w:val="Normal"/>
    <w:autoRedefine/>
    <w:unhideWhenUsed/>
    <w:rsid w:val="00161B44"/>
    <w:pPr>
      <w:ind w:left="1320"/>
    </w:pPr>
  </w:style>
  <w:style w:type="paragraph" w:styleId="TOC8">
    <w:name w:val="toc 8"/>
    <w:basedOn w:val="Normal"/>
    <w:next w:val="Normal"/>
    <w:autoRedefine/>
    <w:unhideWhenUsed/>
    <w:rsid w:val="00161B44"/>
    <w:pPr>
      <w:ind w:left="1540"/>
    </w:pPr>
  </w:style>
  <w:style w:type="paragraph" w:styleId="TOC9">
    <w:name w:val="toc 9"/>
    <w:basedOn w:val="Normal"/>
    <w:next w:val="Normal"/>
    <w:autoRedefine/>
    <w:unhideWhenUsed/>
    <w:rsid w:val="00161B44"/>
    <w:pPr>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8003">
      <w:bodyDiv w:val="1"/>
      <w:marLeft w:val="0"/>
      <w:marRight w:val="0"/>
      <w:marTop w:val="0"/>
      <w:marBottom w:val="0"/>
      <w:divBdr>
        <w:top w:val="none" w:sz="0" w:space="0" w:color="auto"/>
        <w:left w:val="none" w:sz="0" w:space="0" w:color="auto"/>
        <w:bottom w:val="none" w:sz="0" w:space="0" w:color="auto"/>
        <w:right w:val="none" w:sz="0" w:space="0" w:color="auto"/>
      </w:divBdr>
    </w:div>
    <w:div w:id="87622417">
      <w:bodyDiv w:val="1"/>
      <w:marLeft w:val="0"/>
      <w:marRight w:val="0"/>
      <w:marTop w:val="0"/>
      <w:marBottom w:val="0"/>
      <w:divBdr>
        <w:top w:val="none" w:sz="0" w:space="0" w:color="auto"/>
        <w:left w:val="none" w:sz="0" w:space="0" w:color="auto"/>
        <w:bottom w:val="none" w:sz="0" w:space="0" w:color="auto"/>
        <w:right w:val="none" w:sz="0" w:space="0" w:color="auto"/>
      </w:divBdr>
    </w:div>
    <w:div w:id="92366908">
      <w:bodyDiv w:val="1"/>
      <w:marLeft w:val="0"/>
      <w:marRight w:val="0"/>
      <w:marTop w:val="0"/>
      <w:marBottom w:val="0"/>
      <w:divBdr>
        <w:top w:val="none" w:sz="0" w:space="0" w:color="auto"/>
        <w:left w:val="none" w:sz="0" w:space="0" w:color="auto"/>
        <w:bottom w:val="none" w:sz="0" w:space="0" w:color="auto"/>
        <w:right w:val="none" w:sz="0" w:space="0" w:color="auto"/>
      </w:divBdr>
    </w:div>
    <w:div w:id="104471727">
      <w:bodyDiv w:val="1"/>
      <w:marLeft w:val="0"/>
      <w:marRight w:val="0"/>
      <w:marTop w:val="0"/>
      <w:marBottom w:val="0"/>
      <w:divBdr>
        <w:top w:val="none" w:sz="0" w:space="0" w:color="auto"/>
        <w:left w:val="none" w:sz="0" w:space="0" w:color="auto"/>
        <w:bottom w:val="none" w:sz="0" w:space="0" w:color="auto"/>
        <w:right w:val="none" w:sz="0" w:space="0" w:color="auto"/>
      </w:divBdr>
    </w:div>
    <w:div w:id="193544637">
      <w:bodyDiv w:val="1"/>
      <w:marLeft w:val="0"/>
      <w:marRight w:val="0"/>
      <w:marTop w:val="0"/>
      <w:marBottom w:val="0"/>
      <w:divBdr>
        <w:top w:val="none" w:sz="0" w:space="0" w:color="auto"/>
        <w:left w:val="none" w:sz="0" w:space="0" w:color="auto"/>
        <w:bottom w:val="none" w:sz="0" w:space="0" w:color="auto"/>
        <w:right w:val="none" w:sz="0" w:space="0" w:color="auto"/>
      </w:divBdr>
    </w:div>
    <w:div w:id="229469010">
      <w:bodyDiv w:val="1"/>
      <w:marLeft w:val="0"/>
      <w:marRight w:val="0"/>
      <w:marTop w:val="0"/>
      <w:marBottom w:val="0"/>
      <w:divBdr>
        <w:top w:val="none" w:sz="0" w:space="0" w:color="auto"/>
        <w:left w:val="none" w:sz="0" w:space="0" w:color="auto"/>
        <w:bottom w:val="none" w:sz="0" w:space="0" w:color="auto"/>
        <w:right w:val="none" w:sz="0" w:space="0" w:color="auto"/>
      </w:divBdr>
    </w:div>
    <w:div w:id="277376587">
      <w:bodyDiv w:val="1"/>
      <w:marLeft w:val="0"/>
      <w:marRight w:val="0"/>
      <w:marTop w:val="0"/>
      <w:marBottom w:val="0"/>
      <w:divBdr>
        <w:top w:val="none" w:sz="0" w:space="0" w:color="auto"/>
        <w:left w:val="none" w:sz="0" w:space="0" w:color="auto"/>
        <w:bottom w:val="none" w:sz="0" w:space="0" w:color="auto"/>
        <w:right w:val="none" w:sz="0" w:space="0" w:color="auto"/>
      </w:divBdr>
    </w:div>
    <w:div w:id="304507780">
      <w:bodyDiv w:val="1"/>
      <w:marLeft w:val="0"/>
      <w:marRight w:val="0"/>
      <w:marTop w:val="0"/>
      <w:marBottom w:val="0"/>
      <w:divBdr>
        <w:top w:val="none" w:sz="0" w:space="0" w:color="auto"/>
        <w:left w:val="none" w:sz="0" w:space="0" w:color="auto"/>
        <w:bottom w:val="none" w:sz="0" w:space="0" w:color="auto"/>
        <w:right w:val="none" w:sz="0" w:space="0" w:color="auto"/>
      </w:divBdr>
    </w:div>
    <w:div w:id="334963713">
      <w:bodyDiv w:val="1"/>
      <w:marLeft w:val="0"/>
      <w:marRight w:val="0"/>
      <w:marTop w:val="0"/>
      <w:marBottom w:val="0"/>
      <w:divBdr>
        <w:top w:val="none" w:sz="0" w:space="0" w:color="auto"/>
        <w:left w:val="none" w:sz="0" w:space="0" w:color="auto"/>
        <w:bottom w:val="none" w:sz="0" w:space="0" w:color="auto"/>
        <w:right w:val="none" w:sz="0" w:space="0" w:color="auto"/>
      </w:divBdr>
    </w:div>
    <w:div w:id="398752829">
      <w:bodyDiv w:val="1"/>
      <w:marLeft w:val="0"/>
      <w:marRight w:val="0"/>
      <w:marTop w:val="0"/>
      <w:marBottom w:val="0"/>
      <w:divBdr>
        <w:top w:val="none" w:sz="0" w:space="0" w:color="auto"/>
        <w:left w:val="none" w:sz="0" w:space="0" w:color="auto"/>
        <w:bottom w:val="none" w:sz="0" w:space="0" w:color="auto"/>
        <w:right w:val="none" w:sz="0" w:space="0" w:color="auto"/>
      </w:divBdr>
    </w:div>
    <w:div w:id="440228894">
      <w:bodyDiv w:val="1"/>
      <w:marLeft w:val="0"/>
      <w:marRight w:val="0"/>
      <w:marTop w:val="0"/>
      <w:marBottom w:val="0"/>
      <w:divBdr>
        <w:top w:val="none" w:sz="0" w:space="0" w:color="auto"/>
        <w:left w:val="none" w:sz="0" w:space="0" w:color="auto"/>
        <w:bottom w:val="none" w:sz="0" w:space="0" w:color="auto"/>
        <w:right w:val="none" w:sz="0" w:space="0" w:color="auto"/>
      </w:divBdr>
    </w:div>
    <w:div w:id="470248920">
      <w:bodyDiv w:val="1"/>
      <w:marLeft w:val="0"/>
      <w:marRight w:val="0"/>
      <w:marTop w:val="0"/>
      <w:marBottom w:val="0"/>
      <w:divBdr>
        <w:top w:val="none" w:sz="0" w:space="0" w:color="auto"/>
        <w:left w:val="none" w:sz="0" w:space="0" w:color="auto"/>
        <w:bottom w:val="none" w:sz="0" w:space="0" w:color="auto"/>
        <w:right w:val="none" w:sz="0" w:space="0" w:color="auto"/>
      </w:divBdr>
    </w:div>
    <w:div w:id="492600937">
      <w:bodyDiv w:val="1"/>
      <w:marLeft w:val="0"/>
      <w:marRight w:val="0"/>
      <w:marTop w:val="0"/>
      <w:marBottom w:val="0"/>
      <w:divBdr>
        <w:top w:val="none" w:sz="0" w:space="0" w:color="auto"/>
        <w:left w:val="none" w:sz="0" w:space="0" w:color="auto"/>
        <w:bottom w:val="none" w:sz="0" w:space="0" w:color="auto"/>
        <w:right w:val="none" w:sz="0" w:space="0" w:color="auto"/>
      </w:divBdr>
    </w:div>
    <w:div w:id="502819571">
      <w:bodyDiv w:val="1"/>
      <w:marLeft w:val="0"/>
      <w:marRight w:val="0"/>
      <w:marTop w:val="0"/>
      <w:marBottom w:val="0"/>
      <w:divBdr>
        <w:top w:val="none" w:sz="0" w:space="0" w:color="auto"/>
        <w:left w:val="none" w:sz="0" w:space="0" w:color="auto"/>
        <w:bottom w:val="none" w:sz="0" w:space="0" w:color="auto"/>
        <w:right w:val="none" w:sz="0" w:space="0" w:color="auto"/>
      </w:divBdr>
    </w:div>
    <w:div w:id="506217740">
      <w:bodyDiv w:val="1"/>
      <w:marLeft w:val="0"/>
      <w:marRight w:val="0"/>
      <w:marTop w:val="0"/>
      <w:marBottom w:val="0"/>
      <w:divBdr>
        <w:top w:val="none" w:sz="0" w:space="0" w:color="auto"/>
        <w:left w:val="none" w:sz="0" w:space="0" w:color="auto"/>
        <w:bottom w:val="none" w:sz="0" w:space="0" w:color="auto"/>
        <w:right w:val="none" w:sz="0" w:space="0" w:color="auto"/>
      </w:divBdr>
    </w:div>
    <w:div w:id="543174424">
      <w:bodyDiv w:val="1"/>
      <w:marLeft w:val="0"/>
      <w:marRight w:val="0"/>
      <w:marTop w:val="0"/>
      <w:marBottom w:val="0"/>
      <w:divBdr>
        <w:top w:val="none" w:sz="0" w:space="0" w:color="auto"/>
        <w:left w:val="none" w:sz="0" w:space="0" w:color="auto"/>
        <w:bottom w:val="none" w:sz="0" w:space="0" w:color="auto"/>
        <w:right w:val="none" w:sz="0" w:space="0" w:color="auto"/>
      </w:divBdr>
    </w:div>
    <w:div w:id="643894628">
      <w:bodyDiv w:val="1"/>
      <w:marLeft w:val="0"/>
      <w:marRight w:val="0"/>
      <w:marTop w:val="0"/>
      <w:marBottom w:val="0"/>
      <w:divBdr>
        <w:top w:val="none" w:sz="0" w:space="0" w:color="auto"/>
        <w:left w:val="none" w:sz="0" w:space="0" w:color="auto"/>
        <w:bottom w:val="none" w:sz="0" w:space="0" w:color="auto"/>
        <w:right w:val="none" w:sz="0" w:space="0" w:color="auto"/>
      </w:divBdr>
    </w:div>
    <w:div w:id="677465310">
      <w:bodyDiv w:val="1"/>
      <w:marLeft w:val="0"/>
      <w:marRight w:val="0"/>
      <w:marTop w:val="0"/>
      <w:marBottom w:val="0"/>
      <w:divBdr>
        <w:top w:val="none" w:sz="0" w:space="0" w:color="auto"/>
        <w:left w:val="none" w:sz="0" w:space="0" w:color="auto"/>
        <w:bottom w:val="none" w:sz="0" w:space="0" w:color="auto"/>
        <w:right w:val="none" w:sz="0" w:space="0" w:color="auto"/>
      </w:divBdr>
    </w:div>
    <w:div w:id="678896775">
      <w:bodyDiv w:val="1"/>
      <w:marLeft w:val="0"/>
      <w:marRight w:val="0"/>
      <w:marTop w:val="0"/>
      <w:marBottom w:val="0"/>
      <w:divBdr>
        <w:top w:val="none" w:sz="0" w:space="0" w:color="auto"/>
        <w:left w:val="none" w:sz="0" w:space="0" w:color="auto"/>
        <w:bottom w:val="none" w:sz="0" w:space="0" w:color="auto"/>
        <w:right w:val="none" w:sz="0" w:space="0" w:color="auto"/>
      </w:divBdr>
    </w:div>
    <w:div w:id="705519608">
      <w:bodyDiv w:val="1"/>
      <w:marLeft w:val="0"/>
      <w:marRight w:val="0"/>
      <w:marTop w:val="0"/>
      <w:marBottom w:val="0"/>
      <w:divBdr>
        <w:top w:val="none" w:sz="0" w:space="0" w:color="auto"/>
        <w:left w:val="none" w:sz="0" w:space="0" w:color="auto"/>
        <w:bottom w:val="none" w:sz="0" w:space="0" w:color="auto"/>
        <w:right w:val="none" w:sz="0" w:space="0" w:color="auto"/>
      </w:divBdr>
    </w:div>
    <w:div w:id="776676827">
      <w:bodyDiv w:val="1"/>
      <w:marLeft w:val="0"/>
      <w:marRight w:val="0"/>
      <w:marTop w:val="0"/>
      <w:marBottom w:val="0"/>
      <w:divBdr>
        <w:top w:val="none" w:sz="0" w:space="0" w:color="auto"/>
        <w:left w:val="none" w:sz="0" w:space="0" w:color="auto"/>
        <w:bottom w:val="none" w:sz="0" w:space="0" w:color="auto"/>
        <w:right w:val="none" w:sz="0" w:space="0" w:color="auto"/>
      </w:divBdr>
    </w:div>
    <w:div w:id="820079039">
      <w:bodyDiv w:val="1"/>
      <w:marLeft w:val="0"/>
      <w:marRight w:val="0"/>
      <w:marTop w:val="0"/>
      <w:marBottom w:val="0"/>
      <w:divBdr>
        <w:top w:val="none" w:sz="0" w:space="0" w:color="auto"/>
        <w:left w:val="none" w:sz="0" w:space="0" w:color="auto"/>
        <w:bottom w:val="none" w:sz="0" w:space="0" w:color="auto"/>
        <w:right w:val="none" w:sz="0" w:space="0" w:color="auto"/>
      </w:divBdr>
    </w:div>
    <w:div w:id="859126995">
      <w:bodyDiv w:val="1"/>
      <w:marLeft w:val="0"/>
      <w:marRight w:val="0"/>
      <w:marTop w:val="0"/>
      <w:marBottom w:val="0"/>
      <w:divBdr>
        <w:top w:val="none" w:sz="0" w:space="0" w:color="auto"/>
        <w:left w:val="none" w:sz="0" w:space="0" w:color="auto"/>
        <w:bottom w:val="none" w:sz="0" w:space="0" w:color="auto"/>
        <w:right w:val="none" w:sz="0" w:space="0" w:color="auto"/>
      </w:divBdr>
    </w:div>
    <w:div w:id="865485428">
      <w:bodyDiv w:val="1"/>
      <w:marLeft w:val="0"/>
      <w:marRight w:val="0"/>
      <w:marTop w:val="0"/>
      <w:marBottom w:val="0"/>
      <w:divBdr>
        <w:top w:val="none" w:sz="0" w:space="0" w:color="auto"/>
        <w:left w:val="none" w:sz="0" w:space="0" w:color="auto"/>
        <w:bottom w:val="none" w:sz="0" w:space="0" w:color="auto"/>
        <w:right w:val="none" w:sz="0" w:space="0" w:color="auto"/>
      </w:divBdr>
    </w:div>
    <w:div w:id="875584344">
      <w:bodyDiv w:val="1"/>
      <w:marLeft w:val="0"/>
      <w:marRight w:val="0"/>
      <w:marTop w:val="0"/>
      <w:marBottom w:val="0"/>
      <w:divBdr>
        <w:top w:val="none" w:sz="0" w:space="0" w:color="auto"/>
        <w:left w:val="none" w:sz="0" w:space="0" w:color="auto"/>
        <w:bottom w:val="none" w:sz="0" w:space="0" w:color="auto"/>
        <w:right w:val="none" w:sz="0" w:space="0" w:color="auto"/>
      </w:divBdr>
    </w:div>
    <w:div w:id="926115052">
      <w:bodyDiv w:val="1"/>
      <w:marLeft w:val="0"/>
      <w:marRight w:val="0"/>
      <w:marTop w:val="0"/>
      <w:marBottom w:val="0"/>
      <w:divBdr>
        <w:top w:val="none" w:sz="0" w:space="0" w:color="auto"/>
        <w:left w:val="none" w:sz="0" w:space="0" w:color="auto"/>
        <w:bottom w:val="none" w:sz="0" w:space="0" w:color="auto"/>
        <w:right w:val="none" w:sz="0" w:space="0" w:color="auto"/>
      </w:divBdr>
    </w:div>
    <w:div w:id="1086852276">
      <w:bodyDiv w:val="1"/>
      <w:marLeft w:val="0"/>
      <w:marRight w:val="0"/>
      <w:marTop w:val="0"/>
      <w:marBottom w:val="0"/>
      <w:divBdr>
        <w:top w:val="none" w:sz="0" w:space="0" w:color="auto"/>
        <w:left w:val="none" w:sz="0" w:space="0" w:color="auto"/>
        <w:bottom w:val="none" w:sz="0" w:space="0" w:color="auto"/>
        <w:right w:val="none" w:sz="0" w:space="0" w:color="auto"/>
      </w:divBdr>
    </w:div>
    <w:div w:id="1089816146">
      <w:bodyDiv w:val="1"/>
      <w:marLeft w:val="0"/>
      <w:marRight w:val="0"/>
      <w:marTop w:val="0"/>
      <w:marBottom w:val="0"/>
      <w:divBdr>
        <w:top w:val="none" w:sz="0" w:space="0" w:color="auto"/>
        <w:left w:val="none" w:sz="0" w:space="0" w:color="auto"/>
        <w:bottom w:val="none" w:sz="0" w:space="0" w:color="auto"/>
        <w:right w:val="none" w:sz="0" w:space="0" w:color="auto"/>
      </w:divBdr>
    </w:div>
    <w:div w:id="1106541221">
      <w:bodyDiv w:val="1"/>
      <w:marLeft w:val="0"/>
      <w:marRight w:val="0"/>
      <w:marTop w:val="0"/>
      <w:marBottom w:val="0"/>
      <w:divBdr>
        <w:top w:val="none" w:sz="0" w:space="0" w:color="auto"/>
        <w:left w:val="none" w:sz="0" w:space="0" w:color="auto"/>
        <w:bottom w:val="none" w:sz="0" w:space="0" w:color="auto"/>
        <w:right w:val="none" w:sz="0" w:space="0" w:color="auto"/>
      </w:divBdr>
    </w:div>
    <w:div w:id="1127626221">
      <w:bodyDiv w:val="1"/>
      <w:marLeft w:val="0"/>
      <w:marRight w:val="0"/>
      <w:marTop w:val="0"/>
      <w:marBottom w:val="0"/>
      <w:divBdr>
        <w:top w:val="none" w:sz="0" w:space="0" w:color="auto"/>
        <w:left w:val="none" w:sz="0" w:space="0" w:color="auto"/>
        <w:bottom w:val="none" w:sz="0" w:space="0" w:color="auto"/>
        <w:right w:val="none" w:sz="0" w:space="0" w:color="auto"/>
      </w:divBdr>
    </w:div>
    <w:div w:id="1155225375">
      <w:bodyDiv w:val="1"/>
      <w:marLeft w:val="0"/>
      <w:marRight w:val="0"/>
      <w:marTop w:val="0"/>
      <w:marBottom w:val="0"/>
      <w:divBdr>
        <w:top w:val="none" w:sz="0" w:space="0" w:color="auto"/>
        <w:left w:val="none" w:sz="0" w:space="0" w:color="auto"/>
        <w:bottom w:val="none" w:sz="0" w:space="0" w:color="auto"/>
        <w:right w:val="none" w:sz="0" w:space="0" w:color="auto"/>
      </w:divBdr>
    </w:div>
    <w:div w:id="1210797406">
      <w:bodyDiv w:val="1"/>
      <w:marLeft w:val="0"/>
      <w:marRight w:val="0"/>
      <w:marTop w:val="0"/>
      <w:marBottom w:val="0"/>
      <w:divBdr>
        <w:top w:val="none" w:sz="0" w:space="0" w:color="auto"/>
        <w:left w:val="none" w:sz="0" w:space="0" w:color="auto"/>
        <w:bottom w:val="none" w:sz="0" w:space="0" w:color="auto"/>
        <w:right w:val="none" w:sz="0" w:space="0" w:color="auto"/>
      </w:divBdr>
    </w:div>
    <w:div w:id="1223640330">
      <w:bodyDiv w:val="1"/>
      <w:marLeft w:val="0"/>
      <w:marRight w:val="0"/>
      <w:marTop w:val="0"/>
      <w:marBottom w:val="0"/>
      <w:divBdr>
        <w:top w:val="none" w:sz="0" w:space="0" w:color="auto"/>
        <w:left w:val="none" w:sz="0" w:space="0" w:color="auto"/>
        <w:bottom w:val="none" w:sz="0" w:space="0" w:color="auto"/>
        <w:right w:val="none" w:sz="0" w:space="0" w:color="auto"/>
      </w:divBdr>
    </w:div>
    <w:div w:id="1239437923">
      <w:bodyDiv w:val="1"/>
      <w:marLeft w:val="0"/>
      <w:marRight w:val="0"/>
      <w:marTop w:val="0"/>
      <w:marBottom w:val="0"/>
      <w:divBdr>
        <w:top w:val="none" w:sz="0" w:space="0" w:color="auto"/>
        <w:left w:val="none" w:sz="0" w:space="0" w:color="auto"/>
        <w:bottom w:val="none" w:sz="0" w:space="0" w:color="auto"/>
        <w:right w:val="none" w:sz="0" w:space="0" w:color="auto"/>
      </w:divBdr>
    </w:div>
    <w:div w:id="1251886128">
      <w:bodyDiv w:val="1"/>
      <w:marLeft w:val="0"/>
      <w:marRight w:val="0"/>
      <w:marTop w:val="0"/>
      <w:marBottom w:val="0"/>
      <w:divBdr>
        <w:top w:val="none" w:sz="0" w:space="0" w:color="auto"/>
        <w:left w:val="none" w:sz="0" w:space="0" w:color="auto"/>
        <w:bottom w:val="none" w:sz="0" w:space="0" w:color="auto"/>
        <w:right w:val="none" w:sz="0" w:space="0" w:color="auto"/>
      </w:divBdr>
    </w:div>
    <w:div w:id="1262224738">
      <w:bodyDiv w:val="1"/>
      <w:marLeft w:val="0"/>
      <w:marRight w:val="0"/>
      <w:marTop w:val="0"/>
      <w:marBottom w:val="0"/>
      <w:divBdr>
        <w:top w:val="none" w:sz="0" w:space="0" w:color="auto"/>
        <w:left w:val="none" w:sz="0" w:space="0" w:color="auto"/>
        <w:bottom w:val="none" w:sz="0" w:space="0" w:color="auto"/>
        <w:right w:val="none" w:sz="0" w:space="0" w:color="auto"/>
      </w:divBdr>
    </w:div>
    <w:div w:id="1262756514">
      <w:bodyDiv w:val="1"/>
      <w:marLeft w:val="0"/>
      <w:marRight w:val="0"/>
      <w:marTop w:val="0"/>
      <w:marBottom w:val="0"/>
      <w:divBdr>
        <w:top w:val="none" w:sz="0" w:space="0" w:color="auto"/>
        <w:left w:val="none" w:sz="0" w:space="0" w:color="auto"/>
        <w:bottom w:val="none" w:sz="0" w:space="0" w:color="auto"/>
        <w:right w:val="none" w:sz="0" w:space="0" w:color="auto"/>
      </w:divBdr>
    </w:div>
    <w:div w:id="1265530080">
      <w:bodyDiv w:val="1"/>
      <w:marLeft w:val="0"/>
      <w:marRight w:val="0"/>
      <w:marTop w:val="0"/>
      <w:marBottom w:val="0"/>
      <w:divBdr>
        <w:top w:val="none" w:sz="0" w:space="0" w:color="auto"/>
        <w:left w:val="none" w:sz="0" w:space="0" w:color="auto"/>
        <w:bottom w:val="none" w:sz="0" w:space="0" w:color="auto"/>
        <w:right w:val="none" w:sz="0" w:space="0" w:color="auto"/>
      </w:divBdr>
    </w:div>
    <w:div w:id="1276521712">
      <w:bodyDiv w:val="1"/>
      <w:marLeft w:val="0"/>
      <w:marRight w:val="0"/>
      <w:marTop w:val="0"/>
      <w:marBottom w:val="0"/>
      <w:divBdr>
        <w:top w:val="none" w:sz="0" w:space="0" w:color="auto"/>
        <w:left w:val="none" w:sz="0" w:space="0" w:color="auto"/>
        <w:bottom w:val="none" w:sz="0" w:space="0" w:color="auto"/>
        <w:right w:val="none" w:sz="0" w:space="0" w:color="auto"/>
      </w:divBdr>
    </w:div>
    <w:div w:id="1343360925">
      <w:bodyDiv w:val="1"/>
      <w:marLeft w:val="0"/>
      <w:marRight w:val="0"/>
      <w:marTop w:val="0"/>
      <w:marBottom w:val="0"/>
      <w:divBdr>
        <w:top w:val="none" w:sz="0" w:space="0" w:color="auto"/>
        <w:left w:val="none" w:sz="0" w:space="0" w:color="auto"/>
        <w:bottom w:val="none" w:sz="0" w:space="0" w:color="auto"/>
        <w:right w:val="none" w:sz="0" w:space="0" w:color="auto"/>
      </w:divBdr>
    </w:div>
    <w:div w:id="1349596788">
      <w:bodyDiv w:val="1"/>
      <w:marLeft w:val="0"/>
      <w:marRight w:val="0"/>
      <w:marTop w:val="0"/>
      <w:marBottom w:val="0"/>
      <w:divBdr>
        <w:top w:val="none" w:sz="0" w:space="0" w:color="auto"/>
        <w:left w:val="none" w:sz="0" w:space="0" w:color="auto"/>
        <w:bottom w:val="none" w:sz="0" w:space="0" w:color="auto"/>
        <w:right w:val="none" w:sz="0" w:space="0" w:color="auto"/>
      </w:divBdr>
    </w:div>
    <w:div w:id="1398626145">
      <w:bodyDiv w:val="1"/>
      <w:marLeft w:val="0"/>
      <w:marRight w:val="0"/>
      <w:marTop w:val="0"/>
      <w:marBottom w:val="0"/>
      <w:divBdr>
        <w:top w:val="none" w:sz="0" w:space="0" w:color="auto"/>
        <w:left w:val="none" w:sz="0" w:space="0" w:color="auto"/>
        <w:bottom w:val="none" w:sz="0" w:space="0" w:color="auto"/>
        <w:right w:val="none" w:sz="0" w:space="0" w:color="auto"/>
      </w:divBdr>
    </w:div>
    <w:div w:id="1422751197">
      <w:bodyDiv w:val="1"/>
      <w:marLeft w:val="0"/>
      <w:marRight w:val="0"/>
      <w:marTop w:val="0"/>
      <w:marBottom w:val="0"/>
      <w:divBdr>
        <w:top w:val="none" w:sz="0" w:space="0" w:color="auto"/>
        <w:left w:val="none" w:sz="0" w:space="0" w:color="auto"/>
        <w:bottom w:val="none" w:sz="0" w:space="0" w:color="auto"/>
        <w:right w:val="none" w:sz="0" w:space="0" w:color="auto"/>
      </w:divBdr>
    </w:div>
    <w:div w:id="1425102697">
      <w:bodyDiv w:val="1"/>
      <w:marLeft w:val="0"/>
      <w:marRight w:val="0"/>
      <w:marTop w:val="0"/>
      <w:marBottom w:val="0"/>
      <w:divBdr>
        <w:top w:val="none" w:sz="0" w:space="0" w:color="auto"/>
        <w:left w:val="none" w:sz="0" w:space="0" w:color="auto"/>
        <w:bottom w:val="none" w:sz="0" w:space="0" w:color="auto"/>
        <w:right w:val="none" w:sz="0" w:space="0" w:color="auto"/>
      </w:divBdr>
    </w:div>
    <w:div w:id="1425149694">
      <w:bodyDiv w:val="1"/>
      <w:marLeft w:val="0"/>
      <w:marRight w:val="0"/>
      <w:marTop w:val="0"/>
      <w:marBottom w:val="0"/>
      <w:divBdr>
        <w:top w:val="none" w:sz="0" w:space="0" w:color="auto"/>
        <w:left w:val="none" w:sz="0" w:space="0" w:color="auto"/>
        <w:bottom w:val="none" w:sz="0" w:space="0" w:color="auto"/>
        <w:right w:val="none" w:sz="0" w:space="0" w:color="auto"/>
      </w:divBdr>
    </w:div>
    <w:div w:id="1459570368">
      <w:bodyDiv w:val="1"/>
      <w:marLeft w:val="0"/>
      <w:marRight w:val="0"/>
      <w:marTop w:val="0"/>
      <w:marBottom w:val="0"/>
      <w:divBdr>
        <w:top w:val="none" w:sz="0" w:space="0" w:color="auto"/>
        <w:left w:val="none" w:sz="0" w:space="0" w:color="auto"/>
        <w:bottom w:val="none" w:sz="0" w:space="0" w:color="auto"/>
        <w:right w:val="none" w:sz="0" w:space="0" w:color="auto"/>
      </w:divBdr>
    </w:div>
    <w:div w:id="1513105982">
      <w:bodyDiv w:val="1"/>
      <w:marLeft w:val="0"/>
      <w:marRight w:val="0"/>
      <w:marTop w:val="0"/>
      <w:marBottom w:val="0"/>
      <w:divBdr>
        <w:top w:val="none" w:sz="0" w:space="0" w:color="auto"/>
        <w:left w:val="none" w:sz="0" w:space="0" w:color="auto"/>
        <w:bottom w:val="none" w:sz="0" w:space="0" w:color="auto"/>
        <w:right w:val="none" w:sz="0" w:space="0" w:color="auto"/>
      </w:divBdr>
    </w:div>
    <w:div w:id="1526358010">
      <w:bodyDiv w:val="1"/>
      <w:marLeft w:val="0"/>
      <w:marRight w:val="0"/>
      <w:marTop w:val="0"/>
      <w:marBottom w:val="0"/>
      <w:divBdr>
        <w:top w:val="none" w:sz="0" w:space="0" w:color="auto"/>
        <w:left w:val="none" w:sz="0" w:space="0" w:color="auto"/>
        <w:bottom w:val="none" w:sz="0" w:space="0" w:color="auto"/>
        <w:right w:val="none" w:sz="0" w:space="0" w:color="auto"/>
      </w:divBdr>
    </w:div>
    <w:div w:id="1551109576">
      <w:bodyDiv w:val="1"/>
      <w:marLeft w:val="0"/>
      <w:marRight w:val="0"/>
      <w:marTop w:val="0"/>
      <w:marBottom w:val="0"/>
      <w:divBdr>
        <w:top w:val="none" w:sz="0" w:space="0" w:color="auto"/>
        <w:left w:val="none" w:sz="0" w:space="0" w:color="auto"/>
        <w:bottom w:val="none" w:sz="0" w:space="0" w:color="auto"/>
        <w:right w:val="none" w:sz="0" w:space="0" w:color="auto"/>
      </w:divBdr>
    </w:div>
    <w:div w:id="1589928027">
      <w:bodyDiv w:val="1"/>
      <w:marLeft w:val="0"/>
      <w:marRight w:val="0"/>
      <w:marTop w:val="0"/>
      <w:marBottom w:val="0"/>
      <w:divBdr>
        <w:top w:val="none" w:sz="0" w:space="0" w:color="auto"/>
        <w:left w:val="none" w:sz="0" w:space="0" w:color="auto"/>
        <w:bottom w:val="none" w:sz="0" w:space="0" w:color="auto"/>
        <w:right w:val="none" w:sz="0" w:space="0" w:color="auto"/>
      </w:divBdr>
    </w:div>
    <w:div w:id="1604071165">
      <w:bodyDiv w:val="1"/>
      <w:marLeft w:val="0"/>
      <w:marRight w:val="0"/>
      <w:marTop w:val="0"/>
      <w:marBottom w:val="0"/>
      <w:divBdr>
        <w:top w:val="none" w:sz="0" w:space="0" w:color="auto"/>
        <w:left w:val="none" w:sz="0" w:space="0" w:color="auto"/>
        <w:bottom w:val="none" w:sz="0" w:space="0" w:color="auto"/>
        <w:right w:val="none" w:sz="0" w:space="0" w:color="auto"/>
      </w:divBdr>
    </w:div>
    <w:div w:id="1619099362">
      <w:bodyDiv w:val="1"/>
      <w:marLeft w:val="0"/>
      <w:marRight w:val="0"/>
      <w:marTop w:val="0"/>
      <w:marBottom w:val="0"/>
      <w:divBdr>
        <w:top w:val="none" w:sz="0" w:space="0" w:color="auto"/>
        <w:left w:val="none" w:sz="0" w:space="0" w:color="auto"/>
        <w:bottom w:val="none" w:sz="0" w:space="0" w:color="auto"/>
        <w:right w:val="none" w:sz="0" w:space="0" w:color="auto"/>
      </w:divBdr>
    </w:div>
    <w:div w:id="1705708847">
      <w:bodyDiv w:val="1"/>
      <w:marLeft w:val="0"/>
      <w:marRight w:val="0"/>
      <w:marTop w:val="0"/>
      <w:marBottom w:val="0"/>
      <w:divBdr>
        <w:top w:val="none" w:sz="0" w:space="0" w:color="auto"/>
        <w:left w:val="none" w:sz="0" w:space="0" w:color="auto"/>
        <w:bottom w:val="none" w:sz="0" w:space="0" w:color="auto"/>
        <w:right w:val="none" w:sz="0" w:space="0" w:color="auto"/>
      </w:divBdr>
    </w:div>
    <w:div w:id="1787193558">
      <w:bodyDiv w:val="1"/>
      <w:marLeft w:val="0"/>
      <w:marRight w:val="0"/>
      <w:marTop w:val="0"/>
      <w:marBottom w:val="0"/>
      <w:divBdr>
        <w:top w:val="none" w:sz="0" w:space="0" w:color="auto"/>
        <w:left w:val="none" w:sz="0" w:space="0" w:color="auto"/>
        <w:bottom w:val="none" w:sz="0" w:space="0" w:color="auto"/>
        <w:right w:val="none" w:sz="0" w:space="0" w:color="auto"/>
      </w:divBdr>
    </w:div>
    <w:div w:id="1788818004">
      <w:bodyDiv w:val="1"/>
      <w:marLeft w:val="0"/>
      <w:marRight w:val="0"/>
      <w:marTop w:val="0"/>
      <w:marBottom w:val="0"/>
      <w:divBdr>
        <w:top w:val="none" w:sz="0" w:space="0" w:color="auto"/>
        <w:left w:val="none" w:sz="0" w:space="0" w:color="auto"/>
        <w:bottom w:val="none" w:sz="0" w:space="0" w:color="auto"/>
        <w:right w:val="none" w:sz="0" w:space="0" w:color="auto"/>
      </w:divBdr>
    </w:div>
    <w:div w:id="1809393203">
      <w:bodyDiv w:val="1"/>
      <w:marLeft w:val="0"/>
      <w:marRight w:val="0"/>
      <w:marTop w:val="0"/>
      <w:marBottom w:val="0"/>
      <w:divBdr>
        <w:top w:val="none" w:sz="0" w:space="0" w:color="auto"/>
        <w:left w:val="none" w:sz="0" w:space="0" w:color="auto"/>
        <w:bottom w:val="none" w:sz="0" w:space="0" w:color="auto"/>
        <w:right w:val="none" w:sz="0" w:space="0" w:color="auto"/>
      </w:divBdr>
    </w:div>
    <w:div w:id="1835337360">
      <w:bodyDiv w:val="1"/>
      <w:marLeft w:val="0"/>
      <w:marRight w:val="0"/>
      <w:marTop w:val="0"/>
      <w:marBottom w:val="0"/>
      <w:divBdr>
        <w:top w:val="none" w:sz="0" w:space="0" w:color="auto"/>
        <w:left w:val="none" w:sz="0" w:space="0" w:color="auto"/>
        <w:bottom w:val="none" w:sz="0" w:space="0" w:color="auto"/>
        <w:right w:val="none" w:sz="0" w:space="0" w:color="auto"/>
      </w:divBdr>
    </w:div>
    <w:div w:id="1863005810">
      <w:bodyDiv w:val="1"/>
      <w:marLeft w:val="0"/>
      <w:marRight w:val="0"/>
      <w:marTop w:val="0"/>
      <w:marBottom w:val="0"/>
      <w:divBdr>
        <w:top w:val="none" w:sz="0" w:space="0" w:color="auto"/>
        <w:left w:val="none" w:sz="0" w:space="0" w:color="auto"/>
        <w:bottom w:val="none" w:sz="0" w:space="0" w:color="auto"/>
        <w:right w:val="none" w:sz="0" w:space="0" w:color="auto"/>
      </w:divBdr>
    </w:div>
    <w:div w:id="1886408210">
      <w:bodyDiv w:val="1"/>
      <w:marLeft w:val="0"/>
      <w:marRight w:val="0"/>
      <w:marTop w:val="0"/>
      <w:marBottom w:val="0"/>
      <w:divBdr>
        <w:top w:val="none" w:sz="0" w:space="0" w:color="auto"/>
        <w:left w:val="none" w:sz="0" w:space="0" w:color="auto"/>
        <w:bottom w:val="none" w:sz="0" w:space="0" w:color="auto"/>
        <w:right w:val="none" w:sz="0" w:space="0" w:color="auto"/>
      </w:divBdr>
    </w:div>
    <w:div w:id="1931111021">
      <w:bodyDiv w:val="1"/>
      <w:marLeft w:val="0"/>
      <w:marRight w:val="0"/>
      <w:marTop w:val="0"/>
      <w:marBottom w:val="0"/>
      <w:divBdr>
        <w:top w:val="none" w:sz="0" w:space="0" w:color="auto"/>
        <w:left w:val="none" w:sz="0" w:space="0" w:color="auto"/>
        <w:bottom w:val="none" w:sz="0" w:space="0" w:color="auto"/>
        <w:right w:val="none" w:sz="0" w:space="0" w:color="auto"/>
      </w:divBdr>
    </w:div>
    <w:div w:id="1958557104">
      <w:bodyDiv w:val="1"/>
      <w:marLeft w:val="0"/>
      <w:marRight w:val="0"/>
      <w:marTop w:val="0"/>
      <w:marBottom w:val="0"/>
      <w:divBdr>
        <w:top w:val="none" w:sz="0" w:space="0" w:color="auto"/>
        <w:left w:val="none" w:sz="0" w:space="0" w:color="auto"/>
        <w:bottom w:val="none" w:sz="0" w:space="0" w:color="auto"/>
        <w:right w:val="none" w:sz="0" w:space="0" w:color="auto"/>
      </w:divBdr>
    </w:div>
    <w:div w:id="1977878883">
      <w:bodyDiv w:val="1"/>
      <w:marLeft w:val="0"/>
      <w:marRight w:val="0"/>
      <w:marTop w:val="0"/>
      <w:marBottom w:val="0"/>
      <w:divBdr>
        <w:top w:val="none" w:sz="0" w:space="0" w:color="auto"/>
        <w:left w:val="none" w:sz="0" w:space="0" w:color="auto"/>
        <w:bottom w:val="none" w:sz="0" w:space="0" w:color="auto"/>
        <w:right w:val="none" w:sz="0" w:space="0" w:color="auto"/>
      </w:divBdr>
    </w:div>
    <w:div w:id="1978413588">
      <w:bodyDiv w:val="1"/>
      <w:marLeft w:val="0"/>
      <w:marRight w:val="0"/>
      <w:marTop w:val="0"/>
      <w:marBottom w:val="0"/>
      <w:divBdr>
        <w:top w:val="none" w:sz="0" w:space="0" w:color="auto"/>
        <w:left w:val="none" w:sz="0" w:space="0" w:color="auto"/>
        <w:bottom w:val="none" w:sz="0" w:space="0" w:color="auto"/>
        <w:right w:val="none" w:sz="0" w:space="0" w:color="auto"/>
      </w:divBdr>
    </w:div>
    <w:div w:id="1982996244">
      <w:bodyDiv w:val="1"/>
      <w:marLeft w:val="0"/>
      <w:marRight w:val="0"/>
      <w:marTop w:val="0"/>
      <w:marBottom w:val="0"/>
      <w:divBdr>
        <w:top w:val="none" w:sz="0" w:space="0" w:color="auto"/>
        <w:left w:val="none" w:sz="0" w:space="0" w:color="auto"/>
        <w:bottom w:val="none" w:sz="0" w:space="0" w:color="auto"/>
        <w:right w:val="none" w:sz="0" w:space="0" w:color="auto"/>
      </w:divBdr>
    </w:div>
    <w:div w:id="2073888983">
      <w:bodyDiv w:val="1"/>
      <w:marLeft w:val="0"/>
      <w:marRight w:val="0"/>
      <w:marTop w:val="0"/>
      <w:marBottom w:val="0"/>
      <w:divBdr>
        <w:top w:val="none" w:sz="0" w:space="0" w:color="auto"/>
        <w:left w:val="none" w:sz="0" w:space="0" w:color="auto"/>
        <w:bottom w:val="none" w:sz="0" w:space="0" w:color="auto"/>
        <w:right w:val="none" w:sz="0" w:space="0" w:color="auto"/>
      </w:divBdr>
    </w:div>
    <w:div w:id="2080783416">
      <w:bodyDiv w:val="1"/>
      <w:marLeft w:val="0"/>
      <w:marRight w:val="0"/>
      <w:marTop w:val="0"/>
      <w:marBottom w:val="0"/>
      <w:divBdr>
        <w:top w:val="none" w:sz="0" w:space="0" w:color="auto"/>
        <w:left w:val="none" w:sz="0" w:space="0" w:color="auto"/>
        <w:bottom w:val="none" w:sz="0" w:space="0" w:color="auto"/>
        <w:right w:val="none" w:sz="0" w:space="0" w:color="auto"/>
      </w:divBdr>
    </w:div>
    <w:div w:id="2102875786">
      <w:bodyDiv w:val="1"/>
      <w:marLeft w:val="0"/>
      <w:marRight w:val="0"/>
      <w:marTop w:val="0"/>
      <w:marBottom w:val="0"/>
      <w:divBdr>
        <w:top w:val="none" w:sz="0" w:space="0" w:color="auto"/>
        <w:left w:val="none" w:sz="0" w:space="0" w:color="auto"/>
        <w:bottom w:val="none" w:sz="0" w:space="0" w:color="auto"/>
        <w:right w:val="none" w:sz="0" w:space="0" w:color="auto"/>
      </w:divBdr>
    </w:div>
    <w:div w:id="2107652362">
      <w:bodyDiv w:val="1"/>
      <w:marLeft w:val="0"/>
      <w:marRight w:val="0"/>
      <w:marTop w:val="0"/>
      <w:marBottom w:val="0"/>
      <w:divBdr>
        <w:top w:val="none" w:sz="0" w:space="0" w:color="auto"/>
        <w:left w:val="none" w:sz="0" w:space="0" w:color="auto"/>
        <w:bottom w:val="none" w:sz="0" w:space="0" w:color="auto"/>
        <w:right w:val="none" w:sz="0" w:space="0" w:color="auto"/>
      </w:divBdr>
    </w:div>
    <w:div w:id="2110195848">
      <w:bodyDiv w:val="1"/>
      <w:marLeft w:val="0"/>
      <w:marRight w:val="0"/>
      <w:marTop w:val="0"/>
      <w:marBottom w:val="0"/>
      <w:divBdr>
        <w:top w:val="none" w:sz="0" w:space="0" w:color="auto"/>
        <w:left w:val="none" w:sz="0" w:space="0" w:color="auto"/>
        <w:bottom w:val="none" w:sz="0" w:space="0" w:color="auto"/>
        <w:right w:val="none" w:sz="0" w:space="0" w:color="auto"/>
      </w:divBdr>
    </w:div>
    <w:div w:id="211590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eader" Target="header6.xml"/><Relationship Id="rId42" Type="http://schemas.openxmlformats.org/officeDocument/2006/relationships/image" Target="media/image14.emf"/><Relationship Id="rId47" Type="http://schemas.openxmlformats.org/officeDocument/2006/relationships/image" Target="media/image19.emf"/><Relationship Id="rId63" Type="http://schemas.openxmlformats.org/officeDocument/2006/relationships/footer" Target="footer8.xml"/><Relationship Id="rId68" Type="http://schemas.openxmlformats.org/officeDocument/2006/relationships/header" Target="header17.xml"/><Relationship Id="rId16" Type="http://schemas.openxmlformats.org/officeDocument/2006/relationships/image" Target="media/image2.png"/><Relationship Id="rId11" Type="http://schemas.openxmlformats.org/officeDocument/2006/relationships/header" Target="header2.xml"/><Relationship Id="rId32" Type="http://schemas.openxmlformats.org/officeDocument/2006/relationships/image" Target="media/image4.emf"/><Relationship Id="rId37" Type="http://schemas.openxmlformats.org/officeDocument/2006/relationships/image" Target="media/image9.png"/><Relationship Id="rId53" Type="http://schemas.openxmlformats.org/officeDocument/2006/relationships/hyperlink" Target="https://www.nsw.gov.au/news/2015-nsw-international-student-awards-winners" TargetMode="External"/><Relationship Id="rId58" Type="http://schemas.openxmlformats.org/officeDocument/2006/relationships/image" Target="media/image24.emf"/><Relationship Id="rId74" Type="http://schemas.openxmlformats.org/officeDocument/2006/relationships/header" Target="header22.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eader" Target="header13.xml"/><Relationship Id="rId82" Type="http://schemas.openxmlformats.org/officeDocument/2006/relationships/customXml" Target="../customXml/item4.xml"/><Relationship Id="rId19" Type="http://schemas.openxmlformats.org/officeDocument/2006/relationships/header" Target="header5.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image" Target="media/image7.emf"/><Relationship Id="rId43" Type="http://schemas.openxmlformats.org/officeDocument/2006/relationships/image" Target="media/image15.emf"/><Relationship Id="rId48" Type="http://schemas.openxmlformats.org/officeDocument/2006/relationships/image" Target="media/image20.emf"/><Relationship Id="rId56" Type="http://schemas.openxmlformats.org/officeDocument/2006/relationships/image" Target="media/image22.emf"/><Relationship Id="rId64" Type="http://schemas.openxmlformats.org/officeDocument/2006/relationships/footer" Target="footer9.xml"/><Relationship Id="rId69" Type="http://schemas.openxmlformats.org/officeDocument/2006/relationships/header" Target="header18.xml"/><Relationship Id="rId77" Type="http://schemas.openxmlformats.org/officeDocument/2006/relationships/header" Target="header24.xml"/><Relationship Id="rId8" Type="http://schemas.openxmlformats.org/officeDocument/2006/relationships/endnotes" Target="endnotes.xml"/><Relationship Id="rId51" Type="http://schemas.openxmlformats.org/officeDocument/2006/relationships/hyperlink" Target="https://www.border.gov.au/Trav/Work/Work/Allocation-dates-for-General-Skilled-Migration-applications/regional-growth" TargetMode="External"/><Relationship Id="rId72" Type="http://schemas.openxmlformats.org/officeDocument/2006/relationships/header" Target="header20.xml"/><Relationship Id="rId80"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cid:image001.png@01CC5B5E.C6C84990" TargetMode="External"/><Relationship Id="rId25" Type="http://schemas.openxmlformats.org/officeDocument/2006/relationships/header" Target="header9.xml"/><Relationship Id="rId33" Type="http://schemas.openxmlformats.org/officeDocument/2006/relationships/image" Target="media/image5.emf"/><Relationship Id="rId38" Type="http://schemas.openxmlformats.org/officeDocument/2006/relationships/image" Target="media/image10.png"/><Relationship Id="rId46" Type="http://schemas.openxmlformats.org/officeDocument/2006/relationships/image" Target="media/image18.emf"/><Relationship Id="rId59" Type="http://schemas.openxmlformats.org/officeDocument/2006/relationships/image" Target="media/image25.emf"/><Relationship Id="rId67" Type="http://schemas.openxmlformats.org/officeDocument/2006/relationships/header" Target="header16.xml"/><Relationship Id="rId20" Type="http://schemas.openxmlformats.org/officeDocument/2006/relationships/footer" Target="footer4.xml"/><Relationship Id="rId41" Type="http://schemas.openxmlformats.org/officeDocument/2006/relationships/image" Target="media/image13.emf"/><Relationship Id="rId54" Type="http://schemas.openxmlformats.org/officeDocument/2006/relationships/hyperlink" Target="http://www.oecd.org/newsroom/china-headed-to-overtake-eu-us-in-science-technology-spending.htm" TargetMode="External"/><Relationship Id="rId62" Type="http://schemas.openxmlformats.org/officeDocument/2006/relationships/header" Target="header14.xml"/><Relationship Id="rId70" Type="http://schemas.openxmlformats.org/officeDocument/2006/relationships/footer" Target="footer11.xml"/><Relationship Id="rId75"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image" Target="media/image8.emf"/><Relationship Id="rId49" Type="http://schemas.openxmlformats.org/officeDocument/2006/relationships/image" Target="media/image21.emf"/><Relationship Id="rId57" Type="http://schemas.openxmlformats.org/officeDocument/2006/relationships/image" Target="media/image23.wmf"/><Relationship Id="rId10" Type="http://schemas.openxmlformats.org/officeDocument/2006/relationships/header" Target="header1.xml"/><Relationship Id="rId31" Type="http://schemas.openxmlformats.org/officeDocument/2006/relationships/image" Target="media/image3.emf"/><Relationship Id="rId44" Type="http://schemas.openxmlformats.org/officeDocument/2006/relationships/image" Target="media/image16.emf"/><Relationship Id="rId52" Type="http://schemas.openxmlformats.org/officeDocument/2006/relationships/hyperlink" Target="http://monitor.icef.com/2015/01/us-moves-double-number-outbound-students-2018/" TargetMode="External"/><Relationship Id="rId60" Type="http://schemas.openxmlformats.org/officeDocument/2006/relationships/image" Target="media/image26.emf"/><Relationship Id="rId65" Type="http://schemas.openxmlformats.org/officeDocument/2006/relationships/header" Target="header15.xml"/><Relationship Id="rId73" Type="http://schemas.openxmlformats.org/officeDocument/2006/relationships/header" Target="header21.xml"/><Relationship Id="rId78" Type="http://schemas.openxmlformats.org/officeDocument/2006/relationships/fontTable" Target="fontTable.xml"/><Relationship Id="rId81"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eader" Target="header4.xml"/><Relationship Id="rId39" Type="http://schemas.openxmlformats.org/officeDocument/2006/relationships/image" Target="media/image11.png"/><Relationship Id="rId34" Type="http://schemas.openxmlformats.org/officeDocument/2006/relationships/image" Target="media/image6.emf"/><Relationship Id="rId50" Type="http://schemas.openxmlformats.org/officeDocument/2006/relationships/hyperlink" Target="http://www.abc.net.au/local/audio/2015/09/23/4318339.htm" TargetMode="External"/><Relationship Id="rId55" Type="http://schemas.openxmlformats.org/officeDocument/2006/relationships/hyperlink" Target="http://www.audit.vic.gov.au/publications/20140806-TAFE-Audits/20140806-TAFE-Audits.html%20(29" TargetMode="External"/><Relationship Id="rId76" Type="http://schemas.openxmlformats.org/officeDocument/2006/relationships/footer" Target="footer12.xml"/><Relationship Id="rId7" Type="http://schemas.openxmlformats.org/officeDocument/2006/relationships/footnotes" Target="footnotes.xml"/><Relationship Id="rId71" Type="http://schemas.openxmlformats.org/officeDocument/2006/relationships/header" Target="header19.xml"/><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header" Target="header8.xml"/><Relationship Id="rId40" Type="http://schemas.openxmlformats.org/officeDocument/2006/relationships/image" Target="media/image12.emf"/><Relationship Id="rId45" Type="http://schemas.openxmlformats.org/officeDocument/2006/relationships/image" Target="media/image17.emf"/><Relationship Id="rId66" Type="http://schemas.openxmlformats.org/officeDocument/2006/relationships/footer" Target="footer10.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0.xml.rels><?xml version="1.0" encoding="UTF-8" standalone="yes"?>
<Relationships xmlns="http://schemas.openxmlformats.org/package/2006/relationships"><Relationship Id="rId1" Type="http://schemas.openxmlformats.org/officeDocument/2006/relationships/image" Target="media/image2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Report.dotm" TargetMode="External"/></Relationships>
</file>

<file path=word/theme/theme1.xml><?xml version="1.0" encoding="utf-8"?>
<a:theme xmlns:a="http://schemas.openxmlformats.org/drawingml/2006/main" name="Office Theme">
  <a:themeElements>
    <a:clrScheme name="Deloitte Standard">
      <a:dk1>
        <a:sysClr val="windowText" lastClr="000000"/>
      </a:dk1>
      <a:lt1>
        <a:srgbClr val="FFFFFF"/>
      </a:lt1>
      <a:dk2>
        <a:srgbClr val="002776"/>
      </a:dk2>
      <a:lt2>
        <a:srgbClr val="FFFFFF"/>
      </a:lt2>
      <a:accent1>
        <a:srgbClr val="81BC00"/>
      </a:accent1>
      <a:accent2>
        <a:srgbClr val="00A1DE"/>
      </a:accent2>
      <a:accent3>
        <a:srgbClr val="313131"/>
      </a:accent3>
      <a:accent4>
        <a:srgbClr val="3C8A2E"/>
      </a:accent4>
      <a:accent5>
        <a:srgbClr val="575757"/>
      </a:accent5>
      <a:accent6>
        <a:srgbClr val="8C8C8C"/>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127A9AF6904CE4BB4CA0C969D8DBB7D" ma:contentTypeVersion="1" ma:contentTypeDescription="Create a new document." ma:contentTypeScope="" ma:versionID="c95e0e89db607cda48c87df2569f6b6b">
  <xsd:schema xmlns:xsd="http://www.w3.org/2001/XMLSchema" xmlns:xs="http://www.w3.org/2001/XMLSchema" xmlns:p="http://schemas.microsoft.com/office/2006/metadata/properties" xmlns:ns1="http://schemas.microsoft.com/sharepoint/v3" targetNamespace="http://schemas.microsoft.com/office/2006/metadata/properties" ma:root="true" ma:fieldsID="f66abc2e75104a1e2665fbc11a6ee98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A006DE8-015F-4C0E-B04A-4ECE9B2949DC}"/>
</file>

<file path=customXml/itemProps2.xml><?xml version="1.0" encoding="utf-8"?>
<ds:datastoreItem xmlns:ds="http://schemas.openxmlformats.org/officeDocument/2006/customXml" ds:itemID="{9D0FC7B9-C832-4190-8D3D-11DBF95C5FC3}"/>
</file>

<file path=customXml/itemProps3.xml><?xml version="1.0" encoding="utf-8"?>
<ds:datastoreItem xmlns:ds="http://schemas.openxmlformats.org/officeDocument/2006/customXml" ds:itemID="{876A2CEB-E03D-46F5-B680-21FD199A8162}"/>
</file>

<file path=customXml/itemProps4.xml><?xml version="1.0" encoding="utf-8"?>
<ds:datastoreItem xmlns:ds="http://schemas.openxmlformats.org/officeDocument/2006/customXml" ds:itemID="{A6B96FE2-A23F-4B7F-AAD7-86C9C3B60EE3}"/>
</file>

<file path=docProps/app.xml><?xml version="1.0" encoding="utf-8"?>
<Properties xmlns="http://schemas.openxmlformats.org/officeDocument/2006/extended-properties" xmlns:vt="http://schemas.openxmlformats.org/officeDocument/2006/docPropsVTypes">
  <Template>Report.dotm</Template>
  <TotalTime>2</TotalTime>
  <Pages>91</Pages>
  <Words>28757</Words>
  <Characters>163920</Characters>
  <Application>Microsoft Office Word</Application>
  <DocSecurity>4</DocSecurity>
  <Lines>1366</Lines>
  <Paragraphs>384</Paragraphs>
  <ScaleCrop>false</ScaleCrop>
  <HeadingPairs>
    <vt:vector size="2" baseType="variant">
      <vt:variant>
        <vt:lpstr>Title</vt:lpstr>
      </vt:variant>
      <vt:variant>
        <vt:i4>1</vt:i4>
      </vt:variant>
    </vt:vector>
  </HeadingPairs>
  <TitlesOfParts>
    <vt:vector size="1" baseType="lpstr">
      <vt:lpstr>Report</vt:lpstr>
    </vt:vector>
  </TitlesOfParts>
  <Company>MacroView</Company>
  <LinksUpToDate>false</LinksUpToDate>
  <CharactersWithSpaces>192293</CharactersWithSpaces>
  <SharedDoc>false</SharedDoc>
  <HLinks>
    <vt:vector size="24" baseType="variant">
      <vt:variant>
        <vt:i4>1769524</vt:i4>
      </vt:variant>
      <vt:variant>
        <vt:i4>26</vt:i4>
      </vt:variant>
      <vt:variant>
        <vt:i4>0</vt:i4>
      </vt:variant>
      <vt:variant>
        <vt:i4>5</vt:i4>
      </vt:variant>
      <vt:variant>
        <vt:lpwstr/>
      </vt:variant>
      <vt:variant>
        <vt:lpwstr>_Toc215906321</vt:lpwstr>
      </vt:variant>
      <vt:variant>
        <vt:i4>1769524</vt:i4>
      </vt:variant>
      <vt:variant>
        <vt:i4>20</vt:i4>
      </vt:variant>
      <vt:variant>
        <vt:i4>0</vt:i4>
      </vt:variant>
      <vt:variant>
        <vt:i4>5</vt:i4>
      </vt:variant>
      <vt:variant>
        <vt:lpwstr/>
      </vt:variant>
      <vt:variant>
        <vt:lpwstr>_Toc215906320</vt:lpwstr>
      </vt:variant>
      <vt:variant>
        <vt:i4>1572916</vt:i4>
      </vt:variant>
      <vt:variant>
        <vt:i4>14</vt:i4>
      </vt:variant>
      <vt:variant>
        <vt:i4>0</vt:i4>
      </vt:variant>
      <vt:variant>
        <vt:i4>5</vt:i4>
      </vt:variant>
      <vt:variant>
        <vt:lpwstr/>
      </vt:variant>
      <vt:variant>
        <vt:lpwstr>_Toc215906319</vt:lpwstr>
      </vt:variant>
      <vt:variant>
        <vt:i4>1572916</vt:i4>
      </vt:variant>
      <vt:variant>
        <vt:i4>8</vt:i4>
      </vt:variant>
      <vt:variant>
        <vt:i4>0</vt:i4>
      </vt:variant>
      <vt:variant>
        <vt:i4>5</vt:i4>
      </vt:variant>
      <vt:variant>
        <vt:lpwstr/>
      </vt:variant>
      <vt:variant>
        <vt:lpwstr>_Toc215906318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creator>Lodewijks, Ben (AU - Sydney)</dc:creator>
  <cp:lastModifiedBy>Eun-sun Oh</cp:lastModifiedBy>
  <cp:revision>2</cp:revision>
  <cp:lastPrinted>2015-12-07T23:09:00Z</cp:lastPrinted>
  <dcterms:created xsi:type="dcterms:W3CDTF">2016-05-12T00:15:00Z</dcterms:created>
  <dcterms:modified xsi:type="dcterms:W3CDTF">2016-05-12T00:15:00Z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Date">
    <vt:lpwstr>November 2015</vt:lpwstr>
  </property>
  <property fmtid="{D5CDD505-2E9C-101B-9397-08002B2CF9AE}" pid="3" name="Report Company">
    <vt:lpwstr>Department of Education and Training</vt:lpwstr>
  </property>
  <property fmtid="{D5CDD505-2E9C-101B-9397-08002B2CF9AE}" pid="4" name="Report Title">
    <vt:lpwstr>The value of international education to Australia</vt:lpwstr>
  </property>
  <property fmtid="{D5CDD505-2E9C-101B-9397-08002B2CF9AE}" pid="5" name="Report Type">
    <vt:lpwstr>Report</vt:lpwstr>
  </property>
  <property fmtid="{D5CDD505-2E9C-101B-9397-08002B2CF9AE}" pid="6" name="DocType">
    <vt:lpwstr>Report</vt:lpwstr>
  </property>
  <property fmtid="{D5CDD505-2E9C-101B-9397-08002B2CF9AE}" pid="7" name="Report Header">
    <vt:lpwstr>The value of international education to Australia</vt:lpwstr>
  </property>
  <property fmtid="{D5CDD505-2E9C-101B-9397-08002B2CF9AE}" pid="8" name="ContentTypeId">
    <vt:lpwstr>0x0101001127A9AF6904CE4BB4CA0C969D8DBB7D</vt:lpwstr>
  </property>
  <property fmtid="{D5CDD505-2E9C-101B-9397-08002B2CF9AE}" pid="9" name="Order">
    <vt:r8>4000</vt:r8>
  </property>
  <property fmtid="{D5CDD505-2E9C-101B-9397-08002B2CF9AE}" pid="10" name="xd_ProgID">
    <vt:lpwstr/>
  </property>
  <property fmtid="{D5CDD505-2E9C-101B-9397-08002B2CF9AE}" pid="11" name="_SharedFileIndex">
    <vt:lpwstr/>
  </property>
  <property fmtid="{D5CDD505-2E9C-101B-9397-08002B2CF9AE}" pid="12" name="_SourceUrl">
    <vt:lpwstr/>
  </property>
  <property fmtid="{D5CDD505-2E9C-101B-9397-08002B2CF9AE}" pid="13" name="TemplateUrl">
    <vt:lpwstr/>
  </property>
</Properties>
</file>