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2D38E6" w:rsidRDefault="00895637" w:rsidP="00130923">
      <w:pPr>
        <w:pStyle w:val="BodyText"/>
      </w:pPr>
      <w:bookmarkStart w:id="0" w:name="_GoBack"/>
      <w:bookmarkEnd w:id="0"/>
      <w:r>
        <w:rPr>
          <w:noProof/>
        </w:rPr>
        <w:drawing>
          <wp:inline distT="0" distB="0" distL="0" distR="0" wp14:anchorId="7A240CDA" wp14:editId="540E03CD">
            <wp:extent cx="2880360" cy="560832"/>
            <wp:effectExtent l="0" t="0" r="0" b="0"/>
            <wp:docPr id="6" name="Picture 6"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BA282D" w:rsidRPr="002D38E6" w:rsidRDefault="0054286C" w:rsidP="009542FF">
      <w:pPr>
        <w:pStyle w:val="Title"/>
        <w:spacing w:before="1920"/>
        <w:ind w:left="1276" w:right="-23"/>
      </w:pPr>
      <w:r w:rsidRPr="002D38E6">
        <w:t>International Student Survey 2014</w:t>
      </w:r>
    </w:p>
    <w:p w:rsidR="00BA282D" w:rsidRPr="002D38E6" w:rsidRDefault="0054286C" w:rsidP="00F80CFC">
      <w:pPr>
        <w:pStyle w:val="Subtitle"/>
        <w:ind w:left="1276" w:right="-22"/>
      </w:pPr>
      <w:r w:rsidRPr="002D38E6">
        <w:t>Overview Report</w:t>
      </w:r>
    </w:p>
    <w:p w:rsidR="00D2551F" w:rsidRPr="00A03137" w:rsidRDefault="00A03137" w:rsidP="00274CC9">
      <w:pPr>
        <w:ind w:left="1276"/>
        <w:rPr>
          <w:rFonts w:ascii="Calibri" w:eastAsiaTheme="majorEastAsia" w:hAnsi="Calibri" w:cstheme="majorBidi"/>
          <w:b/>
          <w:iCs/>
          <w:color w:val="522761"/>
          <w:spacing w:val="13"/>
          <w:sz w:val="28"/>
          <w:szCs w:val="28"/>
        </w:rPr>
      </w:pPr>
      <w:r w:rsidRPr="00A03137">
        <w:rPr>
          <w:rFonts w:ascii="Calibri" w:eastAsiaTheme="majorEastAsia" w:hAnsi="Calibri" w:cstheme="majorBidi"/>
          <w:b/>
          <w:iCs/>
          <w:color w:val="522761"/>
          <w:spacing w:val="13"/>
          <w:sz w:val="28"/>
          <w:szCs w:val="28"/>
        </w:rPr>
        <w:t>April 2015</w:t>
      </w:r>
    </w:p>
    <w:p w:rsidR="00130923" w:rsidRPr="002D38E6" w:rsidRDefault="00F47193" w:rsidP="009542FF">
      <w:r w:rsidRPr="002D38E6">
        <w:rPr>
          <w:noProof/>
          <w:lang w:eastAsia="en-AU"/>
        </w:rPr>
        <w:drawing>
          <wp:anchor distT="0" distB="0" distL="114300" distR="114300" simplePos="0" relativeHeight="251658240" behindDoc="1" locked="0" layoutInCell="1" allowOverlap="1" wp14:anchorId="38B4AC03" wp14:editId="0637AF15">
            <wp:simplePos x="0" y="0"/>
            <wp:positionH relativeFrom="page">
              <wp:posOffset>-95250</wp:posOffset>
            </wp:positionH>
            <wp:positionV relativeFrom="page">
              <wp:posOffset>5299710</wp:posOffset>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020" cy="5392420"/>
                    </a:xfrm>
                    <a:prstGeom prst="rect">
                      <a:avLst/>
                    </a:prstGeom>
                  </pic:spPr>
                </pic:pic>
              </a:graphicData>
            </a:graphic>
            <wp14:sizeRelH relativeFrom="page">
              <wp14:pctWidth>0</wp14:pctWidth>
            </wp14:sizeRelH>
            <wp14:sizeRelV relativeFrom="page">
              <wp14:pctHeight>0</wp14:pctHeight>
            </wp14:sizeRelV>
          </wp:anchor>
        </w:drawing>
      </w:r>
      <w:r w:rsidRPr="002D38E6">
        <w:rPr>
          <w:rStyle w:val="Emphasis"/>
          <w:color w:val="FFFFFF" w:themeColor="background2"/>
        </w:rPr>
        <w:t>Opportunity through learning</w:t>
      </w:r>
      <w:r w:rsidR="00130923" w:rsidRPr="002D38E6">
        <w:br w:type="page"/>
      </w:r>
    </w:p>
    <w:p w:rsidR="00EA7CE1" w:rsidRPr="002D38E6" w:rsidRDefault="00EA7CE1" w:rsidP="007D58FB">
      <w:pPr>
        <w:sectPr w:rsidR="00EA7CE1" w:rsidRPr="002D38E6" w:rsidSect="00FE55DC">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985" w:left="1440" w:header="709" w:footer="1009" w:gutter="0"/>
          <w:pgNumType w:fmt="lowerRoman"/>
          <w:cols w:space="708"/>
          <w:docGrid w:linePitch="360"/>
        </w:sectPr>
      </w:pPr>
    </w:p>
    <w:p w:rsidR="008507DD" w:rsidRPr="002D38E6" w:rsidRDefault="00EA7CE1" w:rsidP="002507BF">
      <w:pPr>
        <w:spacing w:before="4080"/>
        <w:rPr>
          <w:sz w:val="28"/>
          <w:szCs w:val="28"/>
        </w:rPr>
      </w:pPr>
      <w:r w:rsidRPr="002D38E6">
        <w:rPr>
          <w:sz w:val="28"/>
          <w:szCs w:val="28"/>
        </w:rPr>
        <w:lastRenderedPageBreak/>
        <w:t>Disclaimer</w:t>
      </w:r>
    </w:p>
    <w:p w:rsidR="008507DD" w:rsidRPr="002D38E6" w:rsidRDefault="008507DD" w:rsidP="007D58FB">
      <w:r w:rsidRPr="002D38E6">
        <w:t xml:space="preserve">The Commonwealth of Australia, its officers, employees or agents disclaim any responsibility for loss howsoever caused whether due to negligence or otherwise from the use of information in this publication. No representation expressed or implied is made by the Commonwealth of Australia or any of its officers, employees or agents as to the currency, accuracy or completeness of the information contained in this report. The reader should rely on their own inquiries to independently confirm the information and comment on which they intent to act. </w:t>
      </w:r>
    </w:p>
    <w:p w:rsidR="00130923" w:rsidRPr="002D38E6" w:rsidRDefault="00130923" w:rsidP="00C60064">
      <w:pPr>
        <w:spacing w:before="600"/>
      </w:pPr>
      <w:r w:rsidRPr="002D38E6">
        <w:t>ISBN</w:t>
      </w:r>
    </w:p>
    <w:p w:rsidR="00E92D4B" w:rsidRPr="002D38E6" w:rsidRDefault="006F76B6" w:rsidP="007D58FB">
      <w:pPr>
        <w:contextualSpacing/>
        <w:rPr>
          <w:szCs w:val="20"/>
        </w:rPr>
      </w:pPr>
      <w:r>
        <w:rPr>
          <w:szCs w:val="20"/>
        </w:rPr>
        <w:t>978-1-76028-136-6</w:t>
      </w:r>
      <w:r w:rsidRPr="002D38E6">
        <w:rPr>
          <w:szCs w:val="20"/>
        </w:rPr>
        <w:t xml:space="preserve"> </w:t>
      </w:r>
      <w:r w:rsidR="00130923" w:rsidRPr="002D38E6">
        <w:rPr>
          <w:szCs w:val="20"/>
        </w:rPr>
        <w:t>[PDF]</w:t>
      </w:r>
    </w:p>
    <w:p w:rsidR="00130923" w:rsidRPr="002D38E6" w:rsidRDefault="006F76B6" w:rsidP="007D58FB">
      <w:pPr>
        <w:rPr>
          <w:szCs w:val="20"/>
        </w:rPr>
      </w:pPr>
      <w:r>
        <w:rPr>
          <w:szCs w:val="20"/>
        </w:rPr>
        <w:t>978-1-76028-137-3</w:t>
      </w:r>
      <w:r w:rsidRPr="002D38E6">
        <w:rPr>
          <w:szCs w:val="20"/>
        </w:rPr>
        <w:t xml:space="preserve"> </w:t>
      </w:r>
      <w:r w:rsidR="00130923" w:rsidRPr="002D38E6">
        <w:rPr>
          <w:szCs w:val="20"/>
        </w:rPr>
        <w:t>[</w:t>
      </w:r>
      <w:proofErr w:type="spellStart"/>
      <w:r w:rsidR="00130923" w:rsidRPr="002D38E6">
        <w:rPr>
          <w:szCs w:val="20"/>
        </w:rPr>
        <w:t>DOCX</w:t>
      </w:r>
      <w:proofErr w:type="spellEnd"/>
      <w:r w:rsidR="00130923" w:rsidRPr="002D38E6">
        <w:rPr>
          <w:szCs w:val="20"/>
        </w:rPr>
        <w:t>]</w:t>
      </w:r>
    </w:p>
    <w:p w:rsidR="00130923" w:rsidRPr="002D38E6" w:rsidRDefault="00130923" w:rsidP="00130923">
      <w:pPr>
        <w:pStyle w:val="numberedpara"/>
        <w:numPr>
          <w:ilvl w:val="0"/>
          <w:numId w:val="0"/>
        </w:numPr>
        <w:tabs>
          <w:tab w:val="left" w:pos="720"/>
        </w:tabs>
        <w:rPr>
          <w:sz w:val="20"/>
          <w:szCs w:val="20"/>
        </w:rPr>
      </w:pPr>
      <w:r w:rsidRPr="002D38E6">
        <w:rPr>
          <w:noProof/>
          <w:sz w:val="20"/>
          <w:szCs w:val="20"/>
        </w:rPr>
        <w:drawing>
          <wp:inline distT="0" distB="0" distL="0" distR="0" wp14:anchorId="214470C1" wp14:editId="59A65176">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0" r:link="rId21"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130923" w:rsidRPr="002D38E6" w:rsidRDefault="00130923" w:rsidP="007D58FB">
      <w:r w:rsidRPr="002D38E6">
        <w:t xml:space="preserve">With the exception of the Commonwealth Coat of Arms, the Department’s logo, any material protected by a trade mark and where otherwise noted all material presented in this document is provided under a </w:t>
      </w:r>
      <w:hyperlink r:id="rId22" w:history="1">
        <w:r w:rsidRPr="002D38E6">
          <w:rPr>
            <w:rStyle w:val="Hyperlink"/>
          </w:rPr>
          <w:t>Creative Co</w:t>
        </w:r>
        <w:r w:rsidR="007D58FB" w:rsidRPr="002D38E6">
          <w:rPr>
            <w:rStyle w:val="Hyperlink"/>
          </w:rPr>
          <w:t>mmons Attribution 3.0 Australia</w:t>
        </w:r>
      </w:hyperlink>
      <w:r w:rsidR="007D58FB" w:rsidRPr="002D38E6">
        <w:t xml:space="preserve"> </w:t>
      </w:r>
      <w:r w:rsidRPr="002D38E6">
        <w:t xml:space="preserve">(http://creativecommons.org/licenses/by/3.0/au/) licence. </w:t>
      </w:r>
    </w:p>
    <w:p w:rsidR="00130923" w:rsidRPr="002D38E6" w:rsidRDefault="00130923" w:rsidP="007D58FB">
      <w:r w:rsidRPr="002D38E6">
        <w:t xml:space="preserve">The details of the relevant licence conditions are available on the Creative Commons website (accessible using the links provided) as is the full legal code for the </w:t>
      </w:r>
      <w:hyperlink r:id="rId23" w:history="1">
        <w:r w:rsidRPr="002D38E6">
          <w:rPr>
            <w:rStyle w:val="Hyperlink"/>
          </w:rPr>
          <w:t>CC BY 3.0 AU licence</w:t>
        </w:r>
      </w:hyperlink>
      <w:r w:rsidRPr="002D38E6">
        <w:t xml:space="preserve"> (http://creativecommons.org/licenses/by/3.0/au/legalcode). </w:t>
      </w:r>
    </w:p>
    <w:p w:rsidR="006F76B6" w:rsidRDefault="00136E21">
      <w:pPr>
        <w:rPr>
          <w:rFonts w:ascii="Calibri" w:eastAsiaTheme="majorEastAsia" w:hAnsi="Calibri" w:cstheme="majorBidi"/>
          <w:b/>
          <w:bCs/>
          <w:color w:val="522761"/>
          <w:sz w:val="36"/>
          <w:szCs w:val="28"/>
        </w:rPr>
      </w:pPr>
      <w:r>
        <w:t xml:space="preserve">The document must be attributed as the </w:t>
      </w:r>
      <w:r w:rsidRPr="00136E21">
        <w:rPr>
          <w:i/>
        </w:rPr>
        <w:t>International Student Survey 2014 Overview Report</w:t>
      </w:r>
      <w:r>
        <w:rPr>
          <w:i/>
        </w:rPr>
        <w:t>.</w:t>
      </w:r>
      <w:r w:rsidR="006F76B6">
        <w:br w:type="page"/>
      </w:r>
    </w:p>
    <w:p w:rsidR="00820B66" w:rsidRPr="00D8773C" w:rsidRDefault="0091621B" w:rsidP="00D8773C">
      <w:pPr>
        <w:pStyle w:val="Heading1"/>
      </w:pPr>
      <w:bookmarkStart w:id="1" w:name="_Toc415743317"/>
      <w:bookmarkStart w:id="2" w:name="_Toc417300790"/>
      <w:r>
        <w:lastRenderedPageBreak/>
        <w:t>Introduction</w:t>
      </w:r>
      <w:bookmarkEnd w:id="1"/>
      <w:bookmarkEnd w:id="2"/>
      <w:r>
        <w:t xml:space="preserve"> </w:t>
      </w:r>
    </w:p>
    <w:p w:rsidR="00820B66" w:rsidRPr="002D38E6" w:rsidRDefault="00E022B4" w:rsidP="00952C5E">
      <w:r w:rsidRPr="002D38E6">
        <w:t xml:space="preserve">This report documents research </w:t>
      </w:r>
      <w:r w:rsidR="006C761A">
        <w:t>in</w:t>
      </w:r>
      <w:r w:rsidR="00C5046D">
        <w:t>to</w:t>
      </w:r>
      <w:r w:rsidR="006C761A">
        <w:t xml:space="preserve"> the experience</w:t>
      </w:r>
      <w:r w:rsidR="00C5046D">
        <w:t>s</w:t>
      </w:r>
      <w:r w:rsidR="006C761A">
        <w:t xml:space="preserve"> </w:t>
      </w:r>
      <w:r w:rsidRPr="002D38E6">
        <w:t xml:space="preserve">of international students studying in Australia. </w:t>
      </w:r>
      <w:r w:rsidR="00820B66" w:rsidRPr="002D38E6">
        <w:t xml:space="preserve">The survey sought responses from international students studying onshore in the </w:t>
      </w:r>
      <w:r w:rsidR="006C761A">
        <w:t>h</w:t>
      </w:r>
      <w:r w:rsidR="00820B66" w:rsidRPr="002D38E6">
        <w:t xml:space="preserve">igher </w:t>
      </w:r>
      <w:r w:rsidR="006C761A">
        <w:t>e</w:t>
      </w:r>
      <w:r w:rsidR="00820B66" w:rsidRPr="002D38E6">
        <w:t xml:space="preserve">ducation, </w:t>
      </w:r>
      <w:r w:rsidR="006C761A">
        <w:t>v</w:t>
      </w:r>
      <w:r w:rsidR="006C761A" w:rsidRPr="002D38E6">
        <w:t xml:space="preserve">ocational </w:t>
      </w:r>
      <w:r w:rsidR="006C761A">
        <w:t>e</w:t>
      </w:r>
      <w:r w:rsidR="006C761A" w:rsidRPr="002D38E6">
        <w:t xml:space="preserve">ducation </w:t>
      </w:r>
      <w:r w:rsidR="00820B66" w:rsidRPr="002D38E6">
        <w:t xml:space="preserve">and </w:t>
      </w:r>
      <w:r w:rsidR="006C761A">
        <w:t>t</w:t>
      </w:r>
      <w:r w:rsidR="006C761A" w:rsidRPr="002D38E6">
        <w:t>raining</w:t>
      </w:r>
      <w:r w:rsidR="00820B66" w:rsidRPr="002D38E6">
        <w:t xml:space="preserve"> </w:t>
      </w:r>
      <w:r w:rsidR="001A1AB6">
        <w:t xml:space="preserve">(VET) </w:t>
      </w:r>
      <w:r w:rsidR="00820B66" w:rsidRPr="002D38E6">
        <w:t>and English Language Intensive Courses for Overs</w:t>
      </w:r>
      <w:r w:rsidRPr="002D38E6">
        <w:t xml:space="preserve">eas </w:t>
      </w:r>
      <w:r w:rsidR="001E0349">
        <w:t>(</w:t>
      </w:r>
      <w:proofErr w:type="spellStart"/>
      <w:r w:rsidR="001E0349">
        <w:t>ELICOS</w:t>
      </w:r>
      <w:proofErr w:type="spellEnd"/>
      <w:r w:rsidR="001E0349">
        <w:t xml:space="preserve">) </w:t>
      </w:r>
      <w:r w:rsidRPr="002D38E6">
        <w:t>Students sectors</w:t>
      </w:r>
      <w:r w:rsidR="006C761A">
        <w:t xml:space="preserve">, using the </w:t>
      </w:r>
      <w:r w:rsidR="006C761A" w:rsidRPr="002D38E6">
        <w:t xml:space="preserve">International Student Barometer </w:t>
      </w:r>
      <w:r w:rsidR="006C761A">
        <w:t>(</w:t>
      </w:r>
      <w:proofErr w:type="spellStart"/>
      <w:r w:rsidR="006C761A">
        <w:t>ISB</w:t>
      </w:r>
      <w:proofErr w:type="spellEnd"/>
      <w:r w:rsidR="006C761A">
        <w:t xml:space="preserve">) </w:t>
      </w:r>
      <w:r w:rsidR="006C761A" w:rsidRPr="002D38E6">
        <w:t>survey instrument</w:t>
      </w:r>
      <w:r w:rsidRPr="002D38E6">
        <w:t xml:space="preserve">. </w:t>
      </w:r>
      <w:r w:rsidR="00820B66" w:rsidRPr="002D38E6">
        <w:t>A separate survey instrument was used to seek responses from international students aged 16 years or over studying in Australian secondary schools in years 11 and 12.</w:t>
      </w:r>
    </w:p>
    <w:p w:rsidR="00EA7CE1" w:rsidRDefault="00E022B4" w:rsidP="00952C5E">
      <w:r w:rsidRPr="002D38E6">
        <w:t>The 2014 International Student Survey</w:t>
      </w:r>
      <w:r w:rsidR="00007763">
        <w:t xml:space="preserve"> (</w:t>
      </w:r>
      <w:proofErr w:type="spellStart"/>
      <w:r w:rsidR="00007763">
        <w:t>ISS</w:t>
      </w:r>
      <w:proofErr w:type="spellEnd"/>
      <w:r w:rsidR="00007763">
        <w:t>)</w:t>
      </w:r>
      <w:r w:rsidRPr="002D38E6">
        <w:t xml:space="preserve"> follows equivalent surveys conducted in </w:t>
      </w:r>
      <w:r w:rsidR="006C761A">
        <w:t xml:space="preserve">Australia in </w:t>
      </w:r>
      <w:r w:rsidRPr="002D38E6">
        <w:t xml:space="preserve">2012 and 2010. </w:t>
      </w:r>
      <w:r w:rsidR="00820B66" w:rsidRPr="002D38E6">
        <w:t>This 201</w:t>
      </w:r>
      <w:r w:rsidRPr="002D38E6">
        <w:t>4</w:t>
      </w:r>
      <w:r w:rsidR="00820B66" w:rsidRPr="002D38E6">
        <w:t xml:space="preserve"> overview report focuses on the satisfaction levels reported by respondents again</w:t>
      </w:r>
      <w:r w:rsidRPr="002D38E6">
        <w:t xml:space="preserve">st a number of key indicators. </w:t>
      </w:r>
      <w:r w:rsidR="00820B66" w:rsidRPr="002D38E6">
        <w:t xml:space="preserve">In addition, </w:t>
      </w:r>
      <w:r w:rsidR="00552628" w:rsidRPr="002D38E6">
        <w:t>high-level</w:t>
      </w:r>
      <w:r w:rsidR="00820B66" w:rsidRPr="002D38E6">
        <w:t xml:space="preserve"> comparisons</w:t>
      </w:r>
      <w:r w:rsidR="006C761A">
        <w:t xml:space="preserve"> are made with </w:t>
      </w:r>
      <w:r w:rsidR="00820B66" w:rsidRPr="002D38E6">
        <w:t>201</w:t>
      </w:r>
      <w:r w:rsidRPr="002D38E6">
        <w:t>4</w:t>
      </w:r>
      <w:r w:rsidR="00820B66" w:rsidRPr="002D38E6">
        <w:t xml:space="preserve"> international benchmarks obtained from </w:t>
      </w:r>
      <w:r w:rsidR="006C761A">
        <w:t xml:space="preserve">use of </w:t>
      </w:r>
      <w:r w:rsidR="00820B66" w:rsidRPr="002D38E6">
        <w:t xml:space="preserve">the </w:t>
      </w:r>
      <w:proofErr w:type="spellStart"/>
      <w:r w:rsidR="001E0349">
        <w:t>ISB</w:t>
      </w:r>
      <w:proofErr w:type="spellEnd"/>
      <w:r w:rsidR="00820B66" w:rsidRPr="002D38E6">
        <w:t xml:space="preserve"> </w:t>
      </w:r>
      <w:r w:rsidR="006C761A">
        <w:t>survey instrument in other major destination countries for international students</w:t>
      </w:r>
      <w:r w:rsidR="00952C5E" w:rsidRPr="002D38E6">
        <w:t>.</w:t>
      </w:r>
      <w:r w:rsidR="006C761A">
        <w:t xml:space="preserve"> Hence the report not only provides information about international students’ experience in Australia, but also how their experience compares to international students studying elsewhere in the world.</w:t>
      </w:r>
    </w:p>
    <w:p w:rsidR="000A0729" w:rsidRPr="002D38E6" w:rsidRDefault="00C75952" w:rsidP="00952C5E">
      <w:pPr>
        <w:sectPr w:rsidR="000A0729" w:rsidRPr="002D38E6" w:rsidSect="00FE55DC">
          <w:footerReference w:type="default" r:id="rId24"/>
          <w:pgSz w:w="11906" w:h="16838"/>
          <w:pgMar w:top="1440" w:right="1440" w:bottom="1985" w:left="1440" w:header="709" w:footer="1009" w:gutter="0"/>
          <w:pgNumType w:fmt="lowerRoman"/>
          <w:cols w:space="708"/>
          <w:docGrid w:linePitch="360"/>
        </w:sectPr>
      </w:pPr>
      <w:r>
        <w:rPr>
          <w:noProof/>
          <w:lang w:eastAsia="en-AU"/>
        </w:rPr>
        <w:drawing>
          <wp:inline distT="0" distB="0" distL="0" distR="0" wp14:anchorId="13063D0A" wp14:editId="716051B1">
            <wp:extent cx="5731510" cy="3825240"/>
            <wp:effectExtent l="0" t="0" r="2540" b="3810"/>
            <wp:docPr id="7" name="Picture 7" descr="Students looking at a laptop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_000030572036_XXXLarge.jpg"/>
                    <pic:cNvPicPr/>
                  </pic:nvPicPr>
                  <pic:blipFill>
                    <a:blip r:embed="rId25">
                      <a:extLst>
                        <a:ext uri="{28A0092B-C50C-407E-A947-70E740481C1C}">
                          <a14:useLocalDpi xmlns:a14="http://schemas.microsoft.com/office/drawing/2010/main" val="0"/>
                        </a:ext>
                      </a:extLst>
                    </a:blip>
                    <a:stretch>
                      <a:fillRect/>
                    </a:stretch>
                  </pic:blipFill>
                  <pic:spPr>
                    <a:xfrm>
                      <a:off x="0" y="0"/>
                      <a:ext cx="5731510" cy="3825240"/>
                    </a:xfrm>
                    <a:prstGeom prst="rect">
                      <a:avLst/>
                    </a:prstGeom>
                  </pic:spPr>
                </pic:pic>
              </a:graphicData>
            </a:graphic>
          </wp:inline>
        </w:drawing>
      </w:r>
    </w:p>
    <w:p w:rsidR="00D65DFF" w:rsidRPr="00112B61" w:rsidRDefault="00112B61" w:rsidP="00112B61">
      <w:pPr>
        <w:rPr>
          <w:rFonts w:ascii="Calibri" w:eastAsiaTheme="majorEastAsia" w:hAnsi="Calibri" w:cstheme="majorBidi"/>
          <w:b/>
          <w:bCs/>
          <w:color w:val="522761"/>
          <w:sz w:val="36"/>
          <w:szCs w:val="28"/>
        </w:rPr>
      </w:pPr>
      <w:r w:rsidRPr="00112B61">
        <w:rPr>
          <w:rFonts w:ascii="Calibri" w:eastAsiaTheme="majorEastAsia" w:hAnsi="Calibri" w:cstheme="majorBidi"/>
          <w:b/>
          <w:bCs/>
          <w:color w:val="522761"/>
          <w:sz w:val="36"/>
          <w:szCs w:val="28"/>
        </w:rPr>
        <w:lastRenderedPageBreak/>
        <w:t>Table of Contents</w:t>
      </w:r>
    </w:p>
    <w:bookmarkStart w:id="3" w:name="_Toc278311546"/>
    <w:p w:rsidR="001159D5" w:rsidRDefault="00C1555E">
      <w:pPr>
        <w:pStyle w:val="TOC1"/>
        <w:tabs>
          <w:tab w:val="right" w:pos="9016"/>
        </w:tabs>
        <w:rPr>
          <w:rFonts w:cstheme="minorBidi"/>
          <w:b w:val="0"/>
          <w:bCs w:val="0"/>
          <w:i w:val="0"/>
          <w:iCs w:val="0"/>
          <w:noProof/>
          <w:sz w:val="22"/>
          <w:szCs w:val="22"/>
          <w:lang w:eastAsia="en-AU"/>
        </w:rPr>
      </w:pPr>
      <w:r w:rsidRPr="00C1555E">
        <w:rPr>
          <w:i w:val="0"/>
        </w:rPr>
        <w:fldChar w:fldCharType="begin"/>
      </w:r>
      <w:r w:rsidRPr="00C1555E">
        <w:rPr>
          <w:i w:val="0"/>
        </w:rPr>
        <w:instrText xml:space="preserve"> TOC \o "1-3" \u </w:instrText>
      </w:r>
      <w:r w:rsidRPr="00C1555E">
        <w:rPr>
          <w:i w:val="0"/>
        </w:rPr>
        <w:fldChar w:fldCharType="separate"/>
      </w:r>
      <w:r w:rsidR="001159D5">
        <w:rPr>
          <w:noProof/>
        </w:rPr>
        <w:t>Introduction</w:t>
      </w:r>
      <w:r w:rsidR="001159D5">
        <w:rPr>
          <w:noProof/>
        </w:rPr>
        <w:tab/>
      </w:r>
      <w:r w:rsidR="001159D5">
        <w:rPr>
          <w:noProof/>
        </w:rPr>
        <w:fldChar w:fldCharType="begin"/>
      </w:r>
      <w:r w:rsidR="001159D5">
        <w:rPr>
          <w:noProof/>
        </w:rPr>
        <w:instrText xml:space="preserve"> PAGEREF _Toc417300790 \h </w:instrText>
      </w:r>
      <w:r w:rsidR="001159D5">
        <w:rPr>
          <w:noProof/>
        </w:rPr>
      </w:r>
      <w:r w:rsidR="001159D5">
        <w:rPr>
          <w:noProof/>
        </w:rPr>
        <w:fldChar w:fldCharType="separate"/>
      </w:r>
      <w:r w:rsidR="00153FC1">
        <w:rPr>
          <w:noProof/>
        </w:rPr>
        <w:t>iii</w:t>
      </w:r>
      <w:r w:rsidR="001159D5">
        <w:rPr>
          <w:noProof/>
        </w:rPr>
        <w:fldChar w:fldCharType="end"/>
      </w:r>
    </w:p>
    <w:p w:rsidR="001159D5" w:rsidRDefault="001159D5">
      <w:pPr>
        <w:pStyle w:val="TOC1"/>
        <w:tabs>
          <w:tab w:val="right" w:pos="9016"/>
        </w:tabs>
        <w:rPr>
          <w:rFonts w:cstheme="minorBidi"/>
          <w:b w:val="0"/>
          <w:bCs w:val="0"/>
          <w:i w:val="0"/>
          <w:iCs w:val="0"/>
          <w:noProof/>
          <w:sz w:val="22"/>
          <w:szCs w:val="22"/>
          <w:lang w:eastAsia="en-AU"/>
        </w:rPr>
      </w:pPr>
      <w:r>
        <w:rPr>
          <w:noProof/>
        </w:rPr>
        <w:t>Tables</w:t>
      </w:r>
      <w:r>
        <w:rPr>
          <w:noProof/>
        </w:rPr>
        <w:tab/>
      </w:r>
      <w:r>
        <w:rPr>
          <w:noProof/>
        </w:rPr>
        <w:fldChar w:fldCharType="begin"/>
      </w:r>
      <w:r>
        <w:rPr>
          <w:noProof/>
        </w:rPr>
        <w:instrText xml:space="preserve"> PAGEREF _Toc417300791 \h </w:instrText>
      </w:r>
      <w:r>
        <w:rPr>
          <w:noProof/>
        </w:rPr>
      </w:r>
      <w:r>
        <w:rPr>
          <w:noProof/>
        </w:rPr>
        <w:fldChar w:fldCharType="separate"/>
      </w:r>
      <w:r w:rsidR="00153FC1">
        <w:rPr>
          <w:noProof/>
        </w:rPr>
        <w:t>v</w:t>
      </w:r>
      <w:r>
        <w:rPr>
          <w:noProof/>
        </w:rPr>
        <w:fldChar w:fldCharType="end"/>
      </w:r>
    </w:p>
    <w:p w:rsidR="001159D5" w:rsidRDefault="001159D5">
      <w:pPr>
        <w:pStyle w:val="TOC1"/>
        <w:tabs>
          <w:tab w:val="right" w:pos="9016"/>
        </w:tabs>
        <w:rPr>
          <w:rFonts w:cstheme="minorBidi"/>
          <w:b w:val="0"/>
          <w:bCs w:val="0"/>
          <w:i w:val="0"/>
          <w:iCs w:val="0"/>
          <w:noProof/>
          <w:sz w:val="22"/>
          <w:szCs w:val="22"/>
          <w:lang w:eastAsia="en-AU"/>
        </w:rPr>
      </w:pPr>
      <w:r>
        <w:rPr>
          <w:noProof/>
        </w:rPr>
        <w:t>List of Acronyms</w:t>
      </w:r>
      <w:r>
        <w:rPr>
          <w:noProof/>
        </w:rPr>
        <w:tab/>
      </w:r>
      <w:r>
        <w:rPr>
          <w:noProof/>
        </w:rPr>
        <w:fldChar w:fldCharType="begin"/>
      </w:r>
      <w:r>
        <w:rPr>
          <w:noProof/>
        </w:rPr>
        <w:instrText xml:space="preserve"> PAGEREF _Toc417300792 \h </w:instrText>
      </w:r>
      <w:r>
        <w:rPr>
          <w:noProof/>
        </w:rPr>
      </w:r>
      <w:r>
        <w:rPr>
          <w:noProof/>
        </w:rPr>
        <w:fldChar w:fldCharType="separate"/>
      </w:r>
      <w:r w:rsidR="00153FC1">
        <w:rPr>
          <w:noProof/>
        </w:rPr>
        <w:t>vi</w:t>
      </w:r>
      <w:r>
        <w:rPr>
          <w:noProof/>
        </w:rPr>
        <w:fldChar w:fldCharType="end"/>
      </w:r>
    </w:p>
    <w:p w:rsidR="001159D5" w:rsidRDefault="001159D5">
      <w:pPr>
        <w:pStyle w:val="TOC1"/>
        <w:tabs>
          <w:tab w:val="right" w:pos="9016"/>
        </w:tabs>
        <w:rPr>
          <w:rFonts w:cstheme="minorBidi"/>
          <w:b w:val="0"/>
          <w:bCs w:val="0"/>
          <w:i w:val="0"/>
          <w:iCs w:val="0"/>
          <w:noProof/>
          <w:sz w:val="22"/>
          <w:szCs w:val="22"/>
          <w:lang w:eastAsia="en-AU"/>
        </w:rPr>
      </w:pPr>
      <w:r>
        <w:rPr>
          <w:noProof/>
        </w:rPr>
        <w:t>Executive Summary</w:t>
      </w:r>
      <w:r>
        <w:rPr>
          <w:noProof/>
        </w:rPr>
        <w:tab/>
      </w:r>
      <w:r>
        <w:rPr>
          <w:noProof/>
        </w:rPr>
        <w:fldChar w:fldCharType="begin"/>
      </w:r>
      <w:r>
        <w:rPr>
          <w:noProof/>
        </w:rPr>
        <w:instrText xml:space="preserve"> PAGEREF _Toc417300793 \h </w:instrText>
      </w:r>
      <w:r>
        <w:rPr>
          <w:noProof/>
        </w:rPr>
      </w:r>
      <w:r>
        <w:rPr>
          <w:noProof/>
        </w:rPr>
        <w:fldChar w:fldCharType="separate"/>
      </w:r>
      <w:r w:rsidR="00153FC1">
        <w:rPr>
          <w:noProof/>
        </w:rPr>
        <w:t>vii</w:t>
      </w:r>
      <w:r>
        <w:rPr>
          <w:noProof/>
        </w:rPr>
        <w:fldChar w:fldCharType="end"/>
      </w:r>
    </w:p>
    <w:p w:rsidR="001159D5" w:rsidRDefault="001159D5">
      <w:pPr>
        <w:pStyle w:val="TOC1"/>
        <w:tabs>
          <w:tab w:val="right" w:pos="9016"/>
        </w:tabs>
        <w:rPr>
          <w:rFonts w:cstheme="minorBidi"/>
          <w:b w:val="0"/>
          <w:bCs w:val="0"/>
          <w:i w:val="0"/>
          <w:iCs w:val="0"/>
          <w:noProof/>
          <w:sz w:val="22"/>
          <w:szCs w:val="22"/>
          <w:lang w:eastAsia="en-AU"/>
        </w:rPr>
      </w:pPr>
      <w:r>
        <w:rPr>
          <w:noProof/>
        </w:rPr>
        <w:t>About the report</w:t>
      </w:r>
      <w:r>
        <w:rPr>
          <w:noProof/>
        </w:rPr>
        <w:tab/>
      </w:r>
      <w:r>
        <w:rPr>
          <w:noProof/>
        </w:rPr>
        <w:fldChar w:fldCharType="begin"/>
      </w:r>
      <w:r>
        <w:rPr>
          <w:noProof/>
        </w:rPr>
        <w:instrText xml:space="preserve"> PAGEREF _Toc417300794 \h </w:instrText>
      </w:r>
      <w:r>
        <w:rPr>
          <w:noProof/>
        </w:rPr>
      </w:r>
      <w:r>
        <w:rPr>
          <w:noProof/>
        </w:rPr>
        <w:fldChar w:fldCharType="separate"/>
      </w:r>
      <w:r w:rsidR="00153FC1">
        <w:rPr>
          <w:noProof/>
        </w:rPr>
        <w:t>1</w:t>
      </w:r>
      <w:r>
        <w:rPr>
          <w:noProof/>
        </w:rPr>
        <w:fldChar w:fldCharType="end"/>
      </w:r>
    </w:p>
    <w:p w:rsidR="001159D5" w:rsidRDefault="001159D5">
      <w:pPr>
        <w:pStyle w:val="TOC2"/>
        <w:tabs>
          <w:tab w:val="right" w:pos="9016"/>
        </w:tabs>
        <w:rPr>
          <w:rFonts w:cstheme="minorBidi"/>
          <w:b w:val="0"/>
          <w:bCs w:val="0"/>
          <w:noProof/>
          <w:lang w:eastAsia="en-AU"/>
        </w:rPr>
      </w:pPr>
      <w:r>
        <w:rPr>
          <w:noProof/>
        </w:rPr>
        <w:t>Background</w:t>
      </w:r>
      <w:r>
        <w:rPr>
          <w:noProof/>
        </w:rPr>
        <w:tab/>
      </w:r>
      <w:r>
        <w:rPr>
          <w:noProof/>
        </w:rPr>
        <w:fldChar w:fldCharType="begin"/>
      </w:r>
      <w:r>
        <w:rPr>
          <w:noProof/>
        </w:rPr>
        <w:instrText xml:space="preserve"> PAGEREF _Toc417300795 \h </w:instrText>
      </w:r>
      <w:r>
        <w:rPr>
          <w:noProof/>
        </w:rPr>
      </w:r>
      <w:r>
        <w:rPr>
          <w:noProof/>
        </w:rPr>
        <w:fldChar w:fldCharType="separate"/>
      </w:r>
      <w:r w:rsidR="00153FC1">
        <w:rPr>
          <w:noProof/>
        </w:rPr>
        <w:t>1</w:t>
      </w:r>
      <w:r>
        <w:rPr>
          <w:noProof/>
        </w:rPr>
        <w:fldChar w:fldCharType="end"/>
      </w:r>
    </w:p>
    <w:p w:rsidR="001159D5" w:rsidRDefault="001159D5">
      <w:pPr>
        <w:pStyle w:val="TOC2"/>
        <w:tabs>
          <w:tab w:val="right" w:pos="9016"/>
        </w:tabs>
        <w:rPr>
          <w:rFonts w:cstheme="minorBidi"/>
          <w:b w:val="0"/>
          <w:bCs w:val="0"/>
          <w:noProof/>
          <w:lang w:eastAsia="en-AU"/>
        </w:rPr>
      </w:pPr>
      <w:r>
        <w:rPr>
          <w:noProof/>
        </w:rPr>
        <w:t>Objectives</w:t>
      </w:r>
      <w:r>
        <w:rPr>
          <w:noProof/>
        </w:rPr>
        <w:tab/>
      </w:r>
      <w:r>
        <w:rPr>
          <w:noProof/>
        </w:rPr>
        <w:fldChar w:fldCharType="begin"/>
      </w:r>
      <w:r>
        <w:rPr>
          <w:noProof/>
        </w:rPr>
        <w:instrText xml:space="preserve"> PAGEREF _Toc417300796 \h </w:instrText>
      </w:r>
      <w:r>
        <w:rPr>
          <w:noProof/>
        </w:rPr>
      </w:r>
      <w:r>
        <w:rPr>
          <w:noProof/>
        </w:rPr>
        <w:fldChar w:fldCharType="separate"/>
      </w:r>
      <w:r w:rsidR="00153FC1">
        <w:rPr>
          <w:noProof/>
        </w:rPr>
        <w:t>1</w:t>
      </w:r>
      <w:r>
        <w:rPr>
          <w:noProof/>
        </w:rPr>
        <w:fldChar w:fldCharType="end"/>
      </w:r>
    </w:p>
    <w:p w:rsidR="001159D5" w:rsidRDefault="001159D5">
      <w:pPr>
        <w:pStyle w:val="TOC2"/>
        <w:tabs>
          <w:tab w:val="right" w:pos="9016"/>
        </w:tabs>
        <w:rPr>
          <w:rFonts w:cstheme="minorBidi"/>
          <w:b w:val="0"/>
          <w:bCs w:val="0"/>
          <w:noProof/>
          <w:lang w:eastAsia="en-AU"/>
        </w:rPr>
      </w:pPr>
      <w:r>
        <w:rPr>
          <w:noProof/>
        </w:rPr>
        <w:t>Scope</w:t>
      </w:r>
      <w:r>
        <w:rPr>
          <w:noProof/>
        </w:rPr>
        <w:tab/>
      </w:r>
      <w:r>
        <w:rPr>
          <w:noProof/>
        </w:rPr>
        <w:fldChar w:fldCharType="begin"/>
      </w:r>
      <w:r>
        <w:rPr>
          <w:noProof/>
        </w:rPr>
        <w:instrText xml:space="preserve"> PAGEREF _Toc417300797 \h </w:instrText>
      </w:r>
      <w:r>
        <w:rPr>
          <w:noProof/>
        </w:rPr>
      </w:r>
      <w:r>
        <w:rPr>
          <w:noProof/>
        </w:rPr>
        <w:fldChar w:fldCharType="separate"/>
      </w:r>
      <w:r w:rsidR="00153FC1">
        <w:rPr>
          <w:noProof/>
        </w:rPr>
        <w:t>2</w:t>
      </w:r>
      <w:r>
        <w:rPr>
          <w:noProof/>
        </w:rPr>
        <w:fldChar w:fldCharType="end"/>
      </w:r>
    </w:p>
    <w:p w:rsidR="001159D5" w:rsidRDefault="001159D5">
      <w:pPr>
        <w:pStyle w:val="TOC2"/>
        <w:tabs>
          <w:tab w:val="right" w:pos="9016"/>
        </w:tabs>
        <w:rPr>
          <w:rFonts w:cstheme="minorBidi"/>
          <w:b w:val="0"/>
          <w:bCs w:val="0"/>
          <w:noProof/>
          <w:lang w:eastAsia="en-AU"/>
        </w:rPr>
      </w:pPr>
      <w:r>
        <w:rPr>
          <w:noProof/>
        </w:rPr>
        <w:t>Research methodology</w:t>
      </w:r>
      <w:r>
        <w:rPr>
          <w:noProof/>
        </w:rPr>
        <w:tab/>
      </w:r>
      <w:r>
        <w:rPr>
          <w:noProof/>
        </w:rPr>
        <w:fldChar w:fldCharType="begin"/>
      </w:r>
      <w:r>
        <w:rPr>
          <w:noProof/>
        </w:rPr>
        <w:instrText xml:space="preserve"> PAGEREF _Toc417300798 \h </w:instrText>
      </w:r>
      <w:r>
        <w:rPr>
          <w:noProof/>
        </w:rPr>
      </w:r>
      <w:r>
        <w:rPr>
          <w:noProof/>
        </w:rPr>
        <w:fldChar w:fldCharType="separate"/>
      </w:r>
      <w:r w:rsidR="00153FC1">
        <w:rPr>
          <w:noProof/>
        </w:rPr>
        <w:t>2</w:t>
      </w:r>
      <w:r>
        <w:rPr>
          <w:noProof/>
        </w:rPr>
        <w:fldChar w:fldCharType="end"/>
      </w:r>
    </w:p>
    <w:p w:rsidR="001159D5" w:rsidRDefault="001159D5">
      <w:pPr>
        <w:pStyle w:val="TOC1"/>
        <w:tabs>
          <w:tab w:val="right" w:pos="9016"/>
        </w:tabs>
        <w:rPr>
          <w:rFonts w:cstheme="minorBidi"/>
          <w:b w:val="0"/>
          <w:bCs w:val="0"/>
          <w:i w:val="0"/>
          <w:iCs w:val="0"/>
          <w:noProof/>
          <w:sz w:val="22"/>
          <w:szCs w:val="22"/>
          <w:lang w:eastAsia="en-AU"/>
        </w:rPr>
      </w:pPr>
      <w:r>
        <w:rPr>
          <w:noProof/>
        </w:rPr>
        <w:t>Key Findings</w:t>
      </w:r>
      <w:r>
        <w:rPr>
          <w:noProof/>
        </w:rPr>
        <w:tab/>
      </w:r>
      <w:r>
        <w:rPr>
          <w:noProof/>
        </w:rPr>
        <w:fldChar w:fldCharType="begin"/>
      </w:r>
      <w:r>
        <w:rPr>
          <w:noProof/>
        </w:rPr>
        <w:instrText xml:space="preserve"> PAGEREF _Toc417300799 \h </w:instrText>
      </w:r>
      <w:r>
        <w:rPr>
          <w:noProof/>
        </w:rPr>
      </w:r>
      <w:r>
        <w:rPr>
          <w:noProof/>
        </w:rPr>
        <w:fldChar w:fldCharType="separate"/>
      </w:r>
      <w:r w:rsidR="00153FC1">
        <w:rPr>
          <w:noProof/>
        </w:rPr>
        <w:t>4</w:t>
      </w:r>
      <w:r>
        <w:rPr>
          <w:noProof/>
        </w:rPr>
        <w:fldChar w:fldCharType="end"/>
      </w:r>
    </w:p>
    <w:p w:rsidR="001159D5" w:rsidRDefault="001159D5">
      <w:pPr>
        <w:pStyle w:val="TOC2"/>
        <w:tabs>
          <w:tab w:val="right" w:pos="9016"/>
        </w:tabs>
        <w:rPr>
          <w:rFonts w:cstheme="minorBidi"/>
          <w:b w:val="0"/>
          <w:bCs w:val="0"/>
          <w:noProof/>
          <w:lang w:eastAsia="en-AU"/>
        </w:rPr>
      </w:pPr>
      <w:r>
        <w:rPr>
          <w:noProof/>
        </w:rPr>
        <w:t>Overall satisfaction</w:t>
      </w:r>
      <w:r>
        <w:rPr>
          <w:noProof/>
        </w:rPr>
        <w:tab/>
      </w:r>
      <w:r>
        <w:rPr>
          <w:noProof/>
        </w:rPr>
        <w:fldChar w:fldCharType="begin"/>
      </w:r>
      <w:r>
        <w:rPr>
          <w:noProof/>
        </w:rPr>
        <w:instrText xml:space="preserve"> PAGEREF _Toc417300800 \h </w:instrText>
      </w:r>
      <w:r>
        <w:rPr>
          <w:noProof/>
        </w:rPr>
      </w:r>
      <w:r>
        <w:rPr>
          <w:noProof/>
        </w:rPr>
        <w:fldChar w:fldCharType="separate"/>
      </w:r>
      <w:r w:rsidR="00153FC1">
        <w:rPr>
          <w:noProof/>
        </w:rPr>
        <w:t>4</w:t>
      </w:r>
      <w:r>
        <w:rPr>
          <w:noProof/>
        </w:rPr>
        <w:fldChar w:fldCharType="end"/>
      </w:r>
    </w:p>
    <w:p w:rsidR="001159D5" w:rsidRDefault="001159D5">
      <w:pPr>
        <w:pStyle w:val="TOC3"/>
        <w:tabs>
          <w:tab w:val="right" w:pos="9016"/>
        </w:tabs>
        <w:rPr>
          <w:rFonts w:cstheme="minorBidi"/>
          <w:noProof/>
          <w:sz w:val="22"/>
          <w:szCs w:val="22"/>
          <w:lang w:eastAsia="en-AU"/>
        </w:rPr>
      </w:pPr>
      <w:r>
        <w:rPr>
          <w:noProof/>
        </w:rPr>
        <w:t>Higher education</w:t>
      </w:r>
      <w:r>
        <w:rPr>
          <w:noProof/>
        </w:rPr>
        <w:tab/>
      </w:r>
      <w:r>
        <w:rPr>
          <w:noProof/>
        </w:rPr>
        <w:fldChar w:fldCharType="begin"/>
      </w:r>
      <w:r>
        <w:rPr>
          <w:noProof/>
        </w:rPr>
        <w:instrText xml:space="preserve"> PAGEREF _Toc417300801 \h </w:instrText>
      </w:r>
      <w:r>
        <w:rPr>
          <w:noProof/>
        </w:rPr>
      </w:r>
      <w:r>
        <w:rPr>
          <w:noProof/>
        </w:rPr>
        <w:fldChar w:fldCharType="separate"/>
      </w:r>
      <w:r w:rsidR="00153FC1">
        <w:rPr>
          <w:noProof/>
        </w:rPr>
        <w:t>4</w:t>
      </w:r>
      <w:r>
        <w:rPr>
          <w:noProof/>
        </w:rPr>
        <w:fldChar w:fldCharType="end"/>
      </w:r>
    </w:p>
    <w:p w:rsidR="001159D5" w:rsidRDefault="001159D5">
      <w:pPr>
        <w:pStyle w:val="TOC3"/>
        <w:tabs>
          <w:tab w:val="right" w:pos="9016"/>
        </w:tabs>
        <w:rPr>
          <w:rFonts w:cstheme="minorBidi"/>
          <w:noProof/>
          <w:sz w:val="22"/>
          <w:szCs w:val="22"/>
          <w:lang w:eastAsia="en-AU"/>
        </w:rPr>
      </w:pPr>
      <w:r>
        <w:rPr>
          <w:noProof/>
        </w:rPr>
        <w:t>Vocational education and training (VET)</w:t>
      </w:r>
      <w:r>
        <w:rPr>
          <w:noProof/>
        </w:rPr>
        <w:tab/>
      </w:r>
      <w:r>
        <w:rPr>
          <w:noProof/>
        </w:rPr>
        <w:fldChar w:fldCharType="begin"/>
      </w:r>
      <w:r>
        <w:rPr>
          <w:noProof/>
        </w:rPr>
        <w:instrText xml:space="preserve"> PAGEREF _Toc417300802 \h </w:instrText>
      </w:r>
      <w:r>
        <w:rPr>
          <w:noProof/>
        </w:rPr>
      </w:r>
      <w:r>
        <w:rPr>
          <w:noProof/>
        </w:rPr>
        <w:fldChar w:fldCharType="separate"/>
      </w:r>
      <w:r w:rsidR="00153FC1">
        <w:rPr>
          <w:noProof/>
        </w:rPr>
        <w:t>4</w:t>
      </w:r>
      <w:r>
        <w:rPr>
          <w:noProof/>
        </w:rPr>
        <w:fldChar w:fldCharType="end"/>
      </w:r>
    </w:p>
    <w:p w:rsidR="001159D5" w:rsidRDefault="001159D5">
      <w:pPr>
        <w:pStyle w:val="TOC3"/>
        <w:tabs>
          <w:tab w:val="right" w:pos="9016"/>
        </w:tabs>
        <w:rPr>
          <w:rFonts w:cstheme="minorBidi"/>
          <w:noProof/>
          <w:sz w:val="22"/>
          <w:szCs w:val="22"/>
          <w:lang w:eastAsia="en-AU"/>
        </w:rPr>
      </w:pPr>
      <w:r>
        <w:rPr>
          <w:noProof/>
        </w:rPr>
        <w:t>English Language Intensive Courses for Overseas Students (ELICOS)</w:t>
      </w:r>
      <w:r>
        <w:rPr>
          <w:noProof/>
        </w:rPr>
        <w:tab/>
      </w:r>
      <w:r>
        <w:rPr>
          <w:noProof/>
        </w:rPr>
        <w:fldChar w:fldCharType="begin"/>
      </w:r>
      <w:r>
        <w:rPr>
          <w:noProof/>
        </w:rPr>
        <w:instrText xml:space="preserve"> PAGEREF _Toc417300803 \h </w:instrText>
      </w:r>
      <w:r>
        <w:rPr>
          <w:noProof/>
        </w:rPr>
      </w:r>
      <w:r>
        <w:rPr>
          <w:noProof/>
        </w:rPr>
        <w:fldChar w:fldCharType="separate"/>
      </w:r>
      <w:r w:rsidR="00153FC1">
        <w:rPr>
          <w:noProof/>
        </w:rPr>
        <w:t>5</w:t>
      </w:r>
      <w:r>
        <w:rPr>
          <w:noProof/>
        </w:rPr>
        <w:fldChar w:fldCharType="end"/>
      </w:r>
    </w:p>
    <w:p w:rsidR="001159D5" w:rsidRDefault="001159D5">
      <w:pPr>
        <w:pStyle w:val="TOC3"/>
        <w:tabs>
          <w:tab w:val="right" w:pos="9016"/>
        </w:tabs>
        <w:rPr>
          <w:rFonts w:cstheme="minorBidi"/>
          <w:noProof/>
          <w:sz w:val="22"/>
          <w:szCs w:val="22"/>
          <w:lang w:eastAsia="en-AU"/>
        </w:rPr>
      </w:pPr>
      <w:r>
        <w:rPr>
          <w:noProof/>
        </w:rPr>
        <w:t>Secondary schools</w:t>
      </w:r>
      <w:r>
        <w:rPr>
          <w:noProof/>
        </w:rPr>
        <w:tab/>
      </w:r>
      <w:r>
        <w:rPr>
          <w:noProof/>
        </w:rPr>
        <w:fldChar w:fldCharType="begin"/>
      </w:r>
      <w:r>
        <w:rPr>
          <w:noProof/>
        </w:rPr>
        <w:instrText xml:space="preserve"> PAGEREF _Toc417300804 \h </w:instrText>
      </w:r>
      <w:r>
        <w:rPr>
          <w:noProof/>
        </w:rPr>
      </w:r>
      <w:r>
        <w:rPr>
          <w:noProof/>
        </w:rPr>
        <w:fldChar w:fldCharType="separate"/>
      </w:r>
      <w:r w:rsidR="00153FC1">
        <w:rPr>
          <w:noProof/>
        </w:rPr>
        <w:t>5</w:t>
      </w:r>
      <w:r>
        <w:rPr>
          <w:noProof/>
        </w:rPr>
        <w:fldChar w:fldCharType="end"/>
      </w:r>
    </w:p>
    <w:p w:rsidR="001159D5" w:rsidRDefault="001159D5">
      <w:pPr>
        <w:pStyle w:val="TOC2"/>
        <w:tabs>
          <w:tab w:val="right" w:pos="9016"/>
        </w:tabs>
        <w:rPr>
          <w:rFonts w:cstheme="minorBidi"/>
          <w:b w:val="0"/>
          <w:bCs w:val="0"/>
          <w:noProof/>
          <w:lang w:eastAsia="en-AU"/>
        </w:rPr>
      </w:pPr>
      <w:r>
        <w:rPr>
          <w:noProof/>
        </w:rPr>
        <w:t>Satisfaction with learning in Australia</w:t>
      </w:r>
      <w:r>
        <w:rPr>
          <w:noProof/>
        </w:rPr>
        <w:tab/>
      </w:r>
      <w:r>
        <w:rPr>
          <w:noProof/>
        </w:rPr>
        <w:fldChar w:fldCharType="begin"/>
      </w:r>
      <w:r>
        <w:rPr>
          <w:noProof/>
        </w:rPr>
        <w:instrText xml:space="preserve"> PAGEREF _Toc417300805 \h </w:instrText>
      </w:r>
      <w:r>
        <w:rPr>
          <w:noProof/>
        </w:rPr>
      </w:r>
      <w:r>
        <w:rPr>
          <w:noProof/>
        </w:rPr>
        <w:fldChar w:fldCharType="separate"/>
      </w:r>
      <w:r w:rsidR="00153FC1">
        <w:rPr>
          <w:noProof/>
        </w:rPr>
        <w:t>6</w:t>
      </w:r>
      <w:r>
        <w:rPr>
          <w:noProof/>
        </w:rPr>
        <w:fldChar w:fldCharType="end"/>
      </w:r>
    </w:p>
    <w:p w:rsidR="001159D5" w:rsidRDefault="001159D5">
      <w:pPr>
        <w:pStyle w:val="TOC2"/>
        <w:tabs>
          <w:tab w:val="right" w:pos="9016"/>
        </w:tabs>
        <w:rPr>
          <w:rFonts w:cstheme="minorBidi"/>
          <w:b w:val="0"/>
          <w:bCs w:val="0"/>
          <w:noProof/>
          <w:lang w:eastAsia="en-AU"/>
        </w:rPr>
      </w:pPr>
      <w:r>
        <w:rPr>
          <w:noProof/>
        </w:rPr>
        <w:t>Satisfaction with support on arrival</w:t>
      </w:r>
      <w:r>
        <w:rPr>
          <w:noProof/>
        </w:rPr>
        <w:tab/>
      </w:r>
      <w:r>
        <w:rPr>
          <w:noProof/>
        </w:rPr>
        <w:fldChar w:fldCharType="begin"/>
      </w:r>
      <w:r>
        <w:rPr>
          <w:noProof/>
        </w:rPr>
        <w:instrText xml:space="preserve"> PAGEREF _Toc417300806 \h </w:instrText>
      </w:r>
      <w:r>
        <w:rPr>
          <w:noProof/>
        </w:rPr>
      </w:r>
      <w:r>
        <w:rPr>
          <w:noProof/>
        </w:rPr>
        <w:fldChar w:fldCharType="separate"/>
      </w:r>
      <w:r w:rsidR="00153FC1">
        <w:rPr>
          <w:noProof/>
        </w:rPr>
        <w:t>8</w:t>
      </w:r>
      <w:r>
        <w:rPr>
          <w:noProof/>
        </w:rPr>
        <w:fldChar w:fldCharType="end"/>
      </w:r>
    </w:p>
    <w:p w:rsidR="001159D5" w:rsidRDefault="001159D5">
      <w:pPr>
        <w:pStyle w:val="TOC2"/>
        <w:tabs>
          <w:tab w:val="right" w:pos="9016"/>
        </w:tabs>
        <w:rPr>
          <w:rFonts w:cstheme="minorBidi"/>
          <w:b w:val="0"/>
          <w:bCs w:val="0"/>
          <w:noProof/>
          <w:lang w:eastAsia="en-AU"/>
        </w:rPr>
      </w:pPr>
      <w:r>
        <w:rPr>
          <w:noProof/>
        </w:rPr>
        <w:t>Satisfaction with living in Australia</w:t>
      </w:r>
      <w:r>
        <w:rPr>
          <w:noProof/>
        </w:rPr>
        <w:tab/>
      </w:r>
      <w:r>
        <w:rPr>
          <w:noProof/>
        </w:rPr>
        <w:fldChar w:fldCharType="begin"/>
      </w:r>
      <w:r>
        <w:rPr>
          <w:noProof/>
        </w:rPr>
        <w:instrText xml:space="preserve"> PAGEREF _Toc417300807 \h </w:instrText>
      </w:r>
      <w:r>
        <w:rPr>
          <w:noProof/>
        </w:rPr>
      </w:r>
      <w:r>
        <w:rPr>
          <w:noProof/>
        </w:rPr>
        <w:fldChar w:fldCharType="separate"/>
      </w:r>
      <w:r w:rsidR="00153FC1">
        <w:rPr>
          <w:noProof/>
        </w:rPr>
        <w:t>10</w:t>
      </w:r>
      <w:r>
        <w:rPr>
          <w:noProof/>
        </w:rPr>
        <w:fldChar w:fldCharType="end"/>
      </w:r>
    </w:p>
    <w:p w:rsidR="001159D5" w:rsidRDefault="001159D5">
      <w:pPr>
        <w:pStyle w:val="TOC2"/>
        <w:tabs>
          <w:tab w:val="right" w:pos="9016"/>
        </w:tabs>
        <w:rPr>
          <w:rFonts w:cstheme="minorBidi"/>
          <w:b w:val="0"/>
          <w:bCs w:val="0"/>
          <w:noProof/>
          <w:lang w:eastAsia="en-AU"/>
        </w:rPr>
      </w:pPr>
      <w:r>
        <w:rPr>
          <w:noProof/>
        </w:rPr>
        <w:t>Satisfaction with support services</w:t>
      </w:r>
      <w:r>
        <w:rPr>
          <w:noProof/>
        </w:rPr>
        <w:tab/>
      </w:r>
      <w:r>
        <w:rPr>
          <w:noProof/>
        </w:rPr>
        <w:fldChar w:fldCharType="begin"/>
      </w:r>
      <w:r>
        <w:rPr>
          <w:noProof/>
        </w:rPr>
        <w:instrText xml:space="preserve"> PAGEREF _Toc417300808 \h </w:instrText>
      </w:r>
      <w:r>
        <w:rPr>
          <w:noProof/>
        </w:rPr>
      </w:r>
      <w:r>
        <w:rPr>
          <w:noProof/>
        </w:rPr>
        <w:fldChar w:fldCharType="separate"/>
      </w:r>
      <w:r w:rsidR="00153FC1">
        <w:rPr>
          <w:noProof/>
        </w:rPr>
        <w:t>14</w:t>
      </w:r>
      <w:r>
        <w:rPr>
          <w:noProof/>
        </w:rPr>
        <w:fldChar w:fldCharType="end"/>
      </w:r>
    </w:p>
    <w:p w:rsidR="001159D5" w:rsidRDefault="001159D5">
      <w:pPr>
        <w:pStyle w:val="TOC2"/>
        <w:tabs>
          <w:tab w:val="right" w:pos="9016"/>
        </w:tabs>
        <w:rPr>
          <w:rFonts w:cstheme="minorBidi"/>
          <w:b w:val="0"/>
          <w:bCs w:val="0"/>
          <w:noProof/>
          <w:lang w:eastAsia="en-AU"/>
        </w:rPr>
      </w:pPr>
      <w:r>
        <w:rPr>
          <w:noProof/>
        </w:rPr>
        <w:t>Factors influencing the choice of where to study</w:t>
      </w:r>
      <w:r>
        <w:rPr>
          <w:noProof/>
        </w:rPr>
        <w:tab/>
      </w:r>
      <w:r>
        <w:rPr>
          <w:noProof/>
        </w:rPr>
        <w:fldChar w:fldCharType="begin"/>
      </w:r>
      <w:r>
        <w:rPr>
          <w:noProof/>
        </w:rPr>
        <w:instrText xml:space="preserve"> PAGEREF _Toc417300809 \h </w:instrText>
      </w:r>
      <w:r>
        <w:rPr>
          <w:noProof/>
        </w:rPr>
      </w:r>
      <w:r>
        <w:rPr>
          <w:noProof/>
        </w:rPr>
        <w:fldChar w:fldCharType="separate"/>
      </w:r>
      <w:r w:rsidR="00153FC1">
        <w:rPr>
          <w:noProof/>
        </w:rPr>
        <w:t>16</w:t>
      </w:r>
      <w:r>
        <w:rPr>
          <w:noProof/>
        </w:rPr>
        <w:fldChar w:fldCharType="end"/>
      </w:r>
    </w:p>
    <w:p w:rsidR="001159D5" w:rsidRDefault="001159D5">
      <w:pPr>
        <w:pStyle w:val="TOC1"/>
        <w:tabs>
          <w:tab w:val="right" w:pos="9016"/>
        </w:tabs>
        <w:rPr>
          <w:rFonts w:cstheme="minorBidi"/>
          <w:b w:val="0"/>
          <w:bCs w:val="0"/>
          <w:i w:val="0"/>
          <w:iCs w:val="0"/>
          <w:noProof/>
          <w:sz w:val="22"/>
          <w:szCs w:val="22"/>
          <w:lang w:eastAsia="en-AU"/>
        </w:rPr>
      </w:pPr>
      <w:r>
        <w:rPr>
          <w:noProof/>
        </w:rPr>
        <w:t>Explanatory Notes for 2014 ISS</w:t>
      </w:r>
      <w:r>
        <w:rPr>
          <w:noProof/>
        </w:rPr>
        <w:tab/>
      </w:r>
      <w:r>
        <w:rPr>
          <w:noProof/>
        </w:rPr>
        <w:fldChar w:fldCharType="begin"/>
      </w:r>
      <w:r>
        <w:rPr>
          <w:noProof/>
        </w:rPr>
        <w:instrText xml:space="preserve"> PAGEREF _Toc417300810 \h </w:instrText>
      </w:r>
      <w:r>
        <w:rPr>
          <w:noProof/>
        </w:rPr>
      </w:r>
      <w:r>
        <w:rPr>
          <w:noProof/>
        </w:rPr>
        <w:fldChar w:fldCharType="separate"/>
      </w:r>
      <w:r w:rsidR="00153FC1">
        <w:rPr>
          <w:noProof/>
        </w:rPr>
        <w:t>19</w:t>
      </w:r>
      <w:r>
        <w:rPr>
          <w:noProof/>
        </w:rPr>
        <w:fldChar w:fldCharType="end"/>
      </w:r>
    </w:p>
    <w:p w:rsidR="001159D5" w:rsidRDefault="001159D5">
      <w:pPr>
        <w:pStyle w:val="TOC2"/>
        <w:tabs>
          <w:tab w:val="right" w:pos="9016"/>
        </w:tabs>
        <w:rPr>
          <w:rFonts w:cstheme="minorBidi"/>
          <w:b w:val="0"/>
          <w:bCs w:val="0"/>
          <w:noProof/>
          <w:lang w:eastAsia="en-AU"/>
        </w:rPr>
      </w:pPr>
      <w:r>
        <w:rPr>
          <w:noProof/>
        </w:rPr>
        <w:t>Comparisons over time and between surveys</w:t>
      </w:r>
      <w:r>
        <w:rPr>
          <w:noProof/>
        </w:rPr>
        <w:tab/>
      </w:r>
      <w:r>
        <w:rPr>
          <w:noProof/>
        </w:rPr>
        <w:fldChar w:fldCharType="begin"/>
      </w:r>
      <w:r>
        <w:rPr>
          <w:noProof/>
        </w:rPr>
        <w:instrText xml:space="preserve"> PAGEREF _Toc417300811 \h </w:instrText>
      </w:r>
      <w:r>
        <w:rPr>
          <w:noProof/>
        </w:rPr>
      </w:r>
      <w:r>
        <w:rPr>
          <w:noProof/>
        </w:rPr>
        <w:fldChar w:fldCharType="separate"/>
      </w:r>
      <w:r w:rsidR="00153FC1">
        <w:rPr>
          <w:noProof/>
        </w:rPr>
        <w:t>19</w:t>
      </w:r>
      <w:r>
        <w:rPr>
          <w:noProof/>
        </w:rPr>
        <w:fldChar w:fldCharType="end"/>
      </w:r>
    </w:p>
    <w:p w:rsidR="002507BF" w:rsidRDefault="00C1555E" w:rsidP="007C367E">
      <w:r w:rsidRPr="00C1555E">
        <w:fldChar w:fldCharType="end"/>
      </w:r>
      <w:r w:rsidR="002507BF">
        <w:br w:type="page"/>
      </w:r>
    </w:p>
    <w:p w:rsidR="00D06F36" w:rsidRPr="00D06F36" w:rsidRDefault="00D06F36" w:rsidP="00D06F36">
      <w:pPr>
        <w:pStyle w:val="Heading1"/>
      </w:pPr>
      <w:bookmarkStart w:id="4" w:name="_Toc415743318"/>
      <w:bookmarkStart w:id="5" w:name="_Toc417300791"/>
      <w:r w:rsidRPr="00D06F36">
        <w:lastRenderedPageBreak/>
        <w:t>Tables</w:t>
      </w:r>
      <w:bookmarkEnd w:id="4"/>
      <w:bookmarkEnd w:id="5"/>
    </w:p>
    <w:p w:rsidR="001159D5" w:rsidRDefault="0044325E">
      <w:pPr>
        <w:pStyle w:val="TableofFigures"/>
        <w:tabs>
          <w:tab w:val="right" w:leader="dot" w:pos="9016"/>
        </w:tabs>
        <w:rPr>
          <w:b w:val="0"/>
          <w:noProof/>
          <w:lang w:eastAsia="en-AU"/>
        </w:rPr>
      </w:pPr>
      <w:r>
        <w:fldChar w:fldCharType="begin"/>
      </w:r>
      <w:r>
        <w:instrText xml:space="preserve"> TOC \c "Table" </w:instrText>
      </w:r>
      <w:r>
        <w:fldChar w:fldCharType="separate"/>
      </w:r>
      <w:r w:rsidR="001159D5">
        <w:rPr>
          <w:noProof/>
        </w:rPr>
        <w:t>Table 1: Summary of 2014 International Student Survey Results</w:t>
      </w:r>
      <w:r w:rsidR="001159D5">
        <w:rPr>
          <w:noProof/>
        </w:rPr>
        <w:tab/>
      </w:r>
      <w:r w:rsidR="001159D5">
        <w:rPr>
          <w:noProof/>
        </w:rPr>
        <w:fldChar w:fldCharType="begin"/>
      </w:r>
      <w:r w:rsidR="001159D5">
        <w:rPr>
          <w:noProof/>
        </w:rPr>
        <w:instrText xml:space="preserve"> PAGEREF _Toc417300812 \h </w:instrText>
      </w:r>
      <w:r w:rsidR="001159D5">
        <w:rPr>
          <w:noProof/>
        </w:rPr>
      </w:r>
      <w:r w:rsidR="001159D5">
        <w:rPr>
          <w:noProof/>
        </w:rPr>
        <w:fldChar w:fldCharType="separate"/>
      </w:r>
      <w:r w:rsidR="00153FC1">
        <w:rPr>
          <w:noProof/>
        </w:rPr>
        <w:t>ix</w:t>
      </w:r>
      <w:r w:rsidR="001159D5">
        <w:rPr>
          <w:noProof/>
        </w:rPr>
        <w:fldChar w:fldCharType="end"/>
      </w:r>
    </w:p>
    <w:p w:rsidR="001159D5" w:rsidRDefault="001159D5">
      <w:pPr>
        <w:pStyle w:val="TableofFigures"/>
        <w:tabs>
          <w:tab w:val="right" w:leader="dot" w:pos="9016"/>
        </w:tabs>
        <w:rPr>
          <w:b w:val="0"/>
          <w:noProof/>
          <w:lang w:eastAsia="en-AU"/>
        </w:rPr>
      </w:pPr>
      <w:r>
        <w:rPr>
          <w:noProof/>
        </w:rPr>
        <w:t>Table 2: Tertiary Respondents Accommodation Choices</w:t>
      </w:r>
      <w:r>
        <w:rPr>
          <w:noProof/>
        </w:rPr>
        <w:tab/>
      </w:r>
      <w:r>
        <w:rPr>
          <w:noProof/>
        </w:rPr>
        <w:fldChar w:fldCharType="begin"/>
      </w:r>
      <w:r>
        <w:rPr>
          <w:noProof/>
        </w:rPr>
        <w:instrText xml:space="preserve"> PAGEREF _Toc417300813 \h </w:instrText>
      </w:r>
      <w:r>
        <w:rPr>
          <w:noProof/>
        </w:rPr>
      </w:r>
      <w:r>
        <w:rPr>
          <w:noProof/>
        </w:rPr>
        <w:fldChar w:fldCharType="separate"/>
      </w:r>
      <w:r w:rsidR="00153FC1">
        <w:rPr>
          <w:noProof/>
        </w:rPr>
        <w:t>11</w:t>
      </w:r>
      <w:r>
        <w:rPr>
          <w:noProof/>
        </w:rPr>
        <w:fldChar w:fldCharType="end"/>
      </w:r>
    </w:p>
    <w:p w:rsidR="001159D5" w:rsidRDefault="001159D5">
      <w:pPr>
        <w:pStyle w:val="TableofFigures"/>
        <w:tabs>
          <w:tab w:val="right" w:leader="dot" w:pos="9016"/>
        </w:tabs>
        <w:rPr>
          <w:b w:val="0"/>
          <w:noProof/>
          <w:lang w:eastAsia="en-AU"/>
        </w:rPr>
      </w:pPr>
      <w:r>
        <w:rPr>
          <w:noProof/>
        </w:rPr>
        <w:t>Table 3: School Respondents Accommodation Choices</w:t>
      </w:r>
      <w:r>
        <w:rPr>
          <w:noProof/>
        </w:rPr>
        <w:tab/>
      </w:r>
      <w:r>
        <w:rPr>
          <w:noProof/>
        </w:rPr>
        <w:fldChar w:fldCharType="begin"/>
      </w:r>
      <w:r>
        <w:rPr>
          <w:noProof/>
        </w:rPr>
        <w:instrText xml:space="preserve"> PAGEREF _Toc417300814 \h </w:instrText>
      </w:r>
      <w:r>
        <w:rPr>
          <w:noProof/>
        </w:rPr>
      </w:r>
      <w:r>
        <w:rPr>
          <w:noProof/>
        </w:rPr>
        <w:fldChar w:fldCharType="separate"/>
      </w:r>
      <w:r w:rsidR="00153FC1">
        <w:rPr>
          <w:noProof/>
        </w:rPr>
        <w:t>11</w:t>
      </w:r>
      <w:r>
        <w:rPr>
          <w:noProof/>
        </w:rPr>
        <w:fldChar w:fldCharType="end"/>
      </w:r>
    </w:p>
    <w:p w:rsidR="001159D5" w:rsidRDefault="001159D5">
      <w:pPr>
        <w:pStyle w:val="TableofFigures"/>
        <w:tabs>
          <w:tab w:val="right" w:leader="dot" w:pos="9016"/>
        </w:tabs>
        <w:rPr>
          <w:b w:val="0"/>
          <w:noProof/>
          <w:lang w:eastAsia="en-AU"/>
        </w:rPr>
      </w:pPr>
      <w:r>
        <w:rPr>
          <w:noProof/>
        </w:rPr>
        <w:t>Table 4: Employment Opportunities</w:t>
      </w:r>
      <w:r>
        <w:rPr>
          <w:noProof/>
        </w:rPr>
        <w:tab/>
      </w:r>
      <w:r>
        <w:rPr>
          <w:noProof/>
        </w:rPr>
        <w:fldChar w:fldCharType="begin"/>
      </w:r>
      <w:r>
        <w:rPr>
          <w:noProof/>
        </w:rPr>
        <w:instrText xml:space="preserve"> PAGEREF _Toc417300815 \h </w:instrText>
      </w:r>
      <w:r>
        <w:rPr>
          <w:noProof/>
        </w:rPr>
      </w:r>
      <w:r>
        <w:rPr>
          <w:noProof/>
        </w:rPr>
        <w:fldChar w:fldCharType="separate"/>
      </w:r>
      <w:r w:rsidR="00153FC1">
        <w:rPr>
          <w:noProof/>
        </w:rPr>
        <w:t>12</w:t>
      </w:r>
      <w:r>
        <w:rPr>
          <w:noProof/>
        </w:rPr>
        <w:fldChar w:fldCharType="end"/>
      </w:r>
    </w:p>
    <w:p w:rsidR="001159D5" w:rsidRDefault="001159D5">
      <w:pPr>
        <w:pStyle w:val="TableofFigures"/>
        <w:tabs>
          <w:tab w:val="right" w:leader="dot" w:pos="9016"/>
        </w:tabs>
        <w:rPr>
          <w:b w:val="0"/>
          <w:noProof/>
          <w:lang w:eastAsia="en-AU"/>
        </w:rPr>
      </w:pPr>
      <w:r>
        <w:rPr>
          <w:noProof/>
        </w:rPr>
        <w:t>Table 5: Future Plans</w:t>
      </w:r>
      <w:r>
        <w:rPr>
          <w:noProof/>
        </w:rPr>
        <w:tab/>
      </w:r>
      <w:r>
        <w:rPr>
          <w:noProof/>
        </w:rPr>
        <w:fldChar w:fldCharType="begin"/>
      </w:r>
      <w:r>
        <w:rPr>
          <w:noProof/>
        </w:rPr>
        <w:instrText xml:space="preserve"> PAGEREF _Toc417300816 \h </w:instrText>
      </w:r>
      <w:r>
        <w:rPr>
          <w:noProof/>
        </w:rPr>
      </w:r>
      <w:r>
        <w:rPr>
          <w:noProof/>
        </w:rPr>
        <w:fldChar w:fldCharType="separate"/>
      </w:r>
      <w:r w:rsidR="00153FC1">
        <w:rPr>
          <w:noProof/>
        </w:rPr>
        <w:t>18</w:t>
      </w:r>
      <w:r>
        <w:rPr>
          <w:noProof/>
        </w:rPr>
        <w:fldChar w:fldCharType="end"/>
      </w:r>
    </w:p>
    <w:p w:rsidR="001159D5" w:rsidRDefault="001159D5">
      <w:pPr>
        <w:pStyle w:val="TableofFigures"/>
        <w:tabs>
          <w:tab w:val="right" w:leader="dot" w:pos="9016"/>
        </w:tabs>
        <w:rPr>
          <w:b w:val="0"/>
          <w:noProof/>
          <w:lang w:eastAsia="en-AU"/>
        </w:rPr>
      </w:pPr>
      <w:r>
        <w:rPr>
          <w:noProof/>
        </w:rPr>
        <w:t>Table 6: Timeframe for the 2014 International Student Survey</w:t>
      </w:r>
      <w:r>
        <w:rPr>
          <w:noProof/>
        </w:rPr>
        <w:tab/>
      </w:r>
      <w:r>
        <w:rPr>
          <w:noProof/>
        </w:rPr>
        <w:fldChar w:fldCharType="begin"/>
      </w:r>
      <w:r>
        <w:rPr>
          <w:noProof/>
        </w:rPr>
        <w:instrText xml:space="preserve"> PAGEREF _Toc417300817 \h </w:instrText>
      </w:r>
      <w:r>
        <w:rPr>
          <w:noProof/>
        </w:rPr>
      </w:r>
      <w:r>
        <w:rPr>
          <w:noProof/>
        </w:rPr>
        <w:fldChar w:fldCharType="separate"/>
      </w:r>
      <w:r w:rsidR="00153FC1">
        <w:rPr>
          <w:noProof/>
        </w:rPr>
        <w:t>19</w:t>
      </w:r>
      <w:r>
        <w:rPr>
          <w:noProof/>
        </w:rPr>
        <w:fldChar w:fldCharType="end"/>
      </w:r>
    </w:p>
    <w:p w:rsidR="001159D5" w:rsidRDefault="001159D5">
      <w:pPr>
        <w:pStyle w:val="TableofFigures"/>
        <w:tabs>
          <w:tab w:val="right" w:leader="dot" w:pos="9016"/>
        </w:tabs>
        <w:rPr>
          <w:b w:val="0"/>
          <w:noProof/>
          <w:lang w:eastAsia="en-AU"/>
        </w:rPr>
      </w:pPr>
      <w:r>
        <w:rPr>
          <w:noProof/>
        </w:rPr>
        <w:t>Table 7: Response Rate for the 2014 International Student Survey</w:t>
      </w:r>
      <w:r>
        <w:rPr>
          <w:noProof/>
        </w:rPr>
        <w:tab/>
      </w:r>
      <w:r>
        <w:rPr>
          <w:noProof/>
        </w:rPr>
        <w:fldChar w:fldCharType="begin"/>
      </w:r>
      <w:r>
        <w:rPr>
          <w:noProof/>
        </w:rPr>
        <w:instrText xml:space="preserve"> PAGEREF _Toc417300818 \h </w:instrText>
      </w:r>
      <w:r>
        <w:rPr>
          <w:noProof/>
        </w:rPr>
      </w:r>
      <w:r>
        <w:rPr>
          <w:noProof/>
        </w:rPr>
        <w:fldChar w:fldCharType="separate"/>
      </w:r>
      <w:r w:rsidR="00153FC1">
        <w:rPr>
          <w:noProof/>
        </w:rPr>
        <w:t>19</w:t>
      </w:r>
      <w:r>
        <w:rPr>
          <w:noProof/>
        </w:rPr>
        <w:fldChar w:fldCharType="end"/>
      </w:r>
    </w:p>
    <w:p w:rsidR="000A0729" w:rsidRPr="006152A6" w:rsidRDefault="0044325E" w:rsidP="006152A6">
      <w:pPr>
        <w:pStyle w:val="TableofFigures"/>
        <w:spacing w:before="2200"/>
        <w:ind w:left="442" w:hanging="442"/>
      </w:pPr>
      <w:r>
        <w:fldChar w:fldCharType="end"/>
      </w:r>
      <w:r w:rsidR="00B15457">
        <w:rPr>
          <w:rFonts w:ascii="Calibri" w:eastAsiaTheme="majorEastAsia" w:hAnsi="Calibri" w:cstheme="majorBidi"/>
          <w:b w:val="0"/>
          <w:bCs/>
          <w:noProof/>
          <w:color w:val="522761"/>
          <w:sz w:val="36"/>
          <w:szCs w:val="28"/>
          <w:lang w:eastAsia="en-AU"/>
        </w:rPr>
        <w:drawing>
          <wp:inline distT="0" distB="0" distL="0" distR="0" wp14:anchorId="172AE1D3" wp14:editId="63260C21">
            <wp:extent cx="5731510" cy="3825240"/>
            <wp:effectExtent l="0" t="0" r="2540" b="3810"/>
            <wp:docPr id="16" name="Picture 16" descr="Students working with comput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_000037432824_XXXLarge.jpg"/>
                    <pic:cNvPicPr/>
                  </pic:nvPicPr>
                  <pic:blipFill>
                    <a:blip r:embed="rId26">
                      <a:extLst>
                        <a:ext uri="{28A0092B-C50C-407E-A947-70E740481C1C}">
                          <a14:useLocalDpi xmlns:a14="http://schemas.microsoft.com/office/drawing/2010/main" val="0"/>
                        </a:ext>
                      </a:extLst>
                    </a:blip>
                    <a:stretch>
                      <a:fillRect/>
                    </a:stretch>
                  </pic:blipFill>
                  <pic:spPr>
                    <a:xfrm>
                      <a:off x="0" y="0"/>
                      <a:ext cx="5731510" cy="3825240"/>
                    </a:xfrm>
                    <a:prstGeom prst="rect">
                      <a:avLst/>
                    </a:prstGeom>
                  </pic:spPr>
                </pic:pic>
              </a:graphicData>
            </a:graphic>
          </wp:inline>
        </w:drawing>
      </w:r>
    </w:p>
    <w:p w:rsidR="00B15457" w:rsidRPr="006152A6" w:rsidRDefault="00B15457" w:rsidP="006152A6">
      <w:bookmarkStart w:id="6" w:name="_Toc415743319"/>
      <w:r>
        <w:br w:type="page"/>
      </w:r>
    </w:p>
    <w:p w:rsidR="000A0729" w:rsidRPr="00112B61" w:rsidRDefault="000A0729" w:rsidP="000A0729">
      <w:pPr>
        <w:pStyle w:val="Heading1"/>
      </w:pPr>
      <w:bookmarkStart w:id="7" w:name="_Toc417300792"/>
      <w:r w:rsidRPr="00112B61">
        <w:lastRenderedPageBreak/>
        <w:t>List of Acronyms</w:t>
      </w:r>
      <w:bookmarkEnd w:id="6"/>
      <w:bookmarkEnd w:id="7"/>
    </w:p>
    <w:p w:rsidR="000A0729" w:rsidRDefault="000A0729" w:rsidP="001159D5">
      <w:pPr>
        <w:tabs>
          <w:tab w:val="left" w:pos="1276"/>
        </w:tabs>
      </w:pPr>
      <w:proofErr w:type="spellStart"/>
      <w:r>
        <w:t>AQF</w:t>
      </w:r>
      <w:proofErr w:type="spellEnd"/>
      <w:r>
        <w:tab/>
        <w:t>Australian Qualifications Framework</w:t>
      </w:r>
    </w:p>
    <w:p w:rsidR="000A0729" w:rsidRPr="002D38E6" w:rsidRDefault="000A0729" w:rsidP="001159D5">
      <w:pPr>
        <w:tabs>
          <w:tab w:val="left" w:pos="1276"/>
        </w:tabs>
      </w:pPr>
      <w:proofErr w:type="spellStart"/>
      <w:r w:rsidRPr="002D38E6">
        <w:t>CRICOS</w:t>
      </w:r>
      <w:proofErr w:type="spellEnd"/>
      <w:r w:rsidRPr="002D38E6">
        <w:tab/>
        <w:t>Commonwealth Register of Institution and Courses for Overseas Students</w:t>
      </w:r>
    </w:p>
    <w:p w:rsidR="000A0729" w:rsidRPr="002D38E6" w:rsidRDefault="000A0729" w:rsidP="001159D5">
      <w:pPr>
        <w:tabs>
          <w:tab w:val="left" w:pos="1276"/>
        </w:tabs>
      </w:pPr>
      <w:proofErr w:type="spellStart"/>
      <w:r w:rsidRPr="002D38E6">
        <w:t>ELICOS</w:t>
      </w:r>
      <w:proofErr w:type="spellEnd"/>
      <w:r w:rsidRPr="002D38E6">
        <w:tab/>
        <w:t xml:space="preserve">English Language Intensive Courses for Overseas Students </w:t>
      </w:r>
    </w:p>
    <w:p w:rsidR="000A0729" w:rsidRPr="002D38E6" w:rsidRDefault="000A0729" w:rsidP="001159D5">
      <w:pPr>
        <w:tabs>
          <w:tab w:val="left" w:pos="1276"/>
        </w:tabs>
      </w:pPr>
      <w:proofErr w:type="spellStart"/>
      <w:r w:rsidRPr="002D38E6">
        <w:t>ISB</w:t>
      </w:r>
      <w:proofErr w:type="spellEnd"/>
      <w:r w:rsidRPr="002D38E6">
        <w:tab/>
        <w:t>International Student Barometer</w:t>
      </w:r>
    </w:p>
    <w:p w:rsidR="000A0729" w:rsidRPr="002D38E6" w:rsidRDefault="000A0729" w:rsidP="001159D5">
      <w:pPr>
        <w:tabs>
          <w:tab w:val="left" w:pos="1276"/>
        </w:tabs>
      </w:pPr>
      <w:proofErr w:type="spellStart"/>
      <w:r w:rsidRPr="002D38E6">
        <w:t>ISS</w:t>
      </w:r>
      <w:proofErr w:type="spellEnd"/>
      <w:r w:rsidRPr="002D38E6">
        <w:tab/>
        <w:t>International Student Survey</w:t>
      </w:r>
    </w:p>
    <w:p w:rsidR="000A0729" w:rsidRPr="002D38E6" w:rsidRDefault="000A0729" w:rsidP="001159D5">
      <w:pPr>
        <w:tabs>
          <w:tab w:val="left" w:pos="1276"/>
        </w:tabs>
      </w:pPr>
      <w:r w:rsidRPr="002D38E6">
        <w:t xml:space="preserve">VET </w:t>
      </w:r>
      <w:r w:rsidRPr="002D38E6">
        <w:tab/>
        <w:t xml:space="preserve">Vocational Education and Training, comprising both public and private </w:t>
      </w:r>
      <w:r>
        <w:t>providers</w:t>
      </w:r>
    </w:p>
    <w:p w:rsidR="0074542C" w:rsidRDefault="000A0729" w:rsidP="006152A6">
      <w:pPr>
        <w:spacing w:before="2760"/>
        <w:rPr>
          <w:rFonts w:ascii="Calibri" w:eastAsiaTheme="majorEastAsia" w:hAnsi="Calibri" w:cstheme="majorBidi"/>
          <w:b/>
          <w:bCs/>
          <w:color w:val="522761"/>
          <w:sz w:val="36"/>
          <w:szCs w:val="28"/>
        </w:rPr>
      </w:pPr>
      <w:r>
        <w:rPr>
          <w:noProof/>
          <w:color w:val="FF0000"/>
          <w:lang w:eastAsia="en-AU"/>
        </w:rPr>
        <w:drawing>
          <wp:inline distT="0" distB="0" distL="0" distR="0" wp14:anchorId="45AC3BD5" wp14:editId="7B803F27">
            <wp:extent cx="5715000" cy="3810000"/>
            <wp:effectExtent l="0" t="0" r="0" b="0"/>
            <wp:docPr id="1" name="Picture 1" descr="Four international students graduating from Australian institu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ark:Downloads:ISS:useful pics:Best pictures:l-grads in motor board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sidR="0074542C">
        <w:br w:type="page"/>
      </w:r>
    </w:p>
    <w:p w:rsidR="00D2551F" w:rsidRPr="002D38E6" w:rsidRDefault="00D2551F" w:rsidP="0043692A">
      <w:pPr>
        <w:pStyle w:val="Heading1"/>
        <w:rPr>
          <w:spacing w:val="5"/>
          <w:sz w:val="56"/>
          <w:szCs w:val="52"/>
        </w:rPr>
      </w:pPr>
      <w:bookmarkStart w:id="8" w:name="_Toc415743320"/>
      <w:bookmarkStart w:id="9" w:name="_Toc417300793"/>
      <w:r w:rsidRPr="002D38E6">
        <w:lastRenderedPageBreak/>
        <w:t>Executive Summary</w:t>
      </w:r>
      <w:bookmarkEnd w:id="3"/>
      <w:bookmarkEnd w:id="8"/>
      <w:bookmarkEnd w:id="9"/>
    </w:p>
    <w:p w:rsidR="00916E0A" w:rsidRPr="002D38E6" w:rsidRDefault="00A34E86" w:rsidP="00D0674B">
      <w:r w:rsidRPr="002D38E6">
        <w:t>In 201</w:t>
      </w:r>
      <w:r w:rsidR="00916E0A" w:rsidRPr="002D38E6">
        <w:t>4</w:t>
      </w:r>
      <w:r w:rsidRPr="002D38E6">
        <w:t xml:space="preserve">, </w:t>
      </w:r>
      <w:r w:rsidR="00916E0A" w:rsidRPr="002D38E6">
        <w:t>the Department of Education</w:t>
      </w:r>
      <w:r w:rsidR="00F65065">
        <w:t xml:space="preserve"> and Training</w:t>
      </w:r>
      <w:r w:rsidRPr="002D38E6">
        <w:t>, in collaboration with peak education bodies</w:t>
      </w:r>
      <w:r w:rsidR="001B680A">
        <w:t>, as well as</w:t>
      </w:r>
      <w:r w:rsidRPr="002D38E6">
        <w:t xml:space="preserve"> state</w:t>
      </w:r>
      <w:r w:rsidR="001B680A">
        <w:t xml:space="preserve"> and </w:t>
      </w:r>
      <w:r w:rsidRPr="002D38E6">
        <w:t xml:space="preserve">territory government education departments, </w:t>
      </w:r>
      <w:r w:rsidR="001B680A">
        <w:t>finalised</w:t>
      </w:r>
      <w:r w:rsidR="00916E0A" w:rsidRPr="002D38E6">
        <w:t xml:space="preserve"> </w:t>
      </w:r>
      <w:r w:rsidRPr="002D38E6">
        <w:t xml:space="preserve">a </w:t>
      </w:r>
      <w:r w:rsidR="001B680A">
        <w:t xml:space="preserve">national </w:t>
      </w:r>
      <w:r w:rsidRPr="002D38E6">
        <w:t xml:space="preserve">survey of international students </w:t>
      </w:r>
      <w:r w:rsidR="001B680A" w:rsidRPr="002D38E6">
        <w:t xml:space="preserve">in Australia </w:t>
      </w:r>
      <w:r w:rsidRPr="002D38E6">
        <w:t>to obtain information about their living</w:t>
      </w:r>
      <w:r w:rsidR="00DA7E93">
        <w:t>,</w:t>
      </w:r>
      <w:r w:rsidRPr="002D38E6">
        <w:t xml:space="preserve"> lea</w:t>
      </w:r>
      <w:r w:rsidR="003A0C66" w:rsidRPr="002D38E6">
        <w:t xml:space="preserve">rning </w:t>
      </w:r>
      <w:r w:rsidR="00DA7E93">
        <w:t xml:space="preserve">and support </w:t>
      </w:r>
      <w:r w:rsidR="003A0C66" w:rsidRPr="002D38E6">
        <w:t>experiences</w:t>
      </w:r>
      <w:r w:rsidR="001B680A">
        <w:t xml:space="preserve"> here</w:t>
      </w:r>
      <w:r w:rsidR="003A0C66" w:rsidRPr="002D38E6">
        <w:t xml:space="preserve">. </w:t>
      </w:r>
      <w:r w:rsidRPr="002D38E6">
        <w:t xml:space="preserve">The survey instrument for </w:t>
      </w:r>
      <w:r w:rsidR="001B680A">
        <w:t>h</w:t>
      </w:r>
      <w:r w:rsidRPr="002D38E6">
        <w:t xml:space="preserve">igher </w:t>
      </w:r>
      <w:r w:rsidR="001B680A">
        <w:t>e</w:t>
      </w:r>
      <w:r w:rsidRPr="002D38E6">
        <w:t>ducatio</w:t>
      </w:r>
      <w:r w:rsidR="001B680A">
        <w:t>n</w:t>
      </w:r>
      <w:r w:rsidRPr="002D38E6">
        <w:t xml:space="preserve">, </w:t>
      </w:r>
      <w:r w:rsidR="001B680A">
        <w:t>v</w:t>
      </w:r>
      <w:r w:rsidRPr="002D38E6">
        <w:t xml:space="preserve">ocational </w:t>
      </w:r>
      <w:r w:rsidR="001B680A">
        <w:t>e</w:t>
      </w:r>
      <w:r w:rsidRPr="002D38E6">
        <w:t xml:space="preserve">ducation and </w:t>
      </w:r>
      <w:r w:rsidR="001B680A">
        <w:t>t</w:t>
      </w:r>
      <w:r w:rsidRPr="002D38E6">
        <w:t>raining</w:t>
      </w:r>
      <w:r w:rsidR="001B680A">
        <w:t xml:space="preserve"> (VET)</w:t>
      </w:r>
      <w:r w:rsidRPr="002D38E6">
        <w:t>, and English Language Intensive Courses for Overseas Students</w:t>
      </w:r>
      <w:r w:rsidR="001B680A">
        <w:t xml:space="preserve"> (</w:t>
      </w:r>
      <w:proofErr w:type="spellStart"/>
      <w:r w:rsidR="001B680A">
        <w:t>ELICOS</w:t>
      </w:r>
      <w:proofErr w:type="spellEnd"/>
      <w:r w:rsidR="001B680A">
        <w:t>)</w:t>
      </w:r>
      <w:r w:rsidRPr="002D38E6">
        <w:t xml:space="preserve"> sectors was </w:t>
      </w:r>
      <w:r w:rsidR="00A03137">
        <w:t xml:space="preserve">the </w:t>
      </w:r>
      <w:r w:rsidR="00973B36">
        <w:t>International Student Barometer (</w:t>
      </w:r>
      <w:proofErr w:type="spellStart"/>
      <w:r w:rsidR="00552628" w:rsidRPr="002D38E6">
        <w:t>ISB</w:t>
      </w:r>
      <w:proofErr w:type="spellEnd"/>
      <w:r w:rsidR="00973B36">
        <w:t>)</w:t>
      </w:r>
      <w:r w:rsidR="00552628" w:rsidRPr="002D38E6">
        <w:t xml:space="preserve">. Use of this tool </w:t>
      </w:r>
      <w:r w:rsidRPr="002D38E6">
        <w:t xml:space="preserve">enables </w:t>
      </w:r>
      <w:r w:rsidR="007F6D43" w:rsidRPr="002D38E6">
        <w:t>Australia’s</w:t>
      </w:r>
      <w:r w:rsidRPr="002D38E6">
        <w:t xml:space="preserve"> results to be compared against benchmarks of the experience of international students in major study destinations throughout the world.  A separate survey instrument was developed for </w:t>
      </w:r>
      <w:r w:rsidR="001B680A">
        <w:t xml:space="preserve">Australian </w:t>
      </w:r>
      <w:r w:rsidR="006C51A0">
        <w:t>s</w:t>
      </w:r>
      <w:r w:rsidR="00A03137">
        <w:t>chools</w:t>
      </w:r>
      <w:r w:rsidRPr="002D38E6">
        <w:t xml:space="preserve"> as </w:t>
      </w:r>
      <w:r w:rsidR="001B680A">
        <w:t xml:space="preserve">an </w:t>
      </w:r>
      <w:proofErr w:type="spellStart"/>
      <w:r w:rsidR="001B680A">
        <w:t>ISB</w:t>
      </w:r>
      <w:proofErr w:type="spellEnd"/>
      <w:r w:rsidR="001B680A">
        <w:t>-equivalent survey instrument</w:t>
      </w:r>
      <w:r w:rsidRPr="002D38E6">
        <w:t xml:space="preserve"> w</w:t>
      </w:r>
      <w:r w:rsidR="001B680A">
        <w:t>as not</w:t>
      </w:r>
      <w:r w:rsidRPr="002D38E6">
        <w:t xml:space="preserve"> available for </w:t>
      </w:r>
      <w:r w:rsidR="001B680A">
        <w:t>international s</w:t>
      </w:r>
      <w:r w:rsidRPr="002D38E6">
        <w:t>chool</w:t>
      </w:r>
      <w:r w:rsidR="001B680A">
        <w:t xml:space="preserve"> students</w:t>
      </w:r>
      <w:r w:rsidRPr="002D38E6">
        <w:t>.</w:t>
      </w:r>
      <w:r w:rsidR="00916E0A" w:rsidRPr="002D38E6">
        <w:t xml:space="preserve"> </w:t>
      </w:r>
    </w:p>
    <w:p w:rsidR="00B317EF" w:rsidRPr="002D38E6" w:rsidRDefault="00B317EF" w:rsidP="00D0674B">
      <w:r w:rsidRPr="002D38E6">
        <w:t xml:space="preserve">The </w:t>
      </w:r>
      <w:r w:rsidR="00F70DB4">
        <w:t>2014 International Student Survey (</w:t>
      </w:r>
      <w:proofErr w:type="spellStart"/>
      <w:r w:rsidR="00F70DB4">
        <w:t>ISS</w:t>
      </w:r>
      <w:proofErr w:type="spellEnd"/>
      <w:r w:rsidR="00F70DB4">
        <w:t xml:space="preserve">) </w:t>
      </w:r>
      <w:r w:rsidRPr="002D38E6">
        <w:t xml:space="preserve">poses questions regarding aspects of student life including learning opportunities, </w:t>
      </w:r>
      <w:r w:rsidR="00537B8E" w:rsidRPr="002D38E6">
        <w:t>aspects of living in Australia and question about support for students both on arrival and throughout their time in Australia.</w:t>
      </w:r>
      <w:r w:rsidR="006B0EBC">
        <w:t xml:space="preserve"> It also seeks information on why students chose to study in Australia. </w:t>
      </w:r>
    </w:p>
    <w:p w:rsidR="00A34E86" w:rsidRPr="002D38E6" w:rsidRDefault="00B317EF" w:rsidP="00D0674B">
      <w:r w:rsidRPr="002D38E6">
        <w:t>As noted t</w:t>
      </w:r>
      <w:r w:rsidR="00916E0A" w:rsidRPr="002D38E6">
        <w:t xml:space="preserve">his same survey was conducted in 2012 and 2010 </w:t>
      </w:r>
      <w:r w:rsidR="00AD5E96" w:rsidRPr="002D38E6">
        <w:t>thus allowing comparisons across time. T</w:t>
      </w:r>
      <w:r w:rsidR="00916E0A" w:rsidRPr="002D38E6">
        <w:t xml:space="preserve">hroughout this </w:t>
      </w:r>
      <w:r w:rsidR="00537B8E" w:rsidRPr="002D38E6">
        <w:t>report, where</w:t>
      </w:r>
      <w:r w:rsidR="00916E0A" w:rsidRPr="002D38E6">
        <w:t xml:space="preserve"> appropriate</w:t>
      </w:r>
      <w:r w:rsidR="00537B8E" w:rsidRPr="002D38E6">
        <w:t>,</w:t>
      </w:r>
      <w:r w:rsidR="00916E0A" w:rsidRPr="002D38E6">
        <w:t xml:space="preserve"> comparisons are made across the survey years. </w:t>
      </w:r>
    </w:p>
    <w:p w:rsidR="00425FD5" w:rsidRDefault="00C17CA2" w:rsidP="00D0674B">
      <w:r>
        <w:t xml:space="preserve">The 2014 </w:t>
      </w:r>
      <w:proofErr w:type="spellStart"/>
      <w:r w:rsidR="00F70DB4" w:rsidRPr="00C17CA2">
        <w:t>ISS</w:t>
      </w:r>
      <w:proofErr w:type="spellEnd"/>
      <w:r w:rsidR="00F70DB4" w:rsidRPr="00C17CA2">
        <w:t xml:space="preserve"> attracted 55,609 responses across tertiary sector from </w:t>
      </w:r>
      <w:r w:rsidR="00BB737B" w:rsidRPr="00C17CA2">
        <w:t xml:space="preserve">a total of </w:t>
      </w:r>
      <w:r w:rsidR="00F70DB4" w:rsidRPr="00C17CA2">
        <w:t xml:space="preserve">205,499 international students studying in participating institutions representing 27% response rate overall. </w:t>
      </w:r>
    </w:p>
    <w:p w:rsidR="00253EB7" w:rsidRPr="002D38E6" w:rsidRDefault="007030C2" w:rsidP="00D0674B">
      <w:r w:rsidRPr="002D38E6">
        <w:t xml:space="preserve">Results of the 2014 survey once again </w:t>
      </w:r>
      <w:r w:rsidR="00A34E86" w:rsidRPr="002D38E6">
        <w:t xml:space="preserve">confirmed that a high percentage of international </w:t>
      </w:r>
      <w:r w:rsidR="001A7E6A">
        <w:t xml:space="preserve">tertiary </w:t>
      </w:r>
      <w:r w:rsidR="00A34E86" w:rsidRPr="002D38E6">
        <w:t>students (8</w:t>
      </w:r>
      <w:r w:rsidR="00F65065">
        <w:t>8</w:t>
      </w:r>
      <w:r w:rsidR="00A34E86" w:rsidRPr="002D38E6">
        <w:t xml:space="preserve">%) were satisfied or very satisfied with their </w:t>
      </w:r>
      <w:r w:rsidR="00253EB7" w:rsidRPr="002D38E6">
        <w:t>overall experience</w:t>
      </w:r>
      <w:r w:rsidR="00537B8E" w:rsidRPr="002D38E6">
        <w:t xml:space="preserve"> in Australia. T</w:t>
      </w:r>
      <w:r w:rsidR="00A34E86" w:rsidRPr="002D38E6">
        <w:t xml:space="preserve">his result </w:t>
      </w:r>
      <w:r w:rsidR="00253EB7" w:rsidRPr="002D38E6">
        <w:t xml:space="preserve">compares </w:t>
      </w:r>
      <w:r w:rsidR="006B0EBC" w:rsidRPr="002D38E6">
        <w:t>favourably</w:t>
      </w:r>
      <w:r w:rsidR="00253EB7" w:rsidRPr="002D38E6">
        <w:t xml:space="preserve"> to the findings in the 2012 and 2010 survey (87</w:t>
      </w:r>
      <w:r w:rsidR="00537B8E" w:rsidRPr="002D38E6">
        <w:t xml:space="preserve">%, 86% respectively). </w:t>
      </w:r>
      <w:r w:rsidR="002A7144" w:rsidRPr="002D38E6">
        <w:t>Australia was the first choice destination for 7</w:t>
      </w:r>
      <w:r w:rsidR="00E54693" w:rsidRPr="002D38E6">
        <w:t>3</w:t>
      </w:r>
      <w:r w:rsidR="002A7144" w:rsidRPr="002D38E6">
        <w:t xml:space="preserve">% </w:t>
      </w:r>
      <w:r w:rsidR="00633F10">
        <w:t xml:space="preserve">of </w:t>
      </w:r>
      <w:r w:rsidR="001B680A">
        <w:t>h</w:t>
      </w:r>
      <w:r w:rsidR="002A7144" w:rsidRPr="002D38E6">
        <w:t xml:space="preserve">igher </w:t>
      </w:r>
      <w:r w:rsidR="001B680A">
        <w:t>e</w:t>
      </w:r>
      <w:r w:rsidR="002A7144" w:rsidRPr="002D38E6">
        <w:t xml:space="preserve">ducation </w:t>
      </w:r>
      <w:r w:rsidR="00676762" w:rsidRPr="002D38E6">
        <w:t>participants and 80% of VET participants</w:t>
      </w:r>
      <w:r w:rsidRPr="002D38E6">
        <w:t xml:space="preserve">. </w:t>
      </w:r>
      <w:r w:rsidR="00676762" w:rsidRPr="002D38E6">
        <w:t xml:space="preserve">It was also the first choice for </w:t>
      </w:r>
      <w:r w:rsidRPr="002D38E6">
        <w:t>72</w:t>
      </w:r>
      <w:r w:rsidR="002A7144" w:rsidRPr="002D38E6">
        <w:t xml:space="preserve">% of </w:t>
      </w:r>
      <w:proofErr w:type="spellStart"/>
      <w:r w:rsidR="002A7144" w:rsidRPr="002D38E6">
        <w:t>ELICOS</w:t>
      </w:r>
      <w:proofErr w:type="spellEnd"/>
      <w:r w:rsidR="002A7144" w:rsidRPr="002D38E6">
        <w:t xml:space="preserve"> students</w:t>
      </w:r>
      <w:r w:rsidR="00676762" w:rsidRPr="002D38E6">
        <w:t xml:space="preserve"> and</w:t>
      </w:r>
      <w:r w:rsidR="00537B8E" w:rsidRPr="002D38E6">
        <w:t xml:space="preserve"> for 71% of respondents in the </w:t>
      </w:r>
      <w:r w:rsidR="001E0349">
        <w:t>s</w:t>
      </w:r>
      <w:r w:rsidR="00537B8E" w:rsidRPr="002D38E6">
        <w:t>chool</w:t>
      </w:r>
      <w:r w:rsidR="001E0349">
        <w:t>s</w:t>
      </w:r>
      <w:r w:rsidR="00537B8E" w:rsidRPr="002D38E6">
        <w:t xml:space="preserve"> </w:t>
      </w:r>
      <w:r w:rsidR="001E0349">
        <w:t>s</w:t>
      </w:r>
      <w:r w:rsidR="00537B8E" w:rsidRPr="002D38E6">
        <w:t xml:space="preserve">ector. </w:t>
      </w:r>
    </w:p>
    <w:p w:rsidR="00A34E86" w:rsidRPr="002D38E6" w:rsidRDefault="00A34E86" w:rsidP="00D0674B">
      <w:r w:rsidRPr="002D38E6">
        <w:t xml:space="preserve">The key findings of the </w:t>
      </w:r>
      <w:r w:rsidR="007030C2" w:rsidRPr="002D38E6">
        <w:t xml:space="preserve">2014 </w:t>
      </w:r>
      <w:r w:rsidRPr="002D38E6">
        <w:t xml:space="preserve">survey </w:t>
      </w:r>
      <w:r w:rsidR="001A7E6A">
        <w:t xml:space="preserve">of international tertiary students </w:t>
      </w:r>
      <w:r w:rsidRPr="002D38E6">
        <w:t>included:</w:t>
      </w:r>
    </w:p>
    <w:p w:rsidR="00EB574F" w:rsidRPr="002D38E6" w:rsidRDefault="00EB574F" w:rsidP="00D0674B">
      <w:pPr>
        <w:pStyle w:val="ListBullet"/>
      </w:pPr>
      <w:r w:rsidRPr="002D38E6">
        <w:t xml:space="preserve">The reputation of </w:t>
      </w:r>
      <w:r w:rsidR="0040386B" w:rsidRPr="002D38E6">
        <w:t>Austr</w:t>
      </w:r>
      <w:r w:rsidR="003604A8" w:rsidRPr="002D38E6">
        <w:t xml:space="preserve">alian </w:t>
      </w:r>
      <w:r w:rsidRPr="002D38E6">
        <w:t xml:space="preserve">institutions and the </w:t>
      </w:r>
      <w:r w:rsidR="00AB3816">
        <w:t>quality of teaching</w:t>
      </w:r>
      <w:r w:rsidR="00700A87">
        <w:t>/research</w:t>
      </w:r>
      <w:r w:rsidRPr="002D38E6">
        <w:t xml:space="preserve"> along with personal safety </w:t>
      </w:r>
      <w:r w:rsidR="00AB3816">
        <w:t xml:space="preserve">(93% each) </w:t>
      </w:r>
      <w:r w:rsidRPr="002D38E6">
        <w:t>are the main factors for why students chose Australia over other international destinations</w:t>
      </w:r>
      <w:r w:rsidR="00AB3816">
        <w:t>.</w:t>
      </w:r>
      <w:r w:rsidR="002A7144" w:rsidRPr="002D38E6">
        <w:t xml:space="preserve"> </w:t>
      </w:r>
    </w:p>
    <w:p w:rsidR="00A34E86" w:rsidRPr="002D38E6" w:rsidRDefault="00A34E86" w:rsidP="00D0674B">
      <w:pPr>
        <w:pStyle w:val="ListBullet"/>
      </w:pPr>
      <w:r w:rsidRPr="002D38E6">
        <w:t>8</w:t>
      </w:r>
      <w:r w:rsidR="005310F7">
        <w:t>8</w:t>
      </w:r>
      <w:r w:rsidRPr="002D38E6">
        <w:t xml:space="preserve">% of international student respondents </w:t>
      </w:r>
      <w:r w:rsidR="00BE13AA" w:rsidRPr="002D38E6">
        <w:t xml:space="preserve">continue to be </w:t>
      </w:r>
      <w:r w:rsidRPr="002D38E6">
        <w:t>satisfied’ or ‘very satisfied’ with their overall experience in Australia (</w:t>
      </w:r>
      <w:r w:rsidR="00BE13AA" w:rsidRPr="002D38E6">
        <w:t>87% in 2012, and 86% in 2010</w:t>
      </w:r>
      <w:r w:rsidRPr="002D38E6">
        <w:t>)</w:t>
      </w:r>
      <w:r w:rsidR="00AB3816">
        <w:t>.</w:t>
      </w:r>
    </w:p>
    <w:p w:rsidR="0050309B" w:rsidRDefault="006C2A35" w:rsidP="0050309B">
      <w:pPr>
        <w:pStyle w:val="ListBullet"/>
      </w:pPr>
      <w:r>
        <w:t>8</w:t>
      </w:r>
      <w:r w:rsidR="0050309B" w:rsidRPr="002D38E6">
        <w:t>9% of international student respondents continue to be ‘satisfied’ or ‘very satisfied’ with living in Australia (88% 2012, 86% 2010</w:t>
      </w:r>
      <w:r w:rsidR="0050309B">
        <w:t>)</w:t>
      </w:r>
      <w:r w:rsidR="00AB3816">
        <w:t>.</w:t>
      </w:r>
    </w:p>
    <w:p w:rsidR="00A34E86" w:rsidRPr="002D38E6" w:rsidRDefault="00A34E86" w:rsidP="00D0674B">
      <w:pPr>
        <w:pStyle w:val="ListBullet"/>
      </w:pPr>
      <w:r w:rsidRPr="002D38E6">
        <w:t>8</w:t>
      </w:r>
      <w:r w:rsidR="007435EB" w:rsidRPr="002D38E6">
        <w:t>7</w:t>
      </w:r>
      <w:r w:rsidRPr="002D38E6">
        <w:t xml:space="preserve">% of international student respondents </w:t>
      </w:r>
      <w:r w:rsidR="00BE13AA" w:rsidRPr="002D38E6">
        <w:t>continue to be</w:t>
      </w:r>
      <w:r w:rsidRPr="002D38E6">
        <w:t xml:space="preserve"> ‘satisfied’ or ‘very satisfied’ with their study experience in Australia (</w:t>
      </w:r>
      <w:r w:rsidR="00BE13AA" w:rsidRPr="002D38E6">
        <w:t>86% 2012, 84% 2010</w:t>
      </w:r>
      <w:r w:rsidR="0050309B">
        <w:t xml:space="preserve">). </w:t>
      </w:r>
    </w:p>
    <w:p w:rsidR="00A34E86" w:rsidRPr="002D38E6" w:rsidRDefault="00A34E86" w:rsidP="00D0674B">
      <w:r w:rsidRPr="002D38E6">
        <w:t xml:space="preserve">The top five factors that influenced international </w:t>
      </w:r>
      <w:r w:rsidR="001B680A">
        <w:t>higher education</w:t>
      </w:r>
      <w:r w:rsidR="001B680A" w:rsidRPr="002D38E6">
        <w:t xml:space="preserve"> </w:t>
      </w:r>
      <w:r w:rsidRPr="002D38E6">
        <w:t xml:space="preserve">respondents’ choice to study in Australia were found to be: </w:t>
      </w:r>
    </w:p>
    <w:p w:rsidR="006B7D8A" w:rsidRDefault="00A03137" w:rsidP="00D0674B">
      <w:pPr>
        <w:pStyle w:val="ListBullet"/>
      </w:pPr>
      <w:r>
        <w:t>R</w:t>
      </w:r>
      <w:r w:rsidRPr="002D38E6">
        <w:t xml:space="preserve">eputation </w:t>
      </w:r>
      <w:r w:rsidR="00B94B90">
        <w:t xml:space="preserve">of chosen </w:t>
      </w:r>
      <w:r>
        <w:t>q</w:t>
      </w:r>
      <w:r w:rsidR="00757CE8" w:rsidRPr="002D38E6">
        <w:t>ualification (95%)</w:t>
      </w:r>
    </w:p>
    <w:p w:rsidR="0064473D" w:rsidRPr="002D38E6" w:rsidRDefault="00A03137" w:rsidP="00D0674B">
      <w:pPr>
        <w:pStyle w:val="ListBullet"/>
      </w:pPr>
      <w:r>
        <w:lastRenderedPageBreak/>
        <w:t>R</w:t>
      </w:r>
      <w:r w:rsidRPr="002D38E6">
        <w:t xml:space="preserve">eputation </w:t>
      </w:r>
      <w:r>
        <w:t xml:space="preserve">of </w:t>
      </w:r>
      <w:r w:rsidR="00B94B90">
        <w:t xml:space="preserve">chosen </w:t>
      </w:r>
      <w:r>
        <w:t>i</w:t>
      </w:r>
      <w:r w:rsidR="0064473D" w:rsidRPr="002D38E6">
        <w:t>nstitution (94%)</w:t>
      </w:r>
    </w:p>
    <w:p w:rsidR="0064473D" w:rsidRPr="002D38E6" w:rsidRDefault="0064473D" w:rsidP="00D0674B">
      <w:pPr>
        <w:pStyle w:val="ListBullet"/>
      </w:pPr>
      <w:r w:rsidRPr="002D38E6">
        <w:t xml:space="preserve">Reputation of </w:t>
      </w:r>
      <w:r w:rsidR="00A03137">
        <w:t xml:space="preserve">Australia’s </w:t>
      </w:r>
      <w:r w:rsidR="001E0349">
        <w:t>e</w:t>
      </w:r>
      <w:r w:rsidRPr="002D38E6">
        <w:t xml:space="preserve">ducation </w:t>
      </w:r>
      <w:r w:rsidR="001E0349">
        <w:t>s</w:t>
      </w:r>
      <w:r w:rsidRPr="002D38E6">
        <w:t>ystem (93%)</w:t>
      </w:r>
    </w:p>
    <w:p w:rsidR="0064473D" w:rsidRDefault="0064473D" w:rsidP="00D0674B">
      <w:pPr>
        <w:pStyle w:val="ListBullet"/>
      </w:pPr>
      <w:r w:rsidRPr="002D38E6">
        <w:t xml:space="preserve">Personal </w:t>
      </w:r>
      <w:r w:rsidR="001E0349">
        <w:t>s</w:t>
      </w:r>
      <w:r w:rsidRPr="002D38E6">
        <w:t xml:space="preserve">afety (92%) </w:t>
      </w:r>
    </w:p>
    <w:p w:rsidR="00757CE8" w:rsidRPr="002D38E6" w:rsidRDefault="00757CE8" w:rsidP="00757CE8">
      <w:pPr>
        <w:pStyle w:val="ListBullet"/>
      </w:pPr>
      <w:r>
        <w:t xml:space="preserve">Quality of </w:t>
      </w:r>
      <w:r w:rsidR="001E0349">
        <w:t>r</w:t>
      </w:r>
      <w:r w:rsidR="00700A87">
        <w:t>esearch</w:t>
      </w:r>
      <w:r>
        <w:t xml:space="preserve"> </w:t>
      </w:r>
      <w:r w:rsidR="00B94B90">
        <w:t xml:space="preserve">and teaching at chosen institution </w:t>
      </w:r>
      <w:r>
        <w:t>(91%)</w:t>
      </w:r>
      <w:r w:rsidR="00B94B90">
        <w:t>.</w:t>
      </w:r>
    </w:p>
    <w:p w:rsidR="000F25BD" w:rsidRPr="002D38E6" w:rsidRDefault="001B680A" w:rsidP="00D0674B">
      <w:r>
        <w:t>R</w:t>
      </w:r>
      <w:r w:rsidR="000F25BD" w:rsidRPr="002D38E6">
        <w:t xml:space="preserve">esponses </w:t>
      </w:r>
      <w:r>
        <w:t>from s</w:t>
      </w:r>
      <w:r w:rsidR="000F25BD" w:rsidRPr="002D38E6">
        <w:t xml:space="preserve">chool </w:t>
      </w:r>
      <w:r>
        <w:t>students</w:t>
      </w:r>
      <w:r w:rsidRPr="002D38E6">
        <w:t xml:space="preserve"> </w:t>
      </w:r>
      <w:r w:rsidR="000F25BD" w:rsidRPr="002D38E6">
        <w:t>indicated higher satisfaction in all categories in this survey compared to the 2012</w:t>
      </w:r>
      <w:r w:rsidR="00815C04">
        <w:t xml:space="preserve"> </w:t>
      </w:r>
      <w:r w:rsidR="000F25BD" w:rsidRPr="002D38E6">
        <w:t xml:space="preserve">survey. </w:t>
      </w:r>
      <w:r w:rsidR="00B43A94">
        <w:t xml:space="preserve">In 2014, </w:t>
      </w:r>
      <w:r w:rsidR="000F25BD" w:rsidRPr="002D38E6">
        <w:t>82%</w:t>
      </w:r>
      <w:r w:rsidR="00A34E86" w:rsidRPr="002D38E6">
        <w:t xml:space="preserve"> of all respondents in the </w:t>
      </w:r>
      <w:r>
        <w:t>s</w:t>
      </w:r>
      <w:r w:rsidR="00A34E86" w:rsidRPr="002D38E6">
        <w:t xml:space="preserve">chools sector were satisfied with their overall school experience in Australia. </w:t>
      </w:r>
      <w:r w:rsidR="000F25BD" w:rsidRPr="002D38E6">
        <w:t xml:space="preserve">This was a considerable increase from </w:t>
      </w:r>
      <w:r w:rsidR="00A37511" w:rsidRPr="002D38E6">
        <w:t>s</w:t>
      </w:r>
      <w:r w:rsidR="000F25BD" w:rsidRPr="002D38E6">
        <w:t>atisfaction levels in the 2012 survey that were only at 74%.</w:t>
      </w:r>
      <w:r w:rsidR="0099641E">
        <w:t xml:space="preserve"> </w:t>
      </w:r>
      <w:r w:rsidR="0050309B">
        <w:t>Possible r</w:t>
      </w:r>
      <w:r w:rsidR="0099641E">
        <w:t xml:space="preserve">easons for this increase in satisfaction </w:t>
      </w:r>
      <w:r w:rsidR="0050309B">
        <w:t>are</w:t>
      </w:r>
      <w:r w:rsidR="0099641E">
        <w:t xml:space="preserve"> discussed under the specific categories measured. </w:t>
      </w:r>
      <w:r w:rsidR="000F25BD" w:rsidRPr="002D38E6">
        <w:t>Eighty</w:t>
      </w:r>
      <w:r w:rsidR="008D6939">
        <w:t>-</w:t>
      </w:r>
      <w:r w:rsidR="000F25BD" w:rsidRPr="002D38E6">
        <w:t xml:space="preserve">one </w:t>
      </w:r>
      <w:r w:rsidR="00A34E86" w:rsidRPr="002D38E6">
        <w:t xml:space="preserve">per cent indicated that they were satisfied with their living experience while </w:t>
      </w:r>
      <w:r w:rsidR="000F25BD" w:rsidRPr="002D38E6">
        <w:t>77</w:t>
      </w:r>
      <w:r w:rsidR="00A34E86" w:rsidRPr="002D38E6">
        <w:t xml:space="preserve">% considered the teaching at their school to be either good or very good.  </w:t>
      </w:r>
      <w:r w:rsidR="000F25BD" w:rsidRPr="002D38E6">
        <w:t>Seventy four</w:t>
      </w:r>
      <w:r w:rsidR="00A34E86" w:rsidRPr="002D38E6">
        <w:t xml:space="preserve"> per cent were ‘satisfied’ or ‘very satisfied’ with the support services provided to them.  </w:t>
      </w:r>
    </w:p>
    <w:p w:rsidR="00D33AAC" w:rsidRDefault="00D33AAC" w:rsidP="00D0674B">
      <w:r w:rsidRPr="008B6DB7">
        <w:t>The response rate in all sectors was si</w:t>
      </w:r>
      <w:r w:rsidR="0064721E">
        <w:t xml:space="preserve">milar to previous survey years, ranging from 24% in the </w:t>
      </w:r>
      <w:r w:rsidR="001B680A">
        <w:t xml:space="preserve">higher education </w:t>
      </w:r>
      <w:r w:rsidR="0064721E">
        <w:t xml:space="preserve">sector to 64% in the </w:t>
      </w:r>
      <w:proofErr w:type="spellStart"/>
      <w:r w:rsidR="0064721E">
        <w:t>ELICOS</w:t>
      </w:r>
      <w:proofErr w:type="spellEnd"/>
      <w:r w:rsidR="0064721E">
        <w:t xml:space="preserve"> sector. </w:t>
      </w:r>
    </w:p>
    <w:p w:rsidR="00774B33" w:rsidRDefault="008F13EF" w:rsidP="00D0674B">
      <w:r>
        <w:rPr>
          <w:noProof/>
          <w:lang w:eastAsia="en-AU"/>
        </w:rPr>
        <w:drawing>
          <wp:inline distT="0" distB="0" distL="0" distR="0" wp14:anchorId="0203C723" wp14:editId="65FB48E1">
            <wp:extent cx="5715000" cy="3810000"/>
            <wp:effectExtent l="0" t="0" r="0" b="0"/>
            <wp:docPr id="2" name="Picture 2" descr="A few National flags of different countries to show Australia welcomes international students from various nationa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rk:Downloads:ISS:useful pics:Best pictures:l-flags.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8F13EF" w:rsidRDefault="008F13EF">
      <w:pPr>
        <w:rPr>
          <w:rFonts w:ascii="Calibri" w:eastAsiaTheme="majorEastAsia" w:hAnsi="Calibri" w:cstheme="majorBidi"/>
          <w:b/>
          <w:bCs/>
          <w:iCs/>
        </w:rPr>
      </w:pPr>
      <w:bookmarkStart w:id="10" w:name="_Toc278311547"/>
      <w:r>
        <w:br w:type="page"/>
      </w:r>
    </w:p>
    <w:p w:rsidR="00820B66" w:rsidRPr="002D38E6" w:rsidRDefault="0074542C" w:rsidP="00E02725">
      <w:pPr>
        <w:pStyle w:val="Caption"/>
        <w:rPr>
          <w:rFonts w:cstheme="minorHAnsi"/>
          <w:sz w:val="20"/>
          <w:szCs w:val="20"/>
        </w:rPr>
      </w:pPr>
      <w:bookmarkStart w:id="11" w:name="_Toc417292944"/>
      <w:bookmarkStart w:id="12" w:name="_Toc417300812"/>
      <w:r>
        <w:lastRenderedPageBreak/>
        <w:t>Table</w:t>
      </w:r>
      <w:r w:rsidR="00D646F9">
        <w:t xml:space="preserve"> </w:t>
      </w:r>
      <w:r w:rsidR="00153FC1">
        <w:fldChar w:fldCharType="begin"/>
      </w:r>
      <w:r w:rsidR="00153FC1">
        <w:instrText xml:space="preserve"> SEQ Table \* ARABIC </w:instrText>
      </w:r>
      <w:r w:rsidR="00153FC1">
        <w:fldChar w:fldCharType="separate"/>
      </w:r>
      <w:r w:rsidR="00153FC1">
        <w:rPr>
          <w:noProof/>
        </w:rPr>
        <w:t>1</w:t>
      </w:r>
      <w:r w:rsidR="00153FC1">
        <w:rPr>
          <w:noProof/>
        </w:rPr>
        <w:fldChar w:fldCharType="end"/>
      </w:r>
      <w:r>
        <w:t xml:space="preserve">: </w:t>
      </w:r>
      <w:r w:rsidR="00820B66" w:rsidRPr="002D38E6">
        <w:t>Summary of 201</w:t>
      </w:r>
      <w:r w:rsidR="00592BE6" w:rsidRPr="002D38E6">
        <w:t>4</w:t>
      </w:r>
      <w:r w:rsidR="00820B66" w:rsidRPr="002D38E6">
        <w:t xml:space="preserve"> International Student Survey Results</w:t>
      </w:r>
      <w:bookmarkEnd w:id="10"/>
      <w:bookmarkEnd w:id="11"/>
      <w:bookmarkEnd w:id="12"/>
      <w:r w:rsidR="00820B66" w:rsidRPr="002D38E6">
        <w:t xml:space="preserve"> </w:t>
      </w:r>
    </w:p>
    <w:tbl>
      <w:tblPr>
        <w:tblStyle w:val="MediumShading1-Accent2"/>
        <w:tblW w:w="5000" w:type="pct"/>
        <w:tblBorders>
          <w:top w:val="single" w:sz="8" w:space="0" w:color="B2B2B2" w:themeColor="background1" w:themeTint="99"/>
          <w:left w:val="single" w:sz="8" w:space="0" w:color="B2B2B2" w:themeColor="background1" w:themeTint="99"/>
          <w:bottom w:val="single" w:sz="8" w:space="0" w:color="B2B2B2" w:themeColor="background1" w:themeTint="99"/>
          <w:right w:val="single" w:sz="8" w:space="0" w:color="B2B2B2" w:themeColor="background1" w:themeTint="99"/>
          <w:insideH w:val="single" w:sz="8" w:space="0" w:color="B2B2B2" w:themeColor="background1" w:themeTint="99"/>
          <w:insideV w:val="single" w:sz="8" w:space="0" w:color="B2B2B2" w:themeColor="background1" w:themeTint="99"/>
        </w:tblBorders>
        <w:tblLook w:val="0420" w:firstRow="1" w:lastRow="0" w:firstColumn="0" w:lastColumn="0" w:noHBand="0" w:noVBand="1"/>
        <w:tblCaption w:val="Table 1: Summary of 2014 International Student Survey Results"/>
        <w:tblDescription w:val="The table shows teh satisfaction with learning, living and overall experience of international students and compares teh results with previous international student surveys conducted in 2012 and 2010."/>
      </w:tblPr>
      <w:tblGrid>
        <w:gridCol w:w="4832"/>
        <w:gridCol w:w="1416"/>
        <w:gridCol w:w="1497"/>
        <w:gridCol w:w="1497"/>
      </w:tblGrid>
      <w:tr w:rsidR="001F3061" w:rsidRPr="001F3061" w:rsidTr="00310176">
        <w:trPr>
          <w:cnfStyle w:val="100000000000" w:firstRow="1" w:lastRow="0" w:firstColumn="0" w:lastColumn="0" w:oddVBand="0" w:evenVBand="0" w:oddHBand="0" w:evenHBand="0" w:firstRowFirstColumn="0" w:firstRowLastColumn="0" w:lastRowFirstColumn="0" w:lastRowLastColumn="0"/>
          <w:cantSplit/>
          <w:trHeight w:val="250"/>
          <w:tblHeader/>
        </w:trPr>
        <w:tc>
          <w:tcPr>
            <w:tcW w:w="2614" w:type="pct"/>
            <w:tcBorders>
              <w:top w:val="none" w:sz="0" w:space="0" w:color="auto"/>
              <w:left w:val="none" w:sz="0" w:space="0" w:color="auto"/>
              <w:bottom w:val="none" w:sz="0" w:space="0" w:color="auto"/>
              <w:right w:val="none" w:sz="0" w:space="0" w:color="auto"/>
            </w:tcBorders>
          </w:tcPr>
          <w:p w:rsidR="00820B66" w:rsidRPr="001F3061" w:rsidRDefault="00820B66" w:rsidP="00310176">
            <w:pPr>
              <w:spacing w:before="120" w:after="120"/>
              <w:rPr>
                <w:color w:val="FFFFFF" w:themeColor="background2"/>
              </w:rPr>
            </w:pPr>
            <w:r w:rsidRPr="001F3061">
              <w:rPr>
                <w:color w:val="FFFFFF" w:themeColor="background2"/>
              </w:rPr>
              <w:t xml:space="preserve">Satisfaction with </w:t>
            </w:r>
            <w:r w:rsidR="00CB4C5A" w:rsidRPr="001F3061">
              <w:rPr>
                <w:color w:val="FFFFFF" w:themeColor="background2"/>
              </w:rPr>
              <w:t>learning</w:t>
            </w:r>
          </w:p>
        </w:tc>
        <w:tc>
          <w:tcPr>
            <w:tcW w:w="766" w:type="pct"/>
            <w:tcBorders>
              <w:top w:val="none" w:sz="0" w:space="0" w:color="auto"/>
              <w:left w:val="none" w:sz="0" w:space="0" w:color="auto"/>
              <w:bottom w:val="none" w:sz="0" w:space="0" w:color="auto"/>
              <w:right w:val="none" w:sz="0" w:space="0" w:color="auto"/>
            </w:tcBorders>
          </w:tcPr>
          <w:p w:rsidR="00820B66" w:rsidRPr="001F3061" w:rsidRDefault="00820B66" w:rsidP="00310176">
            <w:pPr>
              <w:spacing w:before="120" w:after="120"/>
              <w:jc w:val="right"/>
              <w:rPr>
                <w:color w:val="FFFFFF" w:themeColor="background2"/>
              </w:rPr>
            </w:pPr>
            <w:r w:rsidRPr="001F3061">
              <w:rPr>
                <w:color w:val="FFFFFF" w:themeColor="background2"/>
              </w:rPr>
              <w:t>201</w:t>
            </w:r>
            <w:r w:rsidR="00BC2E7E" w:rsidRPr="001F3061">
              <w:rPr>
                <w:color w:val="FFFFFF" w:themeColor="background2"/>
              </w:rPr>
              <w:t>4</w:t>
            </w:r>
            <w:r w:rsidRPr="001F3061">
              <w:rPr>
                <w:color w:val="FFFFFF" w:themeColor="background2"/>
              </w:rPr>
              <w:t xml:space="preserve"> survey</w:t>
            </w:r>
          </w:p>
        </w:tc>
        <w:tc>
          <w:tcPr>
            <w:tcW w:w="810" w:type="pct"/>
            <w:tcBorders>
              <w:top w:val="none" w:sz="0" w:space="0" w:color="auto"/>
              <w:left w:val="none" w:sz="0" w:space="0" w:color="auto"/>
              <w:bottom w:val="none" w:sz="0" w:space="0" w:color="auto"/>
              <w:right w:val="none" w:sz="0" w:space="0" w:color="auto"/>
            </w:tcBorders>
          </w:tcPr>
          <w:p w:rsidR="00820B66" w:rsidRPr="001F3061" w:rsidRDefault="00820B66" w:rsidP="00310176">
            <w:pPr>
              <w:spacing w:before="120" w:after="120"/>
              <w:jc w:val="right"/>
              <w:rPr>
                <w:color w:val="FFFFFF" w:themeColor="background2"/>
              </w:rPr>
            </w:pPr>
            <w:r w:rsidRPr="001F3061">
              <w:rPr>
                <w:color w:val="FFFFFF" w:themeColor="background2"/>
              </w:rPr>
              <w:t>201</w:t>
            </w:r>
            <w:r w:rsidR="00BC2E7E" w:rsidRPr="001F3061">
              <w:rPr>
                <w:color w:val="FFFFFF" w:themeColor="background2"/>
              </w:rPr>
              <w:t xml:space="preserve">2 </w:t>
            </w:r>
            <w:r w:rsidRPr="001F3061">
              <w:rPr>
                <w:color w:val="FFFFFF" w:themeColor="background2"/>
              </w:rPr>
              <w:t>survey</w:t>
            </w:r>
          </w:p>
        </w:tc>
        <w:tc>
          <w:tcPr>
            <w:tcW w:w="810" w:type="pct"/>
            <w:tcBorders>
              <w:top w:val="none" w:sz="0" w:space="0" w:color="auto"/>
              <w:left w:val="none" w:sz="0" w:space="0" w:color="auto"/>
              <w:bottom w:val="none" w:sz="0" w:space="0" w:color="auto"/>
              <w:right w:val="none" w:sz="0" w:space="0" w:color="auto"/>
            </w:tcBorders>
          </w:tcPr>
          <w:p w:rsidR="00820B66" w:rsidRPr="001F3061" w:rsidRDefault="000A1730" w:rsidP="00310176">
            <w:pPr>
              <w:spacing w:before="120" w:after="120"/>
              <w:jc w:val="right"/>
              <w:rPr>
                <w:color w:val="FFFFFF" w:themeColor="background2"/>
              </w:rPr>
            </w:pPr>
            <w:r w:rsidRPr="001F3061">
              <w:rPr>
                <w:color w:val="FFFFFF" w:themeColor="background2"/>
              </w:rPr>
              <w:t>2010 survey</w:t>
            </w:r>
          </w:p>
        </w:tc>
      </w:tr>
      <w:tr w:rsidR="001F3061" w:rsidRPr="001F3061" w:rsidTr="00310176">
        <w:trPr>
          <w:cnfStyle w:val="000000100000" w:firstRow="0" w:lastRow="0" w:firstColumn="0" w:lastColumn="0" w:oddVBand="0" w:evenVBand="0" w:oddHBand="1" w:evenHBand="0" w:firstRowFirstColumn="0" w:firstRowLastColumn="0" w:lastRowFirstColumn="0" w:lastRowLastColumn="0"/>
          <w:cantSplit/>
          <w:trHeight w:val="260"/>
        </w:trPr>
        <w:tc>
          <w:tcPr>
            <w:tcW w:w="2614" w:type="pct"/>
            <w:tcBorders>
              <w:right w:val="none" w:sz="0" w:space="0" w:color="auto"/>
            </w:tcBorders>
          </w:tcPr>
          <w:p w:rsidR="00820B66" w:rsidRPr="001F3061" w:rsidRDefault="00B94FB8" w:rsidP="00310176">
            <w:pPr>
              <w:spacing w:before="120" w:after="120"/>
            </w:pPr>
            <w:r w:rsidRPr="001F3061">
              <w:t>Higher education</w:t>
            </w:r>
            <w:r w:rsidR="00424A1F" w:rsidRPr="001F3061">
              <w:t xml:space="preserve"> </w:t>
            </w:r>
            <w:r w:rsidR="00CF0661" w:rsidRPr="001F3061">
              <w:t xml:space="preserve">(public and private combined) </w:t>
            </w:r>
          </w:p>
        </w:tc>
        <w:tc>
          <w:tcPr>
            <w:tcW w:w="766" w:type="pct"/>
            <w:tcBorders>
              <w:left w:val="none" w:sz="0" w:space="0" w:color="auto"/>
              <w:right w:val="none" w:sz="0" w:space="0" w:color="auto"/>
            </w:tcBorders>
          </w:tcPr>
          <w:p w:rsidR="00820B66" w:rsidRPr="001F3061" w:rsidRDefault="00592BE6" w:rsidP="00310176">
            <w:pPr>
              <w:spacing w:before="120" w:after="120"/>
              <w:jc w:val="right"/>
            </w:pPr>
            <w:r w:rsidRPr="001F3061">
              <w:t>86%</w:t>
            </w:r>
          </w:p>
        </w:tc>
        <w:tc>
          <w:tcPr>
            <w:tcW w:w="810" w:type="pct"/>
            <w:tcBorders>
              <w:left w:val="none" w:sz="0" w:space="0" w:color="auto"/>
              <w:right w:val="none" w:sz="0" w:space="0" w:color="auto"/>
            </w:tcBorders>
          </w:tcPr>
          <w:p w:rsidR="00820B66" w:rsidRPr="001F3061" w:rsidRDefault="00820B66" w:rsidP="00310176">
            <w:pPr>
              <w:spacing w:before="120" w:after="120"/>
              <w:jc w:val="right"/>
            </w:pPr>
            <w:r w:rsidRPr="001F3061">
              <w:t>8</w:t>
            </w:r>
            <w:r w:rsidR="00BC2E7E" w:rsidRPr="001F3061">
              <w:t>5</w:t>
            </w:r>
            <w:r w:rsidRPr="001F3061">
              <w:t>%</w:t>
            </w:r>
          </w:p>
        </w:tc>
        <w:tc>
          <w:tcPr>
            <w:tcW w:w="810" w:type="pct"/>
            <w:tcBorders>
              <w:left w:val="none" w:sz="0" w:space="0" w:color="auto"/>
            </w:tcBorders>
          </w:tcPr>
          <w:p w:rsidR="00820B66" w:rsidRPr="001F3061" w:rsidRDefault="000A1730" w:rsidP="00310176">
            <w:pPr>
              <w:spacing w:before="120" w:after="120"/>
              <w:jc w:val="right"/>
            </w:pPr>
            <w:r w:rsidRPr="001F3061">
              <w:t>84</w:t>
            </w:r>
            <w:r w:rsidR="00592BE6" w:rsidRPr="001F3061">
              <w:t>%</w:t>
            </w:r>
          </w:p>
        </w:tc>
      </w:tr>
      <w:tr w:rsidR="00310176" w:rsidRPr="001F3061" w:rsidTr="00310176">
        <w:trPr>
          <w:cnfStyle w:val="000000010000" w:firstRow="0" w:lastRow="0" w:firstColumn="0" w:lastColumn="0" w:oddVBand="0" w:evenVBand="0" w:oddHBand="0" w:evenHBand="1" w:firstRowFirstColumn="0" w:firstRowLastColumn="0" w:lastRowFirstColumn="0" w:lastRowLastColumn="0"/>
          <w:cantSplit/>
        </w:trPr>
        <w:tc>
          <w:tcPr>
            <w:tcW w:w="2614" w:type="pct"/>
            <w:tcBorders>
              <w:right w:val="none" w:sz="0" w:space="0" w:color="auto"/>
            </w:tcBorders>
          </w:tcPr>
          <w:p w:rsidR="00820B66" w:rsidRPr="001F3061" w:rsidRDefault="00820B66" w:rsidP="00310176">
            <w:pPr>
              <w:spacing w:before="120" w:after="120"/>
            </w:pPr>
            <w:r w:rsidRPr="001F3061">
              <w:t>VET (public and private combined)</w:t>
            </w:r>
            <w:r w:rsidR="001516F3" w:rsidRPr="001F3061">
              <w:t xml:space="preserve"> </w:t>
            </w:r>
          </w:p>
        </w:tc>
        <w:tc>
          <w:tcPr>
            <w:tcW w:w="766" w:type="pct"/>
            <w:tcBorders>
              <w:left w:val="none" w:sz="0" w:space="0" w:color="auto"/>
              <w:right w:val="none" w:sz="0" w:space="0" w:color="auto"/>
            </w:tcBorders>
          </w:tcPr>
          <w:p w:rsidR="00820B66" w:rsidRPr="001F3061" w:rsidRDefault="00592BE6" w:rsidP="00310176">
            <w:pPr>
              <w:spacing w:before="120" w:after="120"/>
              <w:jc w:val="right"/>
            </w:pPr>
            <w:r w:rsidRPr="001F3061">
              <w:t>8</w:t>
            </w:r>
            <w:r w:rsidR="007435EB" w:rsidRPr="001F3061">
              <w:t>6</w:t>
            </w:r>
            <w:r w:rsidRPr="001F3061">
              <w:t>%</w:t>
            </w:r>
          </w:p>
        </w:tc>
        <w:tc>
          <w:tcPr>
            <w:tcW w:w="810" w:type="pct"/>
            <w:tcBorders>
              <w:left w:val="none" w:sz="0" w:space="0" w:color="auto"/>
              <w:right w:val="none" w:sz="0" w:space="0" w:color="auto"/>
            </w:tcBorders>
          </w:tcPr>
          <w:p w:rsidR="00820B66" w:rsidRPr="001F3061" w:rsidRDefault="00820B66" w:rsidP="00310176">
            <w:pPr>
              <w:spacing w:before="120" w:after="120"/>
              <w:jc w:val="right"/>
            </w:pPr>
            <w:r w:rsidRPr="001F3061">
              <w:t>8</w:t>
            </w:r>
            <w:r w:rsidR="00BC2E7E" w:rsidRPr="001F3061">
              <w:t>7</w:t>
            </w:r>
            <w:r w:rsidR="000A1730" w:rsidRPr="001F3061">
              <w:t>%</w:t>
            </w:r>
          </w:p>
        </w:tc>
        <w:tc>
          <w:tcPr>
            <w:tcW w:w="810" w:type="pct"/>
            <w:tcBorders>
              <w:left w:val="none" w:sz="0" w:space="0" w:color="auto"/>
            </w:tcBorders>
          </w:tcPr>
          <w:p w:rsidR="00820B66" w:rsidRPr="001F3061" w:rsidRDefault="000A1730" w:rsidP="00310176">
            <w:pPr>
              <w:spacing w:before="120" w:after="120"/>
              <w:jc w:val="right"/>
            </w:pPr>
            <w:r w:rsidRPr="001F3061">
              <w:t>85</w:t>
            </w:r>
            <w:r w:rsidR="00592BE6" w:rsidRPr="001F3061">
              <w:t>%</w:t>
            </w:r>
            <w:r w:rsidR="001A7E6A" w:rsidRPr="001F3061">
              <w:t>#</w:t>
            </w:r>
          </w:p>
        </w:tc>
      </w:tr>
      <w:tr w:rsidR="001F3061" w:rsidRPr="001F3061" w:rsidTr="00310176">
        <w:trPr>
          <w:cnfStyle w:val="000000100000" w:firstRow="0" w:lastRow="0" w:firstColumn="0" w:lastColumn="0" w:oddVBand="0" w:evenVBand="0" w:oddHBand="1" w:evenHBand="0" w:firstRowFirstColumn="0" w:firstRowLastColumn="0" w:lastRowFirstColumn="0" w:lastRowLastColumn="0"/>
          <w:cantSplit/>
        </w:trPr>
        <w:tc>
          <w:tcPr>
            <w:tcW w:w="2614" w:type="pct"/>
            <w:tcBorders>
              <w:right w:val="none" w:sz="0" w:space="0" w:color="auto"/>
            </w:tcBorders>
          </w:tcPr>
          <w:p w:rsidR="00820B66" w:rsidRPr="001F3061" w:rsidRDefault="00820B66" w:rsidP="00310176">
            <w:pPr>
              <w:spacing w:before="120" w:after="120"/>
            </w:pPr>
            <w:proofErr w:type="spellStart"/>
            <w:r w:rsidRPr="001F3061">
              <w:t>ELICOS</w:t>
            </w:r>
            <w:proofErr w:type="spellEnd"/>
            <w:r w:rsidR="001516F3" w:rsidRPr="001F3061">
              <w:t xml:space="preserve"> </w:t>
            </w:r>
          </w:p>
        </w:tc>
        <w:tc>
          <w:tcPr>
            <w:tcW w:w="766" w:type="pct"/>
            <w:tcBorders>
              <w:left w:val="none" w:sz="0" w:space="0" w:color="auto"/>
              <w:right w:val="none" w:sz="0" w:space="0" w:color="auto"/>
            </w:tcBorders>
          </w:tcPr>
          <w:p w:rsidR="00820B66" w:rsidRPr="001F3061" w:rsidRDefault="00592BE6" w:rsidP="00310176">
            <w:pPr>
              <w:spacing w:before="120" w:after="120"/>
              <w:jc w:val="right"/>
            </w:pPr>
            <w:r w:rsidRPr="001F3061">
              <w:t>8</w:t>
            </w:r>
            <w:r w:rsidR="007435EB" w:rsidRPr="001F3061">
              <w:t>9</w:t>
            </w:r>
            <w:r w:rsidRPr="001F3061">
              <w:t>%</w:t>
            </w:r>
          </w:p>
        </w:tc>
        <w:tc>
          <w:tcPr>
            <w:tcW w:w="810" w:type="pct"/>
            <w:tcBorders>
              <w:left w:val="none" w:sz="0" w:space="0" w:color="auto"/>
              <w:right w:val="none" w:sz="0" w:space="0" w:color="auto"/>
            </w:tcBorders>
          </w:tcPr>
          <w:p w:rsidR="00820B66" w:rsidRPr="001F3061" w:rsidRDefault="00BC2E7E" w:rsidP="00310176">
            <w:pPr>
              <w:spacing w:before="120" w:after="120"/>
              <w:jc w:val="right"/>
            </w:pPr>
            <w:r w:rsidRPr="001F3061">
              <w:t>91</w:t>
            </w:r>
            <w:r w:rsidR="00820B66" w:rsidRPr="001F3061">
              <w:t>%</w:t>
            </w:r>
          </w:p>
        </w:tc>
        <w:tc>
          <w:tcPr>
            <w:tcW w:w="810" w:type="pct"/>
            <w:tcBorders>
              <w:left w:val="none" w:sz="0" w:space="0" w:color="auto"/>
            </w:tcBorders>
          </w:tcPr>
          <w:p w:rsidR="00820B66" w:rsidRPr="001F3061" w:rsidRDefault="000A1730" w:rsidP="00310176">
            <w:pPr>
              <w:spacing w:before="120" w:after="120"/>
              <w:jc w:val="right"/>
            </w:pPr>
            <w:r w:rsidRPr="001F3061">
              <w:t>86</w:t>
            </w:r>
            <w:r w:rsidR="00592BE6" w:rsidRPr="001F3061">
              <w:t>%</w:t>
            </w:r>
          </w:p>
        </w:tc>
      </w:tr>
      <w:tr w:rsidR="00310176" w:rsidRPr="001F3061" w:rsidTr="00310176">
        <w:trPr>
          <w:cnfStyle w:val="000000010000" w:firstRow="0" w:lastRow="0" w:firstColumn="0" w:lastColumn="0" w:oddVBand="0" w:evenVBand="0" w:oddHBand="0" w:evenHBand="1" w:firstRowFirstColumn="0" w:firstRowLastColumn="0" w:lastRowFirstColumn="0" w:lastRowLastColumn="0"/>
          <w:cantSplit/>
        </w:trPr>
        <w:tc>
          <w:tcPr>
            <w:tcW w:w="2614" w:type="pct"/>
            <w:tcBorders>
              <w:right w:val="none" w:sz="0" w:space="0" w:color="auto"/>
            </w:tcBorders>
          </w:tcPr>
          <w:p w:rsidR="00820B66" w:rsidRPr="001F3061" w:rsidRDefault="00820B66" w:rsidP="00310176">
            <w:pPr>
              <w:spacing w:before="120" w:after="120"/>
              <w:rPr>
                <w:i/>
              </w:rPr>
            </w:pPr>
            <w:r w:rsidRPr="001F3061">
              <w:rPr>
                <w:i/>
              </w:rPr>
              <w:t>Total tertiary</w:t>
            </w:r>
          </w:p>
        </w:tc>
        <w:tc>
          <w:tcPr>
            <w:tcW w:w="766" w:type="pct"/>
            <w:tcBorders>
              <w:left w:val="none" w:sz="0" w:space="0" w:color="auto"/>
              <w:right w:val="none" w:sz="0" w:space="0" w:color="auto"/>
            </w:tcBorders>
          </w:tcPr>
          <w:p w:rsidR="00820B66" w:rsidRPr="001F3061" w:rsidRDefault="00592BE6" w:rsidP="00310176">
            <w:pPr>
              <w:spacing w:before="120" w:after="120"/>
              <w:jc w:val="right"/>
              <w:rPr>
                <w:i/>
              </w:rPr>
            </w:pPr>
            <w:r w:rsidRPr="001F3061">
              <w:rPr>
                <w:i/>
              </w:rPr>
              <w:t>8</w:t>
            </w:r>
            <w:r w:rsidR="007435EB" w:rsidRPr="001F3061">
              <w:rPr>
                <w:i/>
              </w:rPr>
              <w:t>7</w:t>
            </w:r>
            <w:r w:rsidRPr="001F3061">
              <w:rPr>
                <w:i/>
              </w:rPr>
              <w:t>%</w:t>
            </w:r>
          </w:p>
        </w:tc>
        <w:tc>
          <w:tcPr>
            <w:tcW w:w="810" w:type="pct"/>
            <w:tcBorders>
              <w:left w:val="none" w:sz="0" w:space="0" w:color="auto"/>
              <w:right w:val="none" w:sz="0" w:space="0" w:color="auto"/>
            </w:tcBorders>
          </w:tcPr>
          <w:p w:rsidR="00820B66" w:rsidRPr="001F3061" w:rsidRDefault="00BC2E7E" w:rsidP="00310176">
            <w:pPr>
              <w:spacing w:before="120" w:after="120"/>
              <w:jc w:val="right"/>
              <w:rPr>
                <w:i/>
              </w:rPr>
            </w:pPr>
            <w:r w:rsidRPr="001F3061">
              <w:rPr>
                <w:i/>
              </w:rPr>
              <w:t>86</w:t>
            </w:r>
            <w:r w:rsidR="00820B66" w:rsidRPr="001F3061">
              <w:rPr>
                <w:i/>
              </w:rPr>
              <w:t>%</w:t>
            </w:r>
          </w:p>
        </w:tc>
        <w:tc>
          <w:tcPr>
            <w:tcW w:w="810" w:type="pct"/>
            <w:tcBorders>
              <w:left w:val="none" w:sz="0" w:space="0" w:color="auto"/>
            </w:tcBorders>
          </w:tcPr>
          <w:p w:rsidR="00820B66" w:rsidRPr="001F3061" w:rsidRDefault="000A1730" w:rsidP="00310176">
            <w:pPr>
              <w:spacing w:before="120" w:after="120"/>
              <w:jc w:val="right"/>
              <w:rPr>
                <w:i/>
              </w:rPr>
            </w:pPr>
            <w:r w:rsidRPr="001F3061">
              <w:rPr>
                <w:i/>
              </w:rPr>
              <w:t>84%</w:t>
            </w:r>
          </w:p>
        </w:tc>
      </w:tr>
      <w:tr w:rsidR="001F3061" w:rsidRPr="001F3061" w:rsidTr="00310176">
        <w:trPr>
          <w:cnfStyle w:val="000000100000" w:firstRow="0" w:lastRow="0" w:firstColumn="0" w:lastColumn="0" w:oddVBand="0" w:evenVBand="0" w:oddHBand="1" w:evenHBand="0" w:firstRowFirstColumn="0" w:firstRowLastColumn="0" w:lastRowFirstColumn="0" w:lastRowLastColumn="0"/>
          <w:cantSplit/>
        </w:trPr>
        <w:tc>
          <w:tcPr>
            <w:tcW w:w="2614" w:type="pct"/>
            <w:tcBorders>
              <w:right w:val="none" w:sz="0" w:space="0" w:color="auto"/>
            </w:tcBorders>
          </w:tcPr>
          <w:p w:rsidR="00820B66" w:rsidRPr="001F3061" w:rsidRDefault="00820B66" w:rsidP="00310176">
            <w:pPr>
              <w:spacing w:before="120" w:after="120"/>
            </w:pPr>
            <w:proofErr w:type="spellStart"/>
            <w:r w:rsidRPr="001F3061">
              <w:t>ISB</w:t>
            </w:r>
            <w:proofErr w:type="spellEnd"/>
            <w:r w:rsidRPr="001F3061">
              <w:t xml:space="preserve"> index for </w:t>
            </w:r>
            <w:r w:rsidR="00B94FB8" w:rsidRPr="001F3061">
              <w:t>h</w:t>
            </w:r>
            <w:r w:rsidRPr="001F3061">
              <w:t xml:space="preserve">igher </w:t>
            </w:r>
            <w:r w:rsidR="00B94FB8" w:rsidRPr="001F3061">
              <w:t>e</w:t>
            </w:r>
            <w:r w:rsidRPr="001F3061">
              <w:t>ducation</w:t>
            </w:r>
            <w:r w:rsidR="00B94FB8" w:rsidRPr="001F3061">
              <w:t>*</w:t>
            </w:r>
          </w:p>
        </w:tc>
        <w:tc>
          <w:tcPr>
            <w:tcW w:w="766" w:type="pct"/>
            <w:tcBorders>
              <w:left w:val="none" w:sz="0" w:space="0" w:color="auto"/>
              <w:right w:val="none" w:sz="0" w:space="0" w:color="auto"/>
            </w:tcBorders>
          </w:tcPr>
          <w:p w:rsidR="00820B66" w:rsidRPr="001F3061" w:rsidRDefault="00BF43DF" w:rsidP="00310176">
            <w:pPr>
              <w:spacing w:before="120" w:after="120"/>
              <w:jc w:val="right"/>
            </w:pPr>
            <w:r w:rsidRPr="001F3061">
              <w:t>8</w:t>
            </w:r>
            <w:r w:rsidR="009C1978" w:rsidRPr="001F3061">
              <w:t>7</w:t>
            </w:r>
            <w:r w:rsidRPr="001F3061">
              <w:t>%</w:t>
            </w:r>
          </w:p>
        </w:tc>
        <w:tc>
          <w:tcPr>
            <w:tcW w:w="810" w:type="pct"/>
            <w:tcBorders>
              <w:left w:val="none" w:sz="0" w:space="0" w:color="auto"/>
              <w:right w:val="none" w:sz="0" w:space="0" w:color="auto"/>
            </w:tcBorders>
          </w:tcPr>
          <w:p w:rsidR="00820B66" w:rsidRPr="001F3061" w:rsidRDefault="00820B66" w:rsidP="00310176">
            <w:pPr>
              <w:spacing w:before="120" w:after="120"/>
              <w:jc w:val="right"/>
            </w:pPr>
            <w:r w:rsidRPr="001F3061">
              <w:t>86%</w:t>
            </w:r>
          </w:p>
        </w:tc>
        <w:tc>
          <w:tcPr>
            <w:tcW w:w="810" w:type="pct"/>
            <w:tcBorders>
              <w:left w:val="none" w:sz="0" w:space="0" w:color="auto"/>
            </w:tcBorders>
          </w:tcPr>
          <w:p w:rsidR="00820B66" w:rsidRPr="001F3061" w:rsidRDefault="000A1730" w:rsidP="00310176">
            <w:pPr>
              <w:spacing w:before="120" w:after="120"/>
              <w:jc w:val="right"/>
            </w:pPr>
            <w:r w:rsidRPr="001F3061">
              <w:t>86%</w:t>
            </w:r>
          </w:p>
        </w:tc>
      </w:tr>
      <w:tr w:rsidR="00310176" w:rsidRPr="001F3061" w:rsidTr="00310176">
        <w:trPr>
          <w:cnfStyle w:val="000000010000" w:firstRow="0" w:lastRow="0" w:firstColumn="0" w:lastColumn="0" w:oddVBand="0" w:evenVBand="0" w:oddHBand="0" w:evenHBand="1" w:firstRowFirstColumn="0" w:firstRowLastColumn="0" w:lastRowFirstColumn="0" w:lastRowLastColumn="0"/>
          <w:cantSplit/>
        </w:trPr>
        <w:tc>
          <w:tcPr>
            <w:tcW w:w="2614" w:type="pct"/>
            <w:tcBorders>
              <w:right w:val="none" w:sz="0" w:space="0" w:color="auto"/>
            </w:tcBorders>
          </w:tcPr>
          <w:p w:rsidR="00820B66" w:rsidRPr="001F3061" w:rsidRDefault="006C51A0" w:rsidP="00310176">
            <w:pPr>
              <w:spacing w:before="120" w:after="120"/>
            </w:pPr>
            <w:proofErr w:type="spellStart"/>
            <w:r w:rsidRPr="001F3061">
              <w:t>ISB</w:t>
            </w:r>
            <w:proofErr w:type="spellEnd"/>
            <w:r w:rsidRPr="001F3061">
              <w:t xml:space="preserve"> index for VET</w:t>
            </w:r>
            <w:r w:rsidR="001A7E6A" w:rsidRPr="001F3061">
              <w:t>*</w:t>
            </w:r>
          </w:p>
        </w:tc>
        <w:tc>
          <w:tcPr>
            <w:tcW w:w="766" w:type="pct"/>
            <w:tcBorders>
              <w:left w:val="none" w:sz="0" w:space="0" w:color="auto"/>
              <w:right w:val="none" w:sz="0" w:space="0" w:color="auto"/>
            </w:tcBorders>
          </w:tcPr>
          <w:p w:rsidR="00820B66" w:rsidRPr="001F3061" w:rsidRDefault="00EC6209" w:rsidP="00310176">
            <w:pPr>
              <w:spacing w:before="120" w:after="120"/>
              <w:jc w:val="right"/>
            </w:pPr>
            <w:r w:rsidRPr="001F3061">
              <w:t>88%</w:t>
            </w:r>
          </w:p>
        </w:tc>
        <w:tc>
          <w:tcPr>
            <w:tcW w:w="810" w:type="pct"/>
            <w:tcBorders>
              <w:left w:val="none" w:sz="0" w:space="0" w:color="auto"/>
              <w:right w:val="none" w:sz="0" w:space="0" w:color="auto"/>
            </w:tcBorders>
          </w:tcPr>
          <w:p w:rsidR="00820B66" w:rsidRPr="001F3061" w:rsidRDefault="0050221C" w:rsidP="00310176">
            <w:pPr>
              <w:spacing w:before="120" w:after="120"/>
              <w:jc w:val="right"/>
            </w:pPr>
            <w:r w:rsidRPr="001F3061">
              <w:t>Not available</w:t>
            </w:r>
          </w:p>
        </w:tc>
        <w:tc>
          <w:tcPr>
            <w:tcW w:w="810" w:type="pct"/>
            <w:tcBorders>
              <w:left w:val="none" w:sz="0" w:space="0" w:color="auto"/>
            </w:tcBorders>
          </w:tcPr>
          <w:p w:rsidR="00820B66" w:rsidRPr="001F3061" w:rsidRDefault="0050221C" w:rsidP="00310176">
            <w:pPr>
              <w:spacing w:before="120" w:after="120"/>
              <w:jc w:val="right"/>
            </w:pPr>
            <w:r w:rsidRPr="001F3061">
              <w:t>Not available</w:t>
            </w:r>
          </w:p>
        </w:tc>
      </w:tr>
    </w:tbl>
    <w:p w:rsidR="006152A6" w:rsidRPr="00BA022E" w:rsidRDefault="006152A6" w:rsidP="00BA022E"/>
    <w:tbl>
      <w:tblPr>
        <w:tblStyle w:val="MediumShading1-Accent3"/>
        <w:tblW w:w="5000" w:type="pct"/>
        <w:tblBorders>
          <w:top w:val="single" w:sz="8" w:space="0" w:color="B2B2B2" w:themeColor="background1" w:themeTint="99"/>
          <w:left w:val="single" w:sz="8" w:space="0" w:color="B2B2B2" w:themeColor="background1" w:themeTint="99"/>
          <w:bottom w:val="single" w:sz="8" w:space="0" w:color="B2B2B2" w:themeColor="background1" w:themeTint="99"/>
          <w:right w:val="single" w:sz="8" w:space="0" w:color="B2B2B2" w:themeColor="background1" w:themeTint="99"/>
          <w:insideH w:val="single" w:sz="8" w:space="0" w:color="B2B2B2" w:themeColor="background1" w:themeTint="99"/>
          <w:insideV w:val="single" w:sz="8" w:space="0" w:color="B2B2B2" w:themeColor="background1" w:themeTint="99"/>
        </w:tblBorders>
        <w:tblLook w:val="0420" w:firstRow="1" w:lastRow="0" w:firstColumn="0" w:lastColumn="0" w:noHBand="0" w:noVBand="1"/>
        <w:tblCaption w:val="Table 1: Summary of 2014 International Student Survey Results"/>
        <w:tblDescription w:val="The table shows teh satisfaction with learning, living and overall experience of international students and compares teh results with previous international student surveys conducted in 2012 and 2010."/>
      </w:tblPr>
      <w:tblGrid>
        <w:gridCol w:w="4832"/>
        <w:gridCol w:w="1416"/>
        <w:gridCol w:w="1497"/>
        <w:gridCol w:w="1497"/>
      </w:tblGrid>
      <w:tr w:rsidR="001F3061" w:rsidRPr="001F3061" w:rsidTr="00310176">
        <w:trPr>
          <w:cnfStyle w:val="100000000000" w:firstRow="1" w:lastRow="0" w:firstColumn="0" w:lastColumn="0" w:oddVBand="0" w:evenVBand="0" w:oddHBand="0" w:evenHBand="0" w:firstRowFirstColumn="0" w:firstRowLastColumn="0" w:lastRowFirstColumn="0" w:lastRowLastColumn="0"/>
          <w:cantSplit/>
          <w:tblHeader/>
        </w:trPr>
        <w:tc>
          <w:tcPr>
            <w:tcW w:w="2614" w:type="pct"/>
            <w:tcBorders>
              <w:top w:val="none" w:sz="0" w:space="0" w:color="auto"/>
              <w:left w:val="none" w:sz="0" w:space="0" w:color="auto"/>
              <w:bottom w:val="none" w:sz="0" w:space="0" w:color="auto"/>
              <w:right w:val="none" w:sz="0" w:space="0" w:color="auto"/>
            </w:tcBorders>
          </w:tcPr>
          <w:p w:rsidR="006152A6" w:rsidRPr="001F3061" w:rsidRDefault="006152A6" w:rsidP="00310176">
            <w:pPr>
              <w:spacing w:before="120" w:after="120"/>
              <w:rPr>
                <w:color w:val="FFFFFF" w:themeColor="background2"/>
              </w:rPr>
            </w:pPr>
            <w:r w:rsidRPr="001F3061">
              <w:rPr>
                <w:color w:val="FFFFFF" w:themeColor="background2"/>
              </w:rPr>
              <w:t>Satisfaction with living</w:t>
            </w:r>
          </w:p>
        </w:tc>
        <w:tc>
          <w:tcPr>
            <w:tcW w:w="766" w:type="pct"/>
            <w:tcBorders>
              <w:top w:val="none" w:sz="0" w:space="0" w:color="auto"/>
              <w:left w:val="none" w:sz="0" w:space="0" w:color="auto"/>
              <w:bottom w:val="none" w:sz="0" w:space="0" w:color="auto"/>
              <w:right w:val="none" w:sz="0" w:space="0" w:color="auto"/>
            </w:tcBorders>
          </w:tcPr>
          <w:p w:rsidR="006152A6" w:rsidRPr="001F3061" w:rsidRDefault="006152A6" w:rsidP="00310176">
            <w:pPr>
              <w:spacing w:before="120" w:after="120"/>
              <w:jc w:val="right"/>
              <w:rPr>
                <w:color w:val="FFFFFF" w:themeColor="background2"/>
              </w:rPr>
            </w:pPr>
            <w:r w:rsidRPr="001F3061">
              <w:rPr>
                <w:color w:val="FFFFFF" w:themeColor="background2"/>
              </w:rPr>
              <w:t>2014 survey</w:t>
            </w:r>
          </w:p>
        </w:tc>
        <w:tc>
          <w:tcPr>
            <w:tcW w:w="810" w:type="pct"/>
            <w:tcBorders>
              <w:top w:val="none" w:sz="0" w:space="0" w:color="auto"/>
              <w:left w:val="none" w:sz="0" w:space="0" w:color="auto"/>
              <w:bottom w:val="none" w:sz="0" w:space="0" w:color="auto"/>
              <w:right w:val="none" w:sz="0" w:space="0" w:color="auto"/>
            </w:tcBorders>
          </w:tcPr>
          <w:p w:rsidR="006152A6" w:rsidRPr="001F3061" w:rsidRDefault="006152A6" w:rsidP="00310176">
            <w:pPr>
              <w:spacing w:before="120" w:after="120"/>
              <w:jc w:val="right"/>
              <w:rPr>
                <w:color w:val="FFFFFF" w:themeColor="background2"/>
              </w:rPr>
            </w:pPr>
            <w:r w:rsidRPr="001F3061">
              <w:rPr>
                <w:color w:val="FFFFFF" w:themeColor="background2"/>
              </w:rPr>
              <w:t>2012 survey</w:t>
            </w:r>
          </w:p>
        </w:tc>
        <w:tc>
          <w:tcPr>
            <w:tcW w:w="810" w:type="pct"/>
            <w:tcBorders>
              <w:top w:val="none" w:sz="0" w:space="0" w:color="auto"/>
              <w:left w:val="none" w:sz="0" w:space="0" w:color="auto"/>
              <w:bottom w:val="none" w:sz="0" w:space="0" w:color="auto"/>
              <w:right w:val="none" w:sz="0" w:space="0" w:color="auto"/>
            </w:tcBorders>
          </w:tcPr>
          <w:p w:rsidR="006152A6" w:rsidRPr="001F3061" w:rsidRDefault="006152A6" w:rsidP="00310176">
            <w:pPr>
              <w:spacing w:before="120" w:after="120"/>
              <w:jc w:val="right"/>
              <w:rPr>
                <w:color w:val="FFFFFF" w:themeColor="background2"/>
              </w:rPr>
            </w:pPr>
            <w:r w:rsidRPr="001F3061">
              <w:rPr>
                <w:color w:val="FFFFFF" w:themeColor="background2"/>
              </w:rPr>
              <w:t>2010 survey</w:t>
            </w:r>
          </w:p>
        </w:tc>
      </w:tr>
      <w:tr w:rsidR="001F3061" w:rsidRPr="001F3061" w:rsidTr="00310176">
        <w:trPr>
          <w:cnfStyle w:val="000000100000" w:firstRow="0" w:lastRow="0" w:firstColumn="0" w:lastColumn="0" w:oddVBand="0" w:evenVBand="0" w:oddHBand="1" w:evenHBand="0"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pPr>
            <w:r w:rsidRPr="001F3061">
              <w:t>Higher education (public and private combined)</w:t>
            </w:r>
          </w:p>
        </w:tc>
        <w:tc>
          <w:tcPr>
            <w:tcW w:w="766" w:type="pct"/>
            <w:tcBorders>
              <w:left w:val="none" w:sz="0" w:space="0" w:color="auto"/>
              <w:right w:val="none" w:sz="0" w:space="0" w:color="auto"/>
            </w:tcBorders>
          </w:tcPr>
          <w:p w:rsidR="006152A6" w:rsidRPr="001F3061" w:rsidRDefault="006152A6" w:rsidP="00310176">
            <w:pPr>
              <w:spacing w:before="120" w:after="120"/>
              <w:jc w:val="right"/>
            </w:pPr>
            <w:r w:rsidRPr="001F3061">
              <w:t>89%</w:t>
            </w:r>
          </w:p>
        </w:tc>
        <w:tc>
          <w:tcPr>
            <w:tcW w:w="810" w:type="pct"/>
            <w:tcBorders>
              <w:left w:val="none" w:sz="0" w:space="0" w:color="auto"/>
              <w:right w:val="none" w:sz="0" w:space="0" w:color="auto"/>
            </w:tcBorders>
          </w:tcPr>
          <w:p w:rsidR="006152A6" w:rsidRPr="001F3061" w:rsidRDefault="006152A6" w:rsidP="00310176">
            <w:pPr>
              <w:spacing w:before="120" w:after="120"/>
              <w:jc w:val="right"/>
            </w:pPr>
            <w:r w:rsidRPr="001F3061">
              <w:t>88%</w:t>
            </w:r>
          </w:p>
        </w:tc>
        <w:tc>
          <w:tcPr>
            <w:tcW w:w="810" w:type="pct"/>
            <w:tcBorders>
              <w:left w:val="none" w:sz="0" w:space="0" w:color="auto"/>
            </w:tcBorders>
          </w:tcPr>
          <w:p w:rsidR="006152A6" w:rsidRPr="001F3061" w:rsidRDefault="006152A6" w:rsidP="00310176">
            <w:pPr>
              <w:spacing w:before="120" w:after="120"/>
              <w:jc w:val="right"/>
            </w:pPr>
            <w:r w:rsidRPr="001F3061">
              <w:t>86%</w:t>
            </w:r>
          </w:p>
        </w:tc>
      </w:tr>
      <w:tr w:rsidR="00310176" w:rsidRPr="001F3061" w:rsidTr="00310176">
        <w:trPr>
          <w:cnfStyle w:val="000000010000" w:firstRow="0" w:lastRow="0" w:firstColumn="0" w:lastColumn="0" w:oddVBand="0" w:evenVBand="0" w:oddHBand="0" w:evenHBand="1"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pPr>
            <w:r w:rsidRPr="001F3061">
              <w:t xml:space="preserve">VET (public and private combined) </w:t>
            </w:r>
          </w:p>
        </w:tc>
        <w:tc>
          <w:tcPr>
            <w:tcW w:w="766" w:type="pct"/>
            <w:tcBorders>
              <w:left w:val="none" w:sz="0" w:space="0" w:color="auto"/>
              <w:right w:val="none" w:sz="0" w:space="0" w:color="auto"/>
            </w:tcBorders>
          </w:tcPr>
          <w:p w:rsidR="006152A6" w:rsidRPr="001F3061" w:rsidRDefault="006152A6" w:rsidP="00310176">
            <w:pPr>
              <w:spacing w:before="120" w:after="120"/>
              <w:jc w:val="right"/>
            </w:pPr>
            <w:r w:rsidRPr="001F3061">
              <w:t>90%</w:t>
            </w:r>
          </w:p>
        </w:tc>
        <w:tc>
          <w:tcPr>
            <w:tcW w:w="810" w:type="pct"/>
            <w:tcBorders>
              <w:left w:val="none" w:sz="0" w:space="0" w:color="auto"/>
              <w:right w:val="none" w:sz="0" w:space="0" w:color="auto"/>
            </w:tcBorders>
          </w:tcPr>
          <w:p w:rsidR="006152A6" w:rsidRPr="001F3061" w:rsidRDefault="006152A6" w:rsidP="00310176">
            <w:pPr>
              <w:spacing w:before="120" w:after="120"/>
              <w:jc w:val="right"/>
            </w:pPr>
            <w:r w:rsidRPr="001F3061">
              <w:t>89%</w:t>
            </w:r>
          </w:p>
        </w:tc>
        <w:tc>
          <w:tcPr>
            <w:tcW w:w="810" w:type="pct"/>
            <w:tcBorders>
              <w:left w:val="none" w:sz="0" w:space="0" w:color="auto"/>
            </w:tcBorders>
          </w:tcPr>
          <w:p w:rsidR="006152A6" w:rsidRPr="001F3061" w:rsidRDefault="006152A6" w:rsidP="00310176">
            <w:pPr>
              <w:spacing w:before="120" w:after="120"/>
              <w:jc w:val="right"/>
            </w:pPr>
            <w:r w:rsidRPr="001F3061">
              <w:t>88%#</w:t>
            </w:r>
          </w:p>
        </w:tc>
      </w:tr>
      <w:tr w:rsidR="001F3061" w:rsidRPr="001F3061" w:rsidTr="00310176">
        <w:trPr>
          <w:cnfStyle w:val="000000100000" w:firstRow="0" w:lastRow="0" w:firstColumn="0" w:lastColumn="0" w:oddVBand="0" w:evenVBand="0" w:oddHBand="1" w:evenHBand="0"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pPr>
            <w:proofErr w:type="spellStart"/>
            <w:r w:rsidRPr="001F3061">
              <w:t>ELICOS</w:t>
            </w:r>
            <w:proofErr w:type="spellEnd"/>
            <w:r w:rsidRPr="001F3061">
              <w:t xml:space="preserve"> </w:t>
            </w:r>
          </w:p>
        </w:tc>
        <w:tc>
          <w:tcPr>
            <w:tcW w:w="766" w:type="pct"/>
            <w:tcBorders>
              <w:left w:val="none" w:sz="0" w:space="0" w:color="auto"/>
              <w:right w:val="none" w:sz="0" w:space="0" w:color="auto"/>
            </w:tcBorders>
          </w:tcPr>
          <w:p w:rsidR="006152A6" w:rsidRPr="001F3061" w:rsidRDefault="006152A6" w:rsidP="00310176">
            <w:pPr>
              <w:spacing w:before="120" w:after="120"/>
              <w:jc w:val="right"/>
            </w:pPr>
            <w:r w:rsidRPr="001F3061">
              <w:t>90%</w:t>
            </w:r>
          </w:p>
        </w:tc>
        <w:tc>
          <w:tcPr>
            <w:tcW w:w="810" w:type="pct"/>
            <w:tcBorders>
              <w:left w:val="none" w:sz="0" w:space="0" w:color="auto"/>
              <w:right w:val="none" w:sz="0" w:space="0" w:color="auto"/>
            </w:tcBorders>
          </w:tcPr>
          <w:p w:rsidR="006152A6" w:rsidRPr="001F3061" w:rsidRDefault="006152A6" w:rsidP="00310176">
            <w:pPr>
              <w:spacing w:before="120" w:after="120"/>
              <w:jc w:val="right"/>
            </w:pPr>
            <w:r w:rsidRPr="001F3061">
              <w:t>89%</w:t>
            </w:r>
          </w:p>
        </w:tc>
        <w:tc>
          <w:tcPr>
            <w:tcW w:w="810" w:type="pct"/>
            <w:tcBorders>
              <w:left w:val="none" w:sz="0" w:space="0" w:color="auto"/>
            </w:tcBorders>
          </w:tcPr>
          <w:p w:rsidR="006152A6" w:rsidRPr="001F3061" w:rsidRDefault="006152A6" w:rsidP="00310176">
            <w:pPr>
              <w:spacing w:before="120" w:after="120"/>
              <w:jc w:val="right"/>
            </w:pPr>
            <w:r w:rsidRPr="001F3061">
              <w:t>86%</w:t>
            </w:r>
          </w:p>
        </w:tc>
      </w:tr>
      <w:tr w:rsidR="00310176" w:rsidRPr="001F3061" w:rsidTr="00310176">
        <w:trPr>
          <w:cnfStyle w:val="000000010000" w:firstRow="0" w:lastRow="0" w:firstColumn="0" w:lastColumn="0" w:oddVBand="0" w:evenVBand="0" w:oddHBand="0" w:evenHBand="1"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rPr>
                <w:i/>
              </w:rPr>
            </w:pPr>
            <w:r w:rsidRPr="001F3061">
              <w:rPr>
                <w:i/>
              </w:rPr>
              <w:t xml:space="preserve">Total tertiary </w:t>
            </w:r>
          </w:p>
        </w:tc>
        <w:tc>
          <w:tcPr>
            <w:tcW w:w="766" w:type="pct"/>
            <w:tcBorders>
              <w:left w:val="none" w:sz="0" w:space="0" w:color="auto"/>
              <w:right w:val="none" w:sz="0" w:space="0" w:color="auto"/>
            </w:tcBorders>
          </w:tcPr>
          <w:p w:rsidR="006152A6" w:rsidRPr="001F3061" w:rsidRDefault="006152A6" w:rsidP="00310176">
            <w:pPr>
              <w:spacing w:before="120" w:after="120"/>
              <w:jc w:val="right"/>
              <w:rPr>
                <w:i/>
              </w:rPr>
            </w:pPr>
            <w:r w:rsidRPr="001F3061">
              <w:rPr>
                <w:i/>
              </w:rPr>
              <w:t>89%</w:t>
            </w:r>
          </w:p>
        </w:tc>
        <w:tc>
          <w:tcPr>
            <w:tcW w:w="810" w:type="pct"/>
            <w:tcBorders>
              <w:left w:val="none" w:sz="0" w:space="0" w:color="auto"/>
              <w:right w:val="none" w:sz="0" w:space="0" w:color="auto"/>
            </w:tcBorders>
          </w:tcPr>
          <w:p w:rsidR="006152A6" w:rsidRPr="001F3061" w:rsidRDefault="006152A6" w:rsidP="00310176">
            <w:pPr>
              <w:spacing w:before="120" w:after="120"/>
              <w:jc w:val="right"/>
              <w:rPr>
                <w:i/>
              </w:rPr>
            </w:pPr>
            <w:r w:rsidRPr="001F3061">
              <w:rPr>
                <w:i/>
              </w:rPr>
              <w:t>88%</w:t>
            </w:r>
          </w:p>
        </w:tc>
        <w:tc>
          <w:tcPr>
            <w:tcW w:w="810" w:type="pct"/>
            <w:tcBorders>
              <w:left w:val="none" w:sz="0" w:space="0" w:color="auto"/>
            </w:tcBorders>
          </w:tcPr>
          <w:p w:rsidR="006152A6" w:rsidRPr="001F3061" w:rsidRDefault="006152A6" w:rsidP="00310176">
            <w:pPr>
              <w:spacing w:before="120" w:after="120"/>
              <w:jc w:val="right"/>
              <w:rPr>
                <w:i/>
              </w:rPr>
            </w:pPr>
            <w:r w:rsidRPr="001F3061">
              <w:rPr>
                <w:i/>
              </w:rPr>
              <w:t>86%</w:t>
            </w:r>
          </w:p>
        </w:tc>
      </w:tr>
      <w:tr w:rsidR="001F3061" w:rsidRPr="001F3061" w:rsidTr="00310176">
        <w:trPr>
          <w:cnfStyle w:val="000000100000" w:firstRow="0" w:lastRow="0" w:firstColumn="0" w:lastColumn="0" w:oddVBand="0" w:evenVBand="0" w:oddHBand="1" w:evenHBand="0"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pPr>
            <w:proofErr w:type="spellStart"/>
            <w:r w:rsidRPr="001F3061">
              <w:t>ISB</w:t>
            </w:r>
            <w:proofErr w:type="spellEnd"/>
            <w:r w:rsidRPr="001F3061">
              <w:t xml:space="preserve"> index for higher education </w:t>
            </w:r>
          </w:p>
        </w:tc>
        <w:tc>
          <w:tcPr>
            <w:tcW w:w="766" w:type="pct"/>
            <w:tcBorders>
              <w:left w:val="none" w:sz="0" w:space="0" w:color="auto"/>
              <w:right w:val="none" w:sz="0" w:space="0" w:color="auto"/>
            </w:tcBorders>
          </w:tcPr>
          <w:p w:rsidR="006152A6" w:rsidRPr="001F3061" w:rsidRDefault="006152A6" w:rsidP="00310176">
            <w:pPr>
              <w:spacing w:before="120" w:after="120"/>
              <w:jc w:val="right"/>
            </w:pPr>
            <w:r w:rsidRPr="001F3061">
              <w:t>88%</w:t>
            </w:r>
          </w:p>
        </w:tc>
        <w:tc>
          <w:tcPr>
            <w:tcW w:w="810" w:type="pct"/>
            <w:tcBorders>
              <w:left w:val="none" w:sz="0" w:space="0" w:color="auto"/>
              <w:right w:val="none" w:sz="0" w:space="0" w:color="auto"/>
            </w:tcBorders>
          </w:tcPr>
          <w:p w:rsidR="006152A6" w:rsidRPr="001F3061" w:rsidRDefault="006152A6" w:rsidP="00310176">
            <w:pPr>
              <w:spacing w:before="120" w:after="120"/>
              <w:jc w:val="right"/>
            </w:pPr>
            <w:r w:rsidRPr="001F3061">
              <w:t>86%</w:t>
            </w:r>
          </w:p>
        </w:tc>
        <w:tc>
          <w:tcPr>
            <w:tcW w:w="810" w:type="pct"/>
            <w:tcBorders>
              <w:left w:val="none" w:sz="0" w:space="0" w:color="auto"/>
            </w:tcBorders>
          </w:tcPr>
          <w:p w:rsidR="006152A6" w:rsidRPr="001F3061" w:rsidRDefault="006152A6" w:rsidP="00310176">
            <w:pPr>
              <w:spacing w:before="120" w:after="120"/>
              <w:jc w:val="right"/>
            </w:pPr>
            <w:r w:rsidRPr="001F3061">
              <w:t xml:space="preserve"> 86%</w:t>
            </w:r>
          </w:p>
        </w:tc>
      </w:tr>
      <w:tr w:rsidR="00310176" w:rsidRPr="001F3061" w:rsidTr="00310176">
        <w:trPr>
          <w:cnfStyle w:val="000000010000" w:firstRow="0" w:lastRow="0" w:firstColumn="0" w:lastColumn="0" w:oddVBand="0" w:evenVBand="0" w:oddHBand="0" w:evenHBand="1"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pPr>
            <w:proofErr w:type="spellStart"/>
            <w:r w:rsidRPr="001F3061">
              <w:t>ISB</w:t>
            </w:r>
            <w:proofErr w:type="spellEnd"/>
            <w:r w:rsidRPr="001F3061">
              <w:t xml:space="preserve"> index for VET</w:t>
            </w:r>
          </w:p>
        </w:tc>
        <w:tc>
          <w:tcPr>
            <w:tcW w:w="766" w:type="pct"/>
            <w:tcBorders>
              <w:left w:val="none" w:sz="0" w:space="0" w:color="auto"/>
              <w:right w:val="none" w:sz="0" w:space="0" w:color="auto"/>
            </w:tcBorders>
          </w:tcPr>
          <w:p w:rsidR="006152A6" w:rsidRPr="001F3061" w:rsidRDefault="006152A6" w:rsidP="00310176">
            <w:pPr>
              <w:spacing w:before="120" w:after="120"/>
              <w:jc w:val="right"/>
            </w:pPr>
            <w:r w:rsidRPr="001F3061">
              <w:t>89%</w:t>
            </w:r>
          </w:p>
        </w:tc>
        <w:tc>
          <w:tcPr>
            <w:tcW w:w="810" w:type="pct"/>
            <w:tcBorders>
              <w:left w:val="none" w:sz="0" w:space="0" w:color="auto"/>
              <w:right w:val="none" w:sz="0" w:space="0" w:color="auto"/>
            </w:tcBorders>
          </w:tcPr>
          <w:p w:rsidR="006152A6" w:rsidRPr="001F3061" w:rsidRDefault="006152A6" w:rsidP="00310176">
            <w:pPr>
              <w:spacing w:before="120" w:after="120"/>
              <w:jc w:val="right"/>
            </w:pPr>
            <w:r w:rsidRPr="001F3061">
              <w:t>Not available</w:t>
            </w:r>
          </w:p>
        </w:tc>
        <w:tc>
          <w:tcPr>
            <w:tcW w:w="810" w:type="pct"/>
            <w:tcBorders>
              <w:left w:val="none" w:sz="0" w:space="0" w:color="auto"/>
            </w:tcBorders>
          </w:tcPr>
          <w:p w:rsidR="006152A6" w:rsidRPr="001F3061" w:rsidRDefault="006152A6" w:rsidP="00310176">
            <w:pPr>
              <w:spacing w:before="120" w:after="120"/>
              <w:jc w:val="right"/>
            </w:pPr>
            <w:r w:rsidRPr="001F3061">
              <w:t>Not available</w:t>
            </w:r>
          </w:p>
        </w:tc>
      </w:tr>
    </w:tbl>
    <w:p w:rsidR="006152A6" w:rsidRPr="00BA022E" w:rsidRDefault="006152A6" w:rsidP="00BA022E"/>
    <w:tbl>
      <w:tblPr>
        <w:tblStyle w:val="MediumShading1-Accent1"/>
        <w:tblW w:w="5000" w:type="pct"/>
        <w:tblBorders>
          <w:top w:val="single" w:sz="8" w:space="0" w:color="B2B2B2" w:themeColor="background1" w:themeTint="99"/>
          <w:left w:val="single" w:sz="8" w:space="0" w:color="B2B2B2" w:themeColor="background1" w:themeTint="99"/>
          <w:bottom w:val="single" w:sz="8" w:space="0" w:color="B2B2B2" w:themeColor="background1" w:themeTint="99"/>
          <w:right w:val="single" w:sz="8" w:space="0" w:color="B2B2B2" w:themeColor="background1" w:themeTint="99"/>
          <w:insideH w:val="single" w:sz="8" w:space="0" w:color="B2B2B2" w:themeColor="background1" w:themeTint="99"/>
          <w:insideV w:val="single" w:sz="8" w:space="0" w:color="B2B2B2" w:themeColor="background1" w:themeTint="99"/>
        </w:tblBorders>
        <w:tblLook w:val="0420" w:firstRow="1" w:lastRow="0" w:firstColumn="0" w:lastColumn="0" w:noHBand="0" w:noVBand="1"/>
        <w:tblCaption w:val="Table 1: Summary of 2014 International Student Survey Results"/>
        <w:tblDescription w:val="The table shows teh satisfaction with learning, living and overall experience of international students and compares teh results with previous international student surveys conducted in 2012 and 2010."/>
      </w:tblPr>
      <w:tblGrid>
        <w:gridCol w:w="4832"/>
        <w:gridCol w:w="1416"/>
        <w:gridCol w:w="1497"/>
        <w:gridCol w:w="1497"/>
      </w:tblGrid>
      <w:tr w:rsidR="001F3061" w:rsidRPr="001F3061" w:rsidTr="00310176">
        <w:trPr>
          <w:cnfStyle w:val="100000000000" w:firstRow="1" w:lastRow="0" w:firstColumn="0" w:lastColumn="0" w:oddVBand="0" w:evenVBand="0" w:oddHBand="0" w:evenHBand="0" w:firstRowFirstColumn="0" w:firstRowLastColumn="0" w:lastRowFirstColumn="0" w:lastRowLastColumn="0"/>
          <w:cantSplit/>
          <w:tblHeader/>
        </w:trPr>
        <w:tc>
          <w:tcPr>
            <w:tcW w:w="2614" w:type="pct"/>
            <w:tcBorders>
              <w:top w:val="none" w:sz="0" w:space="0" w:color="auto"/>
              <w:left w:val="none" w:sz="0" w:space="0" w:color="auto"/>
              <w:bottom w:val="none" w:sz="0" w:space="0" w:color="auto"/>
              <w:right w:val="none" w:sz="0" w:space="0" w:color="auto"/>
            </w:tcBorders>
          </w:tcPr>
          <w:p w:rsidR="006152A6" w:rsidRPr="001F3061" w:rsidRDefault="006152A6" w:rsidP="00310176">
            <w:pPr>
              <w:spacing w:before="120" w:after="120"/>
              <w:rPr>
                <w:color w:val="FFFFFF" w:themeColor="background2"/>
              </w:rPr>
            </w:pPr>
            <w:r w:rsidRPr="001F3061">
              <w:rPr>
                <w:color w:val="FFFFFF" w:themeColor="background2"/>
              </w:rPr>
              <w:t>Satisfaction with overall experience</w:t>
            </w:r>
          </w:p>
        </w:tc>
        <w:tc>
          <w:tcPr>
            <w:tcW w:w="766" w:type="pct"/>
            <w:tcBorders>
              <w:top w:val="none" w:sz="0" w:space="0" w:color="auto"/>
              <w:left w:val="none" w:sz="0" w:space="0" w:color="auto"/>
              <w:bottom w:val="none" w:sz="0" w:space="0" w:color="auto"/>
              <w:right w:val="none" w:sz="0" w:space="0" w:color="auto"/>
            </w:tcBorders>
          </w:tcPr>
          <w:p w:rsidR="006152A6" w:rsidRPr="001F3061" w:rsidRDefault="006152A6" w:rsidP="00310176">
            <w:pPr>
              <w:spacing w:before="120" w:after="120"/>
              <w:jc w:val="right"/>
              <w:rPr>
                <w:color w:val="FFFFFF" w:themeColor="background2"/>
              </w:rPr>
            </w:pPr>
            <w:r w:rsidRPr="001F3061">
              <w:rPr>
                <w:color w:val="FFFFFF" w:themeColor="background2"/>
              </w:rPr>
              <w:t>2014 survey</w:t>
            </w:r>
          </w:p>
        </w:tc>
        <w:tc>
          <w:tcPr>
            <w:tcW w:w="810" w:type="pct"/>
            <w:tcBorders>
              <w:top w:val="none" w:sz="0" w:space="0" w:color="auto"/>
              <w:left w:val="none" w:sz="0" w:space="0" w:color="auto"/>
              <w:bottom w:val="none" w:sz="0" w:space="0" w:color="auto"/>
              <w:right w:val="none" w:sz="0" w:space="0" w:color="auto"/>
            </w:tcBorders>
          </w:tcPr>
          <w:p w:rsidR="006152A6" w:rsidRPr="001F3061" w:rsidRDefault="006152A6" w:rsidP="00310176">
            <w:pPr>
              <w:spacing w:before="120" w:after="120"/>
              <w:jc w:val="right"/>
              <w:rPr>
                <w:color w:val="FFFFFF" w:themeColor="background2"/>
              </w:rPr>
            </w:pPr>
            <w:r w:rsidRPr="001F3061">
              <w:rPr>
                <w:color w:val="FFFFFF" w:themeColor="background2"/>
              </w:rPr>
              <w:t>2012 survey</w:t>
            </w:r>
          </w:p>
        </w:tc>
        <w:tc>
          <w:tcPr>
            <w:tcW w:w="810" w:type="pct"/>
            <w:tcBorders>
              <w:top w:val="none" w:sz="0" w:space="0" w:color="auto"/>
              <w:left w:val="none" w:sz="0" w:space="0" w:color="auto"/>
              <w:bottom w:val="none" w:sz="0" w:space="0" w:color="auto"/>
              <w:right w:val="none" w:sz="0" w:space="0" w:color="auto"/>
            </w:tcBorders>
          </w:tcPr>
          <w:p w:rsidR="006152A6" w:rsidRPr="001F3061" w:rsidRDefault="006152A6" w:rsidP="00310176">
            <w:pPr>
              <w:spacing w:before="120" w:after="120"/>
              <w:jc w:val="right"/>
              <w:rPr>
                <w:color w:val="FFFFFF" w:themeColor="background2"/>
              </w:rPr>
            </w:pPr>
            <w:r w:rsidRPr="001F3061">
              <w:rPr>
                <w:color w:val="FFFFFF" w:themeColor="background2"/>
              </w:rPr>
              <w:t>2010 survey</w:t>
            </w:r>
          </w:p>
        </w:tc>
      </w:tr>
      <w:tr w:rsidR="00310176" w:rsidRPr="001F3061" w:rsidTr="00310176">
        <w:trPr>
          <w:cnfStyle w:val="000000100000" w:firstRow="0" w:lastRow="0" w:firstColumn="0" w:lastColumn="0" w:oddVBand="0" w:evenVBand="0" w:oddHBand="1" w:evenHBand="0"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pPr>
            <w:r w:rsidRPr="001F3061">
              <w:t>Higher education (public and private combined)</w:t>
            </w:r>
          </w:p>
        </w:tc>
        <w:tc>
          <w:tcPr>
            <w:tcW w:w="766" w:type="pct"/>
            <w:tcBorders>
              <w:left w:val="none" w:sz="0" w:space="0" w:color="auto"/>
              <w:right w:val="none" w:sz="0" w:space="0" w:color="auto"/>
            </w:tcBorders>
          </w:tcPr>
          <w:p w:rsidR="006152A6" w:rsidRPr="001F3061" w:rsidRDefault="006152A6" w:rsidP="00310176">
            <w:pPr>
              <w:spacing w:before="120" w:after="120"/>
              <w:jc w:val="right"/>
            </w:pPr>
            <w:r w:rsidRPr="001F3061">
              <w:t>88%</w:t>
            </w:r>
          </w:p>
        </w:tc>
        <w:tc>
          <w:tcPr>
            <w:tcW w:w="810" w:type="pct"/>
            <w:tcBorders>
              <w:left w:val="none" w:sz="0" w:space="0" w:color="auto"/>
              <w:right w:val="none" w:sz="0" w:space="0" w:color="auto"/>
            </w:tcBorders>
          </w:tcPr>
          <w:p w:rsidR="006152A6" w:rsidRPr="001F3061" w:rsidRDefault="006152A6" w:rsidP="00310176">
            <w:pPr>
              <w:spacing w:before="120" w:after="120"/>
              <w:jc w:val="right"/>
            </w:pPr>
            <w:r w:rsidRPr="001F3061">
              <w:t>87%</w:t>
            </w:r>
          </w:p>
        </w:tc>
        <w:tc>
          <w:tcPr>
            <w:tcW w:w="810" w:type="pct"/>
            <w:tcBorders>
              <w:left w:val="none" w:sz="0" w:space="0" w:color="auto"/>
            </w:tcBorders>
          </w:tcPr>
          <w:p w:rsidR="006152A6" w:rsidRPr="001F3061" w:rsidRDefault="006152A6" w:rsidP="00310176">
            <w:pPr>
              <w:spacing w:before="120" w:after="120"/>
              <w:jc w:val="right"/>
            </w:pPr>
            <w:r w:rsidRPr="001F3061">
              <w:t>86%</w:t>
            </w:r>
          </w:p>
        </w:tc>
      </w:tr>
      <w:tr w:rsidR="006152A6" w:rsidRPr="001F3061" w:rsidTr="00310176">
        <w:trPr>
          <w:cnfStyle w:val="000000010000" w:firstRow="0" w:lastRow="0" w:firstColumn="0" w:lastColumn="0" w:oddVBand="0" w:evenVBand="0" w:oddHBand="0" w:evenHBand="1"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pPr>
            <w:r w:rsidRPr="001F3061">
              <w:t xml:space="preserve">VET (public and private combined) </w:t>
            </w:r>
          </w:p>
        </w:tc>
        <w:tc>
          <w:tcPr>
            <w:tcW w:w="766" w:type="pct"/>
            <w:tcBorders>
              <w:left w:val="none" w:sz="0" w:space="0" w:color="auto"/>
              <w:right w:val="none" w:sz="0" w:space="0" w:color="auto"/>
            </w:tcBorders>
          </w:tcPr>
          <w:p w:rsidR="006152A6" w:rsidRPr="001F3061" w:rsidRDefault="006152A6" w:rsidP="00310176">
            <w:pPr>
              <w:spacing w:before="120" w:after="120"/>
              <w:jc w:val="right"/>
            </w:pPr>
            <w:r w:rsidRPr="001F3061">
              <w:t>86%</w:t>
            </w:r>
          </w:p>
        </w:tc>
        <w:tc>
          <w:tcPr>
            <w:tcW w:w="810" w:type="pct"/>
            <w:tcBorders>
              <w:left w:val="none" w:sz="0" w:space="0" w:color="auto"/>
              <w:right w:val="none" w:sz="0" w:space="0" w:color="auto"/>
            </w:tcBorders>
          </w:tcPr>
          <w:p w:rsidR="006152A6" w:rsidRPr="001F3061" w:rsidRDefault="006152A6" w:rsidP="00310176">
            <w:pPr>
              <w:spacing w:before="120" w:after="120"/>
              <w:jc w:val="right"/>
            </w:pPr>
            <w:r w:rsidRPr="001F3061">
              <w:t>87%</w:t>
            </w:r>
          </w:p>
        </w:tc>
        <w:tc>
          <w:tcPr>
            <w:tcW w:w="810" w:type="pct"/>
            <w:tcBorders>
              <w:left w:val="none" w:sz="0" w:space="0" w:color="auto"/>
            </w:tcBorders>
          </w:tcPr>
          <w:p w:rsidR="006152A6" w:rsidRPr="001F3061" w:rsidRDefault="006152A6" w:rsidP="00310176">
            <w:pPr>
              <w:spacing w:before="120" w:after="120"/>
              <w:jc w:val="right"/>
            </w:pPr>
            <w:r w:rsidRPr="001F3061">
              <w:t>84%#</w:t>
            </w:r>
          </w:p>
        </w:tc>
      </w:tr>
      <w:tr w:rsidR="00310176" w:rsidRPr="001F3061" w:rsidTr="00310176">
        <w:trPr>
          <w:cnfStyle w:val="000000100000" w:firstRow="0" w:lastRow="0" w:firstColumn="0" w:lastColumn="0" w:oddVBand="0" w:evenVBand="0" w:oddHBand="1" w:evenHBand="0"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pPr>
            <w:proofErr w:type="spellStart"/>
            <w:r w:rsidRPr="001F3061">
              <w:t>ELICOS</w:t>
            </w:r>
            <w:proofErr w:type="spellEnd"/>
            <w:r w:rsidRPr="001F3061">
              <w:t xml:space="preserve"> </w:t>
            </w:r>
          </w:p>
        </w:tc>
        <w:tc>
          <w:tcPr>
            <w:tcW w:w="766" w:type="pct"/>
            <w:tcBorders>
              <w:left w:val="none" w:sz="0" w:space="0" w:color="auto"/>
              <w:right w:val="none" w:sz="0" w:space="0" w:color="auto"/>
            </w:tcBorders>
          </w:tcPr>
          <w:p w:rsidR="006152A6" w:rsidRPr="001F3061" w:rsidRDefault="006152A6" w:rsidP="00310176">
            <w:pPr>
              <w:spacing w:before="120" w:after="120"/>
              <w:jc w:val="right"/>
            </w:pPr>
            <w:r w:rsidRPr="001F3061">
              <w:t>88%</w:t>
            </w:r>
          </w:p>
        </w:tc>
        <w:tc>
          <w:tcPr>
            <w:tcW w:w="810" w:type="pct"/>
            <w:tcBorders>
              <w:left w:val="none" w:sz="0" w:space="0" w:color="auto"/>
              <w:right w:val="none" w:sz="0" w:space="0" w:color="auto"/>
            </w:tcBorders>
          </w:tcPr>
          <w:p w:rsidR="006152A6" w:rsidRPr="001F3061" w:rsidRDefault="006152A6" w:rsidP="00310176">
            <w:pPr>
              <w:spacing w:before="120" w:after="120"/>
              <w:jc w:val="right"/>
            </w:pPr>
            <w:r w:rsidRPr="001F3061">
              <w:t>87%</w:t>
            </w:r>
          </w:p>
        </w:tc>
        <w:tc>
          <w:tcPr>
            <w:tcW w:w="810" w:type="pct"/>
            <w:tcBorders>
              <w:left w:val="none" w:sz="0" w:space="0" w:color="auto"/>
            </w:tcBorders>
          </w:tcPr>
          <w:p w:rsidR="006152A6" w:rsidRPr="001F3061" w:rsidRDefault="006152A6" w:rsidP="00310176">
            <w:pPr>
              <w:spacing w:before="120" w:after="120"/>
              <w:jc w:val="right"/>
            </w:pPr>
            <w:r w:rsidRPr="001F3061">
              <w:t>81%</w:t>
            </w:r>
          </w:p>
        </w:tc>
      </w:tr>
      <w:tr w:rsidR="006152A6" w:rsidRPr="001F3061" w:rsidTr="00310176">
        <w:trPr>
          <w:cnfStyle w:val="000000010000" w:firstRow="0" w:lastRow="0" w:firstColumn="0" w:lastColumn="0" w:oddVBand="0" w:evenVBand="0" w:oddHBand="0" w:evenHBand="1"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rPr>
                <w:i/>
              </w:rPr>
            </w:pPr>
            <w:r w:rsidRPr="001F3061">
              <w:rPr>
                <w:i/>
              </w:rPr>
              <w:t>Total tertiary</w:t>
            </w:r>
          </w:p>
        </w:tc>
        <w:tc>
          <w:tcPr>
            <w:tcW w:w="766" w:type="pct"/>
            <w:tcBorders>
              <w:left w:val="none" w:sz="0" w:space="0" w:color="auto"/>
              <w:right w:val="none" w:sz="0" w:space="0" w:color="auto"/>
            </w:tcBorders>
          </w:tcPr>
          <w:p w:rsidR="006152A6" w:rsidRPr="001F3061" w:rsidRDefault="006152A6" w:rsidP="00310176">
            <w:pPr>
              <w:spacing w:before="120" w:after="120"/>
              <w:jc w:val="right"/>
              <w:rPr>
                <w:i/>
              </w:rPr>
            </w:pPr>
            <w:r w:rsidRPr="001F3061">
              <w:rPr>
                <w:i/>
              </w:rPr>
              <w:t>88%</w:t>
            </w:r>
          </w:p>
        </w:tc>
        <w:tc>
          <w:tcPr>
            <w:tcW w:w="810" w:type="pct"/>
            <w:tcBorders>
              <w:left w:val="none" w:sz="0" w:space="0" w:color="auto"/>
              <w:right w:val="none" w:sz="0" w:space="0" w:color="auto"/>
            </w:tcBorders>
          </w:tcPr>
          <w:p w:rsidR="006152A6" w:rsidRPr="001F3061" w:rsidRDefault="006152A6" w:rsidP="00310176">
            <w:pPr>
              <w:spacing w:before="120" w:after="120"/>
              <w:jc w:val="right"/>
              <w:rPr>
                <w:i/>
              </w:rPr>
            </w:pPr>
            <w:r w:rsidRPr="001F3061">
              <w:rPr>
                <w:i/>
              </w:rPr>
              <w:t>87%</w:t>
            </w:r>
          </w:p>
        </w:tc>
        <w:tc>
          <w:tcPr>
            <w:tcW w:w="810" w:type="pct"/>
            <w:tcBorders>
              <w:left w:val="none" w:sz="0" w:space="0" w:color="auto"/>
            </w:tcBorders>
          </w:tcPr>
          <w:p w:rsidR="006152A6" w:rsidRPr="001F3061" w:rsidRDefault="006152A6" w:rsidP="00310176">
            <w:pPr>
              <w:spacing w:before="120" w:after="120"/>
              <w:jc w:val="right"/>
              <w:rPr>
                <w:i/>
              </w:rPr>
            </w:pPr>
            <w:r w:rsidRPr="001F3061">
              <w:rPr>
                <w:i/>
              </w:rPr>
              <w:t>86%</w:t>
            </w:r>
          </w:p>
        </w:tc>
      </w:tr>
      <w:tr w:rsidR="00310176" w:rsidRPr="001F3061" w:rsidTr="00310176">
        <w:trPr>
          <w:cnfStyle w:val="000000100000" w:firstRow="0" w:lastRow="0" w:firstColumn="0" w:lastColumn="0" w:oddVBand="0" w:evenVBand="0" w:oddHBand="1" w:evenHBand="0"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pPr>
            <w:proofErr w:type="spellStart"/>
            <w:r w:rsidRPr="001F3061">
              <w:t>ISB</w:t>
            </w:r>
            <w:proofErr w:type="spellEnd"/>
            <w:r w:rsidRPr="001F3061">
              <w:t xml:space="preserve"> index for higher education</w:t>
            </w:r>
          </w:p>
        </w:tc>
        <w:tc>
          <w:tcPr>
            <w:tcW w:w="766" w:type="pct"/>
            <w:tcBorders>
              <w:left w:val="none" w:sz="0" w:space="0" w:color="auto"/>
              <w:right w:val="none" w:sz="0" w:space="0" w:color="auto"/>
            </w:tcBorders>
          </w:tcPr>
          <w:p w:rsidR="006152A6" w:rsidRPr="001F3061" w:rsidRDefault="006152A6" w:rsidP="00310176">
            <w:pPr>
              <w:spacing w:before="120" w:after="120"/>
              <w:jc w:val="right"/>
            </w:pPr>
            <w:r w:rsidRPr="001F3061">
              <w:t>89%</w:t>
            </w:r>
          </w:p>
        </w:tc>
        <w:tc>
          <w:tcPr>
            <w:tcW w:w="810" w:type="pct"/>
            <w:tcBorders>
              <w:left w:val="none" w:sz="0" w:space="0" w:color="auto"/>
              <w:right w:val="none" w:sz="0" w:space="0" w:color="auto"/>
            </w:tcBorders>
          </w:tcPr>
          <w:p w:rsidR="006152A6" w:rsidRPr="001F3061" w:rsidRDefault="006152A6" w:rsidP="00310176">
            <w:pPr>
              <w:spacing w:before="120" w:after="120"/>
              <w:jc w:val="right"/>
            </w:pPr>
            <w:r w:rsidRPr="001F3061">
              <w:t>88%</w:t>
            </w:r>
          </w:p>
        </w:tc>
        <w:tc>
          <w:tcPr>
            <w:tcW w:w="810" w:type="pct"/>
            <w:tcBorders>
              <w:left w:val="none" w:sz="0" w:space="0" w:color="auto"/>
            </w:tcBorders>
          </w:tcPr>
          <w:p w:rsidR="006152A6" w:rsidRPr="001F3061" w:rsidRDefault="006152A6" w:rsidP="00310176">
            <w:pPr>
              <w:spacing w:before="120" w:after="120"/>
              <w:jc w:val="right"/>
            </w:pPr>
            <w:r w:rsidRPr="001F3061">
              <w:t>88%</w:t>
            </w:r>
          </w:p>
        </w:tc>
      </w:tr>
      <w:tr w:rsidR="006152A6" w:rsidRPr="001F3061" w:rsidTr="00310176">
        <w:trPr>
          <w:cnfStyle w:val="000000010000" w:firstRow="0" w:lastRow="0" w:firstColumn="0" w:lastColumn="0" w:oddVBand="0" w:evenVBand="0" w:oddHBand="0" w:evenHBand="1" w:firstRowFirstColumn="0" w:firstRowLastColumn="0" w:lastRowFirstColumn="0" w:lastRowLastColumn="0"/>
          <w:cantSplit/>
        </w:trPr>
        <w:tc>
          <w:tcPr>
            <w:tcW w:w="2614" w:type="pct"/>
            <w:tcBorders>
              <w:right w:val="none" w:sz="0" w:space="0" w:color="auto"/>
            </w:tcBorders>
          </w:tcPr>
          <w:p w:rsidR="006152A6" w:rsidRPr="001F3061" w:rsidRDefault="006152A6" w:rsidP="00310176">
            <w:pPr>
              <w:spacing w:before="120" w:after="120"/>
            </w:pPr>
            <w:proofErr w:type="spellStart"/>
            <w:r w:rsidRPr="001F3061">
              <w:t>ISB</w:t>
            </w:r>
            <w:proofErr w:type="spellEnd"/>
            <w:r w:rsidRPr="001F3061">
              <w:t xml:space="preserve"> index for VET</w:t>
            </w:r>
          </w:p>
        </w:tc>
        <w:tc>
          <w:tcPr>
            <w:tcW w:w="766" w:type="pct"/>
            <w:tcBorders>
              <w:left w:val="none" w:sz="0" w:space="0" w:color="auto"/>
              <w:right w:val="none" w:sz="0" w:space="0" w:color="auto"/>
            </w:tcBorders>
          </w:tcPr>
          <w:p w:rsidR="006152A6" w:rsidRPr="001F3061" w:rsidRDefault="006152A6" w:rsidP="00310176">
            <w:pPr>
              <w:spacing w:before="120" w:after="120"/>
              <w:jc w:val="right"/>
            </w:pPr>
            <w:r w:rsidRPr="001F3061">
              <w:t>89%</w:t>
            </w:r>
          </w:p>
        </w:tc>
        <w:tc>
          <w:tcPr>
            <w:tcW w:w="810" w:type="pct"/>
            <w:tcBorders>
              <w:left w:val="none" w:sz="0" w:space="0" w:color="auto"/>
              <w:right w:val="none" w:sz="0" w:space="0" w:color="auto"/>
            </w:tcBorders>
          </w:tcPr>
          <w:p w:rsidR="006152A6" w:rsidRPr="001F3061" w:rsidRDefault="006152A6" w:rsidP="00310176">
            <w:pPr>
              <w:spacing w:before="120" w:after="120"/>
              <w:jc w:val="right"/>
            </w:pPr>
            <w:r w:rsidRPr="001F3061">
              <w:t>Not available</w:t>
            </w:r>
          </w:p>
        </w:tc>
        <w:tc>
          <w:tcPr>
            <w:tcW w:w="810" w:type="pct"/>
            <w:tcBorders>
              <w:left w:val="none" w:sz="0" w:space="0" w:color="auto"/>
            </w:tcBorders>
          </w:tcPr>
          <w:p w:rsidR="006152A6" w:rsidRPr="001F3061" w:rsidRDefault="006152A6" w:rsidP="00310176">
            <w:pPr>
              <w:spacing w:before="120" w:after="120"/>
              <w:jc w:val="right"/>
            </w:pPr>
            <w:r w:rsidRPr="001F3061">
              <w:t>Not available</w:t>
            </w:r>
          </w:p>
        </w:tc>
      </w:tr>
    </w:tbl>
    <w:p w:rsidR="00FE5AF1" w:rsidRDefault="00FE5AF1" w:rsidP="00310176">
      <w:pPr>
        <w:spacing w:after="120" w:line="240" w:lineRule="auto"/>
        <w:contextualSpacing/>
      </w:pPr>
      <w:r w:rsidRPr="006B7D8A">
        <w:rPr>
          <w:i/>
          <w:sz w:val="20"/>
          <w:szCs w:val="20"/>
          <w:vertAlign w:val="superscript"/>
        </w:rPr>
        <w:t>#</w:t>
      </w:r>
      <w:proofErr w:type="gramStart"/>
      <w:r w:rsidRPr="002D38E6">
        <w:rPr>
          <w:i/>
          <w:sz w:val="20"/>
          <w:szCs w:val="20"/>
        </w:rPr>
        <w:t>The</w:t>
      </w:r>
      <w:proofErr w:type="gramEnd"/>
      <w:r w:rsidRPr="002D38E6">
        <w:rPr>
          <w:i/>
          <w:sz w:val="20"/>
          <w:szCs w:val="20"/>
        </w:rPr>
        <w:t xml:space="preserve"> 2010 survey published the information collected from public VET respondents only</w:t>
      </w:r>
      <w:r>
        <w:rPr>
          <w:i/>
          <w:sz w:val="20"/>
          <w:szCs w:val="20"/>
        </w:rPr>
        <w:t>.</w:t>
      </w:r>
    </w:p>
    <w:p w:rsidR="002507BF" w:rsidRDefault="001150A6" w:rsidP="00310176">
      <w:pPr>
        <w:spacing w:after="120" w:line="240" w:lineRule="auto"/>
        <w:contextualSpacing/>
        <w:rPr>
          <w:i/>
          <w:sz w:val="20"/>
          <w:szCs w:val="20"/>
        </w:rPr>
      </w:pPr>
      <w:r w:rsidRPr="002D38E6">
        <w:t>*</w:t>
      </w:r>
      <w:r w:rsidR="00B94FB8" w:rsidRPr="006B7D8A">
        <w:rPr>
          <w:i/>
          <w:sz w:val="20"/>
          <w:szCs w:val="20"/>
        </w:rPr>
        <w:t xml:space="preserve">International benchmarking with the </w:t>
      </w:r>
      <w:proofErr w:type="spellStart"/>
      <w:r w:rsidR="00B94FB8" w:rsidRPr="006B7D8A">
        <w:rPr>
          <w:i/>
          <w:sz w:val="20"/>
          <w:szCs w:val="20"/>
        </w:rPr>
        <w:t>ISB</w:t>
      </w:r>
      <w:proofErr w:type="spellEnd"/>
      <w:r w:rsidR="00B94FB8" w:rsidRPr="006B7D8A">
        <w:rPr>
          <w:i/>
          <w:sz w:val="20"/>
          <w:szCs w:val="20"/>
        </w:rPr>
        <w:t xml:space="preserve"> index is only provided for higher education </w:t>
      </w:r>
      <w:r w:rsidR="0050221C">
        <w:rPr>
          <w:i/>
          <w:sz w:val="20"/>
          <w:szCs w:val="20"/>
        </w:rPr>
        <w:t xml:space="preserve">and VET </w:t>
      </w:r>
      <w:r w:rsidR="00B94FB8" w:rsidRPr="006B7D8A">
        <w:rPr>
          <w:i/>
          <w:sz w:val="20"/>
          <w:szCs w:val="20"/>
        </w:rPr>
        <w:t>where</w:t>
      </w:r>
    </w:p>
    <w:p w:rsidR="00B94FB8" w:rsidRDefault="00B94FB8" w:rsidP="00310176">
      <w:pPr>
        <w:spacing w:after="120" w:line="240" w:lineRule="auto"/>
        <w:contextualSpacing/>
      </w:pPr>
      <w:proofErr w:type="gramStart"/>
      <w:r w:rsidRPr="006B7D8A">
        <w:rPr>
          <w:i/>
          <w:sz w:val="20"/>
          <w:szCs w:val="20"/>
        </w:rPr>
        <w:t>large</w:t>
      </w:r>
      <w:proofErr w:type="gramEnd"/>
      <w:r w:rsidRPr="006B7D8A">
        <w:rPr>
          <w:i/>
          <w:sz w:val="20"/>
          <w:szCs w:val="20"/>
        </w:rPr>
        <w:t xml:space="preserve"> numbers of respondents </w:t>
      </w:r>
      <w:r w:rsidR="0050221C">
        <w:rPr>
          <w:i/>
          <w:sz w:val="20"/>
          <w:szCs w:val="20"/>
        </w:rPr>
        <w:t xml:space="preserve">could </w:t>
      </w:r>
      <w:r w:rsidRPr="006B7D8A">
        <w:rPr>
          <w:i/>
          <w:sz w:val="20"/>
          <w:szCs w:val="20"/>
        </w:rPr>
        <w:t>provide statistical validity</w:t>
      </w:r>
      <w:r w:rsidR="0050221C">
        <w:rPr>
          <w:i/>
          <w:sz w:val="20"/>
          <w:szCs w:val="20"/>
        </w:rPr>
        <w:t>.</w:t>
      </w:r>
    </w:p>
    <w:p w:rsidR="00EA7CE1" w:rsidRPr="002D38E6" w:rsidRDefault="00EA7CE1" w:rsidP="00EA7CE1">
      <w:pPr>
        <w:sectPr w:rsidR="00EA7CE1" w:rsidRPr="002D38E6" w:rsidSect="00FE55DC">
          <w:pgSz w:w="11906" w:h="16838"/>
          <w:pgMar w:top="1440" w:right="1440" w:bottom="1985" w:left="1440" w:header="709" w:footer="1009" w:gutter="0"/>
          <w:pgNumType w:fmt="lowerRoman"/>
          <w:cols w:space="708"/>
          <w:docGrid w:linePitch="360"/>
        </w:sectPr>
      </w:pPr>
      <w:bookmarkStart w:id="13" w:name="_Toc278311548"/>
    </w:p>
    <w:p w:rsidR="00820B66" w:rsidRPr="002D38E6" w:rsidRDefault="0091621B" w:rsidP="00EA7CE1">
      <w:pPr>
        <w:pStyle w:val="Heading1"/>
      </w:pPr>
      <w:bookmarkStart w:id="14" w:name="_Toc415743321"/>
      <w:bookmarkStart w:id="15" w:name="_Toc417300794"/>
      <w:r>
        <w:lastRenderedPageBreak/>
        <w:t>About the report</w:t>
      </w:r>
      <w:bookmarkEnd w:id="14"/>
      <w:bookmarkEnd w:id="15"/>
      <w:r>
        <w:t xml:space="preserve"> </w:t>
      </w:r>
      <w:bookmarkEnd w:id="13"/>
    </w:p>
    <w:p w:rsidR="0091621B" w:rsidRDefault="0091621B" w:rsidP="0091621B">
      <w:pPr>
        <w:pStyle w:val="Heading2"/>
      </w:pPr>
      <w:bookmarkStart w:id="16" w:name="_Toc415743322"/>
      <w:bookmarkStart w:id="17" w:name="_Toc417300795"/>
      <w:r>
        <w:t>Background</w:t>
      </w:r>
      <w:bookmarkEnd w:id="16"/>
      <w:bookmarkEnd w:id="17"/>
    </w:p>
    <w:p w:rsidR="00C7736B" w:rsidRPr="002D38E6" w:rsidRDefault="00C7736B" w:rsidP="00A4287A">
      <w:pPr>
        <w:keepNext/>
        <w:keepLines/>
      </w:pPr>
      <w:r w:rsidRPr="002D38E6">
        <w:t xml:space="preserve">Australia has long been a destination of choice for </w:t>
      </w:r>
      <w:r w:rsidR="001E0349">
        <w:t>i</w:t>
      </w:r>
      <w:r w:rsidRPr="002D38E6">
        <w:t xml:space="preserve">nternational students. </w:t>
      </w:r>
      <w:r w:rsidR="00C75550" w:rsidRPr="002D38E6">
        <w:t>In 2014</w:t>
      </w:r>
      <w:r w:rsidR="001E0349">
        <w:t>,</w:t>
      </w:r>
      <w:r w:rsidR="00C75550" w:rsidRPr="002D38E6">
        <w:t xml:space="preserve"> </w:t>
      </w:r>
      <w:r w:rsidR="005107DF">
        <w:t xml:space="preserve">over </w:t>
      </w:r>
      <w:r w:rsidR="00B94FB8">
        <w:t>45</w:t>
      </w:r>
      <w:r w:rsidR="005107DF">
        <w:t xml:space="preserve">0,000 </w:t>
      </w:r>
      <w:r w:rsidR="00C75550" w:rsidRPr="002D38E6">
        <w:t>inter</w:t>
      </w:r>
      <w:r w:rsidR="003604A8" w:rsidRPr="002D38E6">
        <w:t xml:space="preserve">national students </w:t>
      </w:r>
      <w:r w:rsidR="00197DDC">
        <w:t xml:space="preserve">were welcomed </w:t>
      </w:r>
      <w:r w:rsidR="003604A8" w:rsidRPr="002D38E6">
        <w:t>to our shores</w:t>
      </w:r>
      <w:r w:rsidR="00EF786F">
        <w:rPr>
          <w:rStyle w:val="FootnoteReference"/>
        </w:rPr>
        <w:footnoteReference w:id="1"/>
      </w:r>
      <w:r w:rsidR="003604A8" w:rsidRPr="002D38E6">
        <w:t xml:space="preserve">. </w:t>
      </w:r>
      <w:r w:rsidR="00285DE3" w:rsidRPr="002D38E6">
        <w:t xml:space="preserve">International </w:t>
      </w:r>
      <w:r w:rsidR="00B94FB8">
        <w:t>s</w:t>
      </w:r>
      <w:r w:rsidR="00285DE3" w:rsidRPr="002D38E6">
        <w:t xml:space="preserve">tudents studying and living in Australia </w:t>
      </w:r>
      <w:r w:rsidR="00B94FB8">
        <w:t>benefit Australia’s economy and culturally enrich our education institutions and the wider community</w:t>
      </w:r>
      <w:r w:rsidR="00285DE3" w:rsidRPr="002D38E6">
        <w:t xml:space="preserve">. </w:t>
      </w:r>
      <w:r w:rsidR="00352C7F" w:rsidRPr="002D38E6">
        <w:t>Clearly</w:t>
      </w:r>
      <w:r w:rsidR="00320648">
        <w:t>,</w:t>
      </w:r>
      <w:r w:rsidR="00352C7F" w:rsidRPr="002D38E6">
        <w:t xml:space="preserve"> </w:t>
      </w:r>
      <w:r w:rsidR="00AE53DE" w:rsidRPr="002D38E6">
        <w:t>this group</w:t>
      </w:r>
      <w:r w:rsidR="00007763">
        <w:t>’</w:t>
      </w:r>
      <w:r w:rsidR="00AE53DE" w:rsidRPr="002D38E6">
        <w:t>s satisfaction</w:t>
      </w:r>
      <w:r w:rsidR="00352C7F" w:rsidRPr="002D38E6">
        <w:t xml:space="preserve"> </w:t>
      </w:r>
      <w:r w:rsidR="00AE53DE" w:rsidRPr="002D38E6">
        <w:t xml:space="preserve">with studying and living in Australia is of interest. </w:t>
      </w:r>
      <w:r w:rsidRPr="002D38E6">
        <w:t xml:space="preserve">To measure how </w:t>
      </w:r>
      <w:r w:rsidR="0076314A" w:rsidRPr="002D38E6">
        <w:t>international students perceive our education system</w:t>
      </w:r>
      <w:r w:rsidR="006E23C6" w:rsidRPr="002D38E6">
        <w:t>, the Department of Education</w:t>
      </w:r>
      <w:r w:rsidR="00CE1A41">
        <w:t xml:space="preserve"> and Training</w:t>
      </w:r>
      <w:r w:rsidR="006E23C6" w:rsidRPr="002D38E6">
        <w:t xml:space="preserve"> </w:t>
      </w:r>
      <w:r w:rsidR="008A78B6">
        <w:t>has supported a series</w:t>
      </w:r>
      <w:r w:rsidR="006E23C6" w:rsidRPr="002D38E6">
        <w:t xml:space="preserve"> of </w:t>
      </w:r>
      <w:r w:rsidR="008A78B6">
        <w:t>i</w:t>
      </w:r>
      <w:r w:rsidR="006E23C6" w:rsidRPr="002D38E6">
        <w:t xml:space="preserve">nternational </w:t>
      </w:r>
      <w:r w:rsidR="008A78B6">
        <w:t>s</w:t>
      </w:r>
      <w:r w:rsidR="006E23C6" w:rsidRPr="002D38E6">
        <w:t xml:space="preserve">tudent </w:t>
      </w:r>
      <w:r w:rsidR="008A78B6">
        <w:t>s</w:t>
      </w:r>
      <w:r w:rsidR="006E23C6" w:rsidRPr="002D38E6">
        <w:t xml:space="preserve">urveys </w:t>
      </w:r>
      <w:r w:rsidR="008A78B6">
        <w:t>to gain</w:t>
      </w:r>
      <w:r w:rsidR="006E23C6" w:rsidRPr="002D38E6">
        <w:t xml:space="preserve"> a greater understanding of the experiences of international students studying in Australia. </w:t>
      </w:r>
    </w:p>
    <w:p w:rsidR="0091621B" w:rsidRDefault="0091621B" w:rsidP="0091621B">
      <w:pPr>
        <w:pStyle w:val="Heading2"/>
      </w:pPr>
      <w:bookmarkStart w:id="18" w:name="_Toc415743323"/>
      <w:bookmarkStart w:id="19" w:name="_Toc417300796"/>
      <w:r>
        <w:t>Objectives</w:t>
      </w:r>
      <w:bookmarkEnd w:id="18"/>
      <w:bookmarkEnd w:id="19"/>
    </w:p>
    <w:p w:rsidR="00820B66" w:rsidRDefault="00820B66" w:rsidP="00D0674B">
      <w:r w:rsidRPr="002D38E6">
        <w:t xml:space="preserve">One of the principal objectives </w:t>
      </w:r>
      <w:r w:rsidR="008A78B6">
        <w:t>of these surveys is</w:t>
      </w:r>
      <w:r w:rsidRPr="002D38E6">
        <w:t xml:space="preserve"> to obtain information </w:t>
      </w:r>
      <w:r w:rsidR="00537B8E" w:rsidRPr="002D38E6">
        <w:t>on</w:t>
      </w:r>
      <w:r w:rsidRPr="002D38E6">
        <w:t xml:space="preserve"> the perceptions current international students have about their living and learning experience in Australia.  This information provides government and the international education sector with valuable indicators of how well Australian education institutions are meeting the expectations of international students and how resources might best be directed to improve student satisfaction. In addition, the use of the </w:t>
      </w:r>
      <w:r w:rsidR="001E0349">
        <w:t>International Student Barometer (</w:t>
      </w:r>
      <w:proofErr w:type="spellStart"/>
      <w:r w:rsidRPr="00007763">
        <w:t>ISB</w:t>
      </w:r>
      <w:proofErr w:type="spellEnd"/>
      <w:r w:rsidR="001E0349">
        <w:t>)</w:t>
      </w:r>
      <w:r w:rsidRPr="00007763">
        <w:t xml:space="preserve"> </w:t>
      </w:r>
      <w:r w:rsidRPr="002D38E6">
        <w:t>survey instrument in the</w:t>
      </w:r>
      <w:r w:rsidR="001E0349">
        <w:t xml:space="preserve"> International Student Survey</w:t>
      </w:r>
      <w:r w:rsidRPr="002D38E6">
        <w:t xml:space="preserve"> </w:t>
      </w:r>
      <w:r w:rsidR="001E0349">
        <w:t>(</w:t>
      </w:r>
      <w:proofErr w:type="spellStart"/>
      <w:r w:rsidRPr="002D38E6">
        <w:t>ISS</w:t>
      </w:r>
      <w:proofErr w:type="spellEnd"/>
      <w:r w:rsidR="001E0349">
        <w:t>)</w:t>
      </w:r>
      <w:r w:rsidRPr="002D38E6">
        <w:t xml:space="preserve"> allowed comparisons to be made against responses from international students studying in other countries.  Furthermore, the use of the same </w:t>
      </w:r>
      <w:r w:rsidR="008A78B6">
        <w:t>survey instrument over time enables</w:t>
      </w:r>
      <w:r w:rsidRPr="002D38E6">
        <w:t xml:space="preserve"> reliable comparisons between </w:t>
      </w:r>
      <w:r w:rsidR="008A78B6">
        <w:t>past and present, indicating if Australian institutions are improving their performance in delivering a positive studying and living experience for international students</w:t>
      </w:r>
      <w:r w:rsidR="00AE53DE" w:rsidRPr="002D38E6">
        <w:t xml:space="preserve">. </w:t>
      </w:r>
    </w:p>
    <w:p w:rsidR="00F464C5" w:rsidRDefault="00F464C5" w:rsidP="00540A2D">
      <w:r>
        <w:t xml:space="preserve">The value of the </w:t>
      </w:r>
      <w:proofErr w:type="spellStart"/>
      <w:r w:rsidR="001E0349">
        <w:t>ISS</w:t>
      </w:r>
      <w:proofErr w:type="spellEnd"/>
      <w:r>
        <w:t xml:space="preserve"> series is recognised by peak education bodies and key stakeholders in Australia.</w:t>
      </w:r>
    </w:p>
    <w:p w:rsidR="00F464C5" w:rsidRPr="00540A2D" w:rsidRDefault="00F464C5" w:rsidP="00342010">
      <w:pPr>
        <w:pStyle w:val="ListParagraph"/>
        <w:numPr>
          <w:ilvl w:val="0"/>
          <w:numId w:val="40"/>
        </w:numPr>
        <w:spacing w:after="120" w:line="240" w:lineRule="auto"/>
        <w:ind w:left="567" w:hanging="567"/>
        <w:contextualSpacing w:val="0"/>
      </w:pPr>
      <w:r w:rsidRPr="00540A2D">
        <w:t xml:space="preserve">Universities Australia released </w:t>
      </w:r>
      <w:proofErr w:type="gramStart"/>
      <w:r w:rsidRPr="00540A2D">
        <w:rPr>
          <w:i/>
        </w:rPr>
        <w:t>Making</w:t>
      </w:r>
      <w:proofErr w:type="gramEnd"/>
      <w:r w:rsidRPr="00540A2D">
        <w:rPr>
          <w:i/>
        </w:rPr>
        <w:t xml:space="preserve"> the Most of Your International Student Barometer Data: A Guide to Good Practice</w:t>
      </w:r>
      <w:r w:rsidRPr="00540A2D">
        <w:t>, to inform its members how to use the survey data to improve their practice.</w:t>
      </w:r>
    </w:p>
    <w:p w:rsidR="00F464C5" w:rsidRPr="00540A2D" w:rsidRDefault="00F464C5" w:rsidP="00342010">
      <w:pPr>
        <w:pStyle w:val="ListParagraph"/>
        <w:numPr>
          <w:ilvl w:val="0"/>
          <w:numId w:val="40"/>
        </w:numPr>
        <w:spacing w:after="120" w:line="240" w:lineRule="auto"/>
        <w:ind w:left="567" w:hanging="567"/>
        <w:contextualSpacing w:val="0"/>
      </w:pPr>
      <w:r w:rsidRPr="00540A2D">
        <w:t xml:space="preserve">TAFE Directors of Australia released </w:t>
      </w:r>
      <w:r w:rsidRPr="00540A2D">
        <w:rPr>
          <w:i/>
        </w:rPr>
        <w:t>Australian TAFE Guide to Recruiting and Supporting International Students</w:t>
      </w:r>
      <w:r w:rsidRPr="00540A2D">
        <w:t xml:space="preserve"> </w:t>
      </w:r>
      <w:r>
        <w:t>based upon findings from past surveys</w:t>
      </w:r>
      <w:r w:rsidRPr="00540A2D">
        <w:t>.</w:t>
      </w:r>
    </w:p>
    <w:p w:rsidR="00F464C5" w:rsidRPr="00540A2D" w:rsidRDefault="00F464C5" w:rsidP="00342010">
      <w:pPr>
        <w:pStyle w:val="ListParagraph"/>
        <w:numPr>
          <w:ilvl w:val="0"/>
          <w:numId w:val="40"/>
        </w:numPr>
        <w:spacing w:after="120" w:line="240" w:lineRule="auto"/>
        <w:ind w:left="567" w:hanging="567"/>
        <w:contextualSpacing w:val="0"/>
      </w:pPr>
      <w:r w:rsidRPr="00540A2D">
        <w:t xml:space="preserve">English Australia released </w:t>
      </w:r>
      <w:r w:rsidRPr="00540A2D">
        <w:rPr>
          <w:i/>
        </w:rPr>
        <w:t xml:space="preserve">Maximising the </w:t>
      </w:r>
      <w:proofErr w:type="spellStart"/>
      <w:r w:rsidRPr="00540A2D">
        <w:rPr>
          <w:i/>
        </w:rPr>
        <w:t>ELICOS</w:t>
      </w:r>
      <w:proofErr w:type="spellEnd"/>
      <w:r w:rsidRPr="00540A2D">
        <w:rPr>
          <w:i/>
        </w:rPr>
        <w:t xml:space="preserve"> Student Experience</w:t>
      </w:r>
      <w:r w:rsidRPr="00540A2D">
        <w:t xml:space="preserve">, a practical guide to using </w:t>
      </w:r>
      <w:r>
        <w:t>survey</w:t>
      </w:r>
      <w:r w:rsidRPr="00540A2D">
        <w:t xml:space="preserve"> data for marketing, administering, teaching and supporting </w:t>
      </w:r>
      <w:proofErr w:type="spellStart"/>
      <w:r w:rsidRPr="00540A2D">
        <w:t>ELICOS</w:t>
      </w:r>
      <w:proofErr w:type="spellEnd"/>
      <w:r w:rsidRPr="00540A2D">
        <w:t xml:space="preserve"> students.</w:t>
      </w:r>
    </w:p>
    <w:p w:rsidR="00F464C5" w:rsidRPr="00540A2D" w:rsidRDefault="00F464C5" w:rsidP="00342010">
      <w:pPr>
        <w:pStyle w:val="ListParagraph"/>
        <w:numPr>
          <w:ilvl w:val="0"/>
          <w:numId w:val="40"/>
        </w:numPr>
        <w:spacing w:after="120" w:line="240" w:lineRule="auto"/>
        <w:ind w:left="567" w:hanging="567"/>
        <w:contextualSpacing w:val="0"/>
      </w:pPr>
      <w:r>
        <w:t>S</w:t>
      </w:r>
      <w:r w:rsidRPr="00540A2D">
        <w:t>tate and territory education departments</w:t>
      </w:r>
      <w:r>
        <w:t>, private sector peak bodies and participating schools</w:t>
      </w:r>
      <w:r w:rsidRPr="00540A2D">
        <w:t xml:space="preserve"> </w:t>
      </w:r>
      <w:r>
        <w:t>receive local-level</w:t>
      </w:r>
      <w:r w:rsidRPr="00540A2D">
        <w:t xml:space="preserve"> </w:t>
      </w:r>
      <w:r>
        <w:t xml:space="preserve">survey </w:t>
      </w:r>
      <w:r w:rsidRPr="00540A2D">
        <w:t>data to inform policy development</w:t>
      </w:r>
      <w:r>
        <w:t xml:space="preserve"> and enhance practice</w:t>
      </w:r>
      <w:r w:rsidRPr="00540A2D">
        <w:t>.</w:t>
      </w:r>
    </w:p>
    <w:p w:rsidR="00857756" w:rsidRPr="00150C5D" w:rsidRDefault="00857756" w:rsidP="00150C5D">
      <w:bookmarkStart w:id="20" w:name="_Toc278311549"/>
      <w:r>
        <w:br w:type="page"/>
      </w:r>
    </w:p>
    <w:p w:rsidR="00820B66" w:rsidRPr="002D38E6" w:rsidRDefault="00820B66" w:rsidP="00D0674B">
      <w:pPr>
        <w:pStyle w:val="Heading2"/>
      </w:pPr>
      <w:bookmarkStart w:id="21" w:name="_Toc415743324"/>
      <w:bookmarkStart w:id="22" w:name="_Toc417300797"/>
      <w:bookmarkStart w:id="23" w:name="_Toc278311550"/>
      <w:bookmarkEnd w:id="20"/>
      <w:r w:rsidRPr="002D38E6">
        <w:lastRenderedPageBreak/>
        <w:t>Scope</w:t>
      </w:r>
      <w:bookmarkEnd w:id="21"/>
      <w:bookmarkEnd w:id="22"/>
      <w:r w:rsidRPr="002D38E6">
        <w:t xml:space="preserve"> </w:t>
      </w:r>
      <w:bookmarkEnd w:id="23"/>
    </w:p>
    <w:p w:rsidR="00820B66" w:rsidRPr="002D38E6" w:rsidRDefault="00820B66" w:rsidP="00D0674B">
      <w:r w:rsidRPr="002D38E6">
        <w:t>The scope of the 201</w:t>
      </w:r>
      <w:r w:rsidR="00C75550" w:rsidRPr="002D38E6">
        <w:t>4</w:t>
      </w:r>
      <w:r w:rsidRPr="002D38E6">
        <w:t xml:space="preserve"> survey was all international students who were:</w:t>
      </w:r>
    </w:p>
    <w:p w:rsidR="00C75550" w:rsidRDefault="008648A5" w:rsidP="00D0674B">
      <w:pPr>
        <w:pStyle w:val="ListBullet"/>
      </w:pPr>
      <w:proofErr w:type="gramStart"/>
      <w:r>
        <w:t>on</w:t>
      </w:r>
      <w:proofErr w:type="gramEnd"/>
      <w:r>
        <w:t xml:space="preserve"> a student visa and </w:t>
      </w:r>
      <w:r w:rsidR="00A969EA">
        <w:t>s</w:t>
      </w:r>
      <w:r w:rsidR="00C75550" w:rsidRPr="002D38E6">
        <w:t>tudying in Australia at a Commonwealth Register of Institution</w:t>
      </w:r>
      <w:r w:rsidR="008A78B6">
        <w:t>s</w:t>
      </w:r>
      <w:r w:rsidR="00C75550" w:rsidRPr="002D38E6">
        <w:t xml:space="preserve"> and Courses for Overseas Students (</w:t>
      </w:r>
      <w:proofErr w:type="spellStart"/>
      <w:r w:rsidR="00C75550" w:rsidRPr="002D38E6">
        <w:t>CRICOS</w:t>
      </w:r>
      <w:proofErr w:type="spellEnd"/>
      <w:r w:rsidR="00C75550" w:rsidRPr="002D38E6">
        <w:t xml:space="preserve">) registered provider in </w:t>
      </w:r>
      <w:r w:rsidR="008A78B6">
        <w:t>h</w:t>
      </w:r>
      <w:r w:rsidR="00C75550" w:rsidRPr="002D38E6">
        <w:t xml:space="preserve">igher </w:t>
      </w:r>
      <w:r w:rsidR="008A78B6">
        <w:t>e</w:t>
      </w:r>
      <w:r w:rsidR="00C75550" w:rsidRPr="002D38E6">
        <w:t>ducatio</w:t>
      </w:r>
      <w:r w:rsidR="008A78B6">
        <w:t>n</w:t>
      </w:r>
      <w:r w:rsidR="00C75550" w:rsidRPr="002D38E6">
        <w:t xml:space="preserve">, </w:t>
      </w:r>
      <w:r w:rsidR="001E0349">
        <w:t>vocational education and training (</w:t>
      </w:r>
      <w:r w:rsidR="00C75550" w:rsidRPr="002D38E6">
        <w:t>VET</w:t>
      </w:r>
      <w:r w:rsidR="001E0349">
        <w:t>)</w:t>
      </w:r>
      <w:r w:rsidR="00C75550" w:rsidRPr="002D38E6">
        <w:t xml:space="preserve"> or </w:t>
      </w:r>
      <w:r w:rsidR="001E0349">
        <w:t>English Language Intensive Courses for Overseas Students (</w:t>
      </w:r>
      <w:proofErr w:type="spellStart"/>
      <w:r w:rsidR="00C75550" w:rsidRPr="002D38E6">
        <w:t>ELICOS</w:t>
      </w:r>
      <w:proofErr w:type="spellEnd"/>
      <w:r w:rsidR="001E0349">
        <w:t>)</w:t>
      </w:r>
      <w:r w:rsidR="00C75550" w:rsidRPr="002D38E6">
        <w:t xml:space="preserve"> institution</w:t>
      </w:r>
      <w:r w:rsidR="00761231">
        <w:t>s</w:t>
      </w:r>
      <w:r w:rsidR="00C75550" w:rsidRPr="002D38E6">
        <w:t xml:space="preserve"> during late 2013 to mid-2014.</w:t>
      </w:r>
    </w:p>
    <w:p w:rsidR="008648A5" w:rsidRDefault="008648A5" w:rsidP="00D0674B">
      <w:pPr>
        <w:pStyle w:val="ListBullet"/>
      </w:pPr>
      <w:proofErr w:type="gramStart"/>
      <w:r>
        <w:t>on</w:t>
      </w:r>
      <w:proofErr w:type="gramEnd"/>
      <w:r>
        <w:t xml:space="preserve"> tourist or working holiday</w:t>
      </w:r>
      <w:r w:rsidR="001E0349">
        <w:t xml:space="preserve"> </w:t>
      </w:r>
      <w:r>
        <w:t>maker visas</w:t>
      </w:r>
      <w:r w:rsidR="00CF6843">
        <w:t xml:space="preserve"> and</w:t>
      </w:r>
      <w:r>
        <w:t xml:space="preserve"> studying </w:t>
      </w:r>
      <w:proofErr w:type="spellStart"/>
      <w:r>
        <w:t>ELICOS</w:t>
      </w:r>
      <w:proofErr w:type="spellEnd"/>
      <w:r>
        <w:t xml:space="preserve"> in the same period.</w:t>
      </w:r>
    </w:p>
    <w:p w:rsidR="00CF6843" w:rsidRDefault="008648A5" w:rsidP="00D0674B">
      <w:pPr>
        <w:pStyle w:val="ListBullet"/>
      </w:pPr>
      <w:proofErr w:type="gramStart"/>
      <w:r w:rsidRPr="002D38E6">
        <w:t>aged</w:t>
      </w:r>
      <w:proofErr w:type="gramEnd"/>
      <w:r w:rsidRPr="002D38E6">
        <w:t xml:space="preserve"> 16 years or over, in </w:t>
      </w:r>
      <w:r w:rsidR="001E0349">
        <w:t>y</w:t>
      </w:r>
      <w:r w:rsidRPr="002D38E6">
        <w:t>ear</w:t>
      </w:r>
      <w:r w:rsidR="001E0349">
        <w:t>s</w:t>
      </w:r>
      <w:r w:rsidRPr="002D38E6">
        <w:t xml:space="preserve"> 11 and 12, studying in </w:t>
      </w:r>
      <w:proofErr w:type="spellStart"/>
      <w:r w:rsidR="00CF6843">
        <w:t>CRICOS</w:t>
      </w:r>
      <w:proofErr w:type="spellEnd"/>
      <w:r w:rsidR="00CF6843">
        <w:t xml:space="preserve">-registered </w:t>
      </w:r>
      <w:r w:rsidRPr="002D38E6">
        <w:t>Australian secondary schools</w:t>
      </w:r>
      <w:r w:rsidR="00CF6843">
        <w:t xml:space="preserve"> with more than five international student enrolments</w:t>
      </w:r>
      <w:r>
        <w:t>.</w:t>
      </w:r>
      <w:r w:rsidR="000A61D0" w:rsidRPr="000A61D0">
        <w:t xml:space="preserve"> </w:t>
      </w:r>
    </w:p>
    <w:p w:rsidR="00820B66" w:rsidRPr="002D38E6" w:rsidRDefault="00820B66" w:rsidP="000E5583">
      <w:pPr>
        <w:pStyle w:val="ListBullet"/>
        <w:numPr>
          <w:ilvl w:val="0"/>
          <w:numId w:val="0"/>
        </w:numPr>
        <w:spacing w:before="240"/>
        <w:contextualSpacing w:val="0"/>
      </w:pPr>
      <w:r w:rsidRPr="002D38E6">
        <w:t xml:space="preserve">As the voluntary survey was conducted online, it was restricted to international students with email contacts. </w:t>
      </w:r>
    </w:p>
    <w:p w:rsidR="00820B66" w:rsidRPr="00197DDC" w:rsidRDefault="00820B66" w:rsidP="00D0674B">
      <w:r w:rsidRPr="002D38E6">
        <w:t xml:space="preserve">The </w:t>
      </w:r>
      <w:r w:rsidR="00761231">
        <w:t>h</w:t>
      </w:r>
      <w:r w:rsidRPr="002D38E6">
        <w:t xml:space="preserve">igher </w:t>
      </w:r>
      <w:r w:rsidR="00761231">
        <w:t>e</w:t>
      </w:r>
      <w:r w:rsidRPr="002D38E6">
        <w:t xml:space="preserve">ducation survey received </w:t>
      </w:r>
      <w:r w:rsidR="00036990" w:rsidRPr="002D38E6">
        <w:t>39</w:t>
      </w:r>
      <w:r w:rsidR="00F03E11">
        <w:t>,</w:t>
      </w:r>
      <w:r w:rsidR="00036990" w:rsidRPr="002D38E6">
        <w:t>558</w:t>
      </w:r>
      <w:r w:rsidRPr="002D38E6">
        <w:t xml:space="preserve"> student responses from </w:t>
      </w:r>
      <w:r w:rsidR="005D04FE">
        <w:t xml:space="preserve">78 </w:t>
      </w:r>
      <w:r w:rsidR="00036990" w:rsidRPr="002D38E6">
        <w:t xml:space="preserve">public and private </w:t>
      </w:r>
      <w:r w:rsidR="00CB388C">
        <w:t>providers</w:t>
      </w:r>
      <w:r w:rsidR="00633F10">
        <w:t>.</w:t>
      </w:r>
      <w:r w:rsidR="00036990" w:rsidRPr="002D38E6">
        <w:rPr>
          <w:color w:val="FF0000"/>
        </w:rPr>
        <w:t xml:space="preserve"> </w:t>
      </w:r>
      <w:r w:rsidRPr="00197DDC">
        <w:t xml:space="preserve">Around </w:t>
      </w:r>
      <w:r w:rsidR="000E6265" w:rsidRPr="00197DDC">
        <w:t>16</w:t>
      </w:r>
      <w:r w:rsidR="00CA6387">
        <w:t xml:space="preserve">7,000 </w:t>
      </w:r>
      <w:r w:rsidRPr="00197DDC">
        <w:t xml:space="preserve">international students were studying at the participating </w:t>
      </w:r>
      <w:r w:rsidR="00CB388C">
        <w:t>institutions</w:t>
      </w:r>
      <w:r w:rsidRPr="00197DDC">
        <w:t xml:space="preserve"> during the survey period</w:t>
      </w:r>
      <w:r w:rsidR="00F464C5">
        <w:t xml:space="preserve">, indicating </w:t>
      </w:r>
      <w:r w:rsidRPr="00197DDC">
        <w:t>a 2</w:t>
      </w:r>
      <w:r w:rsidR="00197DDC" w:rsidRPr="00197DDC">
        <w:t>4</w:t>
      </w:r>
      <w:r w:rsidRPr="00197DDC">
        <w:t>% response rate of participants.</w:t>
      </w:r>
      <w:r w:rsidR="000E6265" w:rsidRPr="00197DDC">
        <w:t xml:space="preserve"> </w:t>
      </w:r>
    </w:p>
    <w:p w:rsidR="000E6265" w:rsidRPr="00A967C8" w:rsidRDefault="000E6265" w:rsidP="00A967C8">
      <w:r w:rsidRPr="00A967C8">
        <w:t xml:space="preserve">The VET survey received </w:t>
      </w:r>
      <w:r w:rsidR="008C423C" w:rsidRPr="00A967C8">
        <w:t>5</w:t>
      </w:r>
      <w:r w:rsidR="007E7356" w:rsidRPr="00A967C8">
        <w:t>,</w:t>
      </w:r>
      <w:r w:rsidR="008C423C" w:rsidRPr="00A967C8">
        <w:t xml:space="preserve">397 </w:t>
      </w:r>
      <w:r w:rsidRPr="00A967C8">
        <w:t xml:space="preserve">student responses from </w:t>
      </w:r>
      <w:r w:rsidR="00197DDC" w:rsidRPr="00A967C8">
        <w:t>52</w:t>
      </w:r>
      <w:r w:rsidRPr="00A967C8">
        <w:t xml:space="preserve"> </w:t>
      </w:r>
      <w:r w:rsidR="00754313" w:rsidRPr="00A967C8">
        <w:t xml:space="preserve">public and private </w:t>
      </w:r>
      <w:r w:rsidRPr="00A967C8">
        <w:t>providers in Australia. Around 2</w:t>
      </w:r>
      <w:r w:rsidR="00CA6387" w:rsidRPr="00A967C8">
        <w:t xml:space="preserve">2,000 </w:t>
      </w:r>
      <w:r w:rsidRPr="00A967C8">
        <w:t xml:space="preserve">international students were studying at the participating providers </w:t>
      </w:r>
      <w:r w:rsidR="00F464C5" w:rsidRPr="00A967C8">
        <w:t>indicating</w:t>
      </w:r>
      <w:r w:rsidRPr="00A967C8">
        <w:t xml:space="preserve"> a </w:t>
      </w:r>
      <w:r w:rsidR="00197DDC" w:rsidRPr="00A967C8">
        <w:t>25</w:t>
      </w:r>
      <w:r w:rsidRPr="00A967C8">
        <w:t xml:space="preserve">% response rate. </w:t>
      </w:r>
    </w:p>
    <w:p w:rsidR="000E6265" w:rsidRPr="002D38E6" w:rsidRDefault="000E6265" w:rsidP="00D0674B">
      <w:r w:rsidRPr="002D38E6">
        <w:t xml:space="preserve">The </w:t>
      </w:r>
      <w:proofErr w:type="spellStart"/>
      <w:r w:rsidRPr="002D38E6">
        <w:t>ELICOS</w:t>
      </w:r>
      <w:proofErr w:type="spellEnd"/>
      <w:r w:rsidRPr="002D38E6">
        <w:t xml:space="preserve"> survey received 10,654 student responses from </w:t>
      </w:r>
      <w:r w:rsidR="00776795" w:rsidRPr="002D38E6">
        <w:t xml:space="preserve">49 English </w:t>
      </w:r>
      <w:r w:rsidR="001E0349">
        <w:t>l</w:t>
      </w:r>
      <w:r w:rsidR="00776795" w:rsidRPr="002D38E6">
        <w:t xml:space="preserve">anguage </w:t>
      </w:r>
      <w:r w:rsidR="001E0349">
        <w:t>c</w:t>
      </w:r>
      <w:r w:rsidR="00776795" w:rsidRPr="002D38E6">
        <w:t>olleges across Australia.</w:t>
      </w:r>
      <w:r w:rsidRPr="002D38E6">
        <w:t xml:space="preserve"> </w:t>
      </w:r>
      <w:r w:rsidR="00AD6199">
        <w:t>During the survey period,</w:t>
      </w:r>
      <w:r w:rsidR="00AD6199" w:rsidRPr="002D38E6">
        <w:t xml:space="preserve"> </w:t>
      </w:r>
      <w:r w:rsidR="00CA6387">
        <w:t>around 16,600</w:t>
      </w:r>
      <w:r w:rsidRPr="002D38E6">
        <w:t xml:space="preserve"> international students were studying at the participating </w:t>
      </w:r>
      <w:proofErr w:type="spellStart"/>
      <w:r w:rsidRPr="002D38E6">
        <w:t>ELICOS</w:t>
      </w:r>
      <w:proofErr w:type="spellEnd"/>
      <w:r w:rsidRPr="002D38E6">
        <w:t xml:space="preserve"> providers</w:t>
      </w:r>
      <w:r w:rsidR="00AD6199">
        <w:t xml:space="preserve">, indicating </w:t>
      </w:r>
      <w:r w:rsidRPr="002D38E6">
        <w:t xml:space="preserve">a 64% response rate. </w:t>
      </w:r>
    </w:p>
    <w:p w:rsidR="00C75952" w:rsidRDefault="00820B66" w:rsidP="00C75952">
      <w:r w:rsidRPr="002D38E6">
        <w:t xml:space="preserve">The </w:t>
      </w:r>
      <w:r w:rsidR="000A61D0">
        <w:t xml:space="preserve">schools </w:t>
      </w:r>
      <w:r w:rsidRPr="002D38E6">
        <w:t xml:space="preserve">survey received </w:t>
      </w:r>
      <w:r w:rsidR="00702422" w:rsidRPr="002D38E6">
        <w:t>1</w:t>
      </w:r>
      <w:r w:rsidR="00754313">
        <w:t>,</w:t>
      </w:r>
      <w:r w:rsidR="00702422" w:rsidRPr="002D38E6">
        <w:t>225</w:t>
      </w:r>
      <w:r w:rsidRPr="002D38E6">
        <w:t xml:space="preserve"> student responses from </w:t>
      </w:r>
      <w:r w:rsidR="00702422" w:rsidRPr="002D38E6">
        <w:t>137</w:t>
      </w:r>
      <w:r w:rsidRPr="002D38E6">
        <w:t xml:space="preserve"> participating schools</w:t>
      </w:r>
      <w:r w:rsidR="00AD6199">
        <w:t>, representing a</w:t>
      </w:r>
      <w:r w:rsidRPr="002D38E6">
        <w:t xml:space="preserve"> response rate of </w:t>
      </w:r>
      <w:r w:rsidR="00702422" w:rsidRPr="002D38E6">
        <w:t>49</w:t>
      </w:r>
      <w:r w:rsidR="003F3B2A" w:rsidRPr="002D38E6">
        <w:t>%.</w:t>
      </w:r>
      <w:bookmarkStart w:id="24" w:name="_Toc278311551"/>
      <w:bookmarkStart w:id="25" w:name="_Toc415743325"/>
    </w:p>
    <w:p w:rsidR="00820B66" w:rsidRPr="002D38E6" w:rsidRDefault="00820B66" w:rsidP="00D0674B">
      <w:pPr>
        <w:pStyle w:val="Heading2"/>
      </w:pPr>
      <w:bookmarkStart w:id="26" w:name="_Toc417300798"/>
      <w:r w:rsidRPr="002D38E6">
        <w:t xml:space="preserve">Research </w:t>
      </w:r>
      <w:r w:rsidR="00D65DFF">
        <w:t>m</w:t>
      </w:r>
      <w:r w:rsidRPr="002D38E6">
        <w:t>ethodology</w:t>
      </w:r>
      <w:bookmarkEnd w:id="24"/>
      <w:bookmarkEnd w:id="25"/>
      <w:bookmarkEnd w:id="26"/>
    </w:p>
    <w:p w:rsidR="00820B66" w:rsidRPr="002D38E6" w:rsidRDefault="00820B66" w:rsidP="00D0674B">
      <w:r w:rsidRPr="002D38E6">
        <w:t>The 201</w:t>
      </w:r>
      <w:r w:rsidR="0098238E" w:rsidRPr="002D38E6">
        <w:t>4</w:t>
      </w:r>
      <w:r w:rsidRPr="002D38E6">
        <w:t xml:space="preserve"> survey was conducted using</w:t>
      </w:r>
      <w:r w:rsidRPr="0020797F">
        <w:t xml:space="preserve"> </w:t>
      </w:r>
      <w:proofErr w:type="spellStart"/>
      <w:r w:rsidRPr="00342010">
        <w:rPr>
          <w:iCs/>
        </w:rPr>
        <w:t>ISB</w:t>
      </w:r>
      <w:proofErr w:type="spellEnd"/>
      <w:r w:rsidRPr="002D38E6">
        <w:t>, developed by the United Kingdom based consultant International Graduate Insight Group (or ‘</w:t>
      </w:r>
      <w:proofErr w:type="spellStart"/>
      <w:r w:rsidRPr="002D38E6">
        <w:t>i</w:t>
      </w:r>
      <w:proofErr w:type="spellEnd"/>
      <w:r w:rsidRPr="002D38E6">
        <w:t xml:space="preserve">-graduate’). The </w:t>
      </w:r>
      <w:proofErr w:type="spellStart"/>
      <w:r w:rsidRPr="002D38E6">
        <w:t>ISB</w:t>
      </w:r>
      <w:proofErr w:type="spellEnd"/>
      <w:r w:rsidRPr="002D38E6">
        <w:t xml:space="preserve"> was designed specifically for international students and enables key satisfaction indicators to be benchmarked against equivalent indicators measured in other countries. </w:t>
      </w:r>
    </w:p>
    <w:p w:rsidR="00820B66" w:rsidRPr="002D38E6" w:rsidRDefault="00820B66" w:rsidP="00D0674B">
      <w:r w:rsidRPr="002D38E6">
        <w:t>The 201</w:t>
      </w:r>
      <w:r w:rsidR="0098238E" w:rsidRPr="002D38E6">
        <w:t>4</w:t>
      </w:r>
      <w:r w:rsidRPr="002D38E6">
        <w:t xml:space="preserve"> survey sought respondents’ views on a variety of issues relating to their stay in Australia including how satisfied they were with various aspects of their living and learning experience.  The degree of satisfaction was calculated on a four point scale with the categories ‘satisfied’ and ‘very satisfied’ </w:t>
      </w:r>
      <w:r w:rsidR="00AD6199">
        <w:t xml:space="preserve">generally </w:t>
      </w:r>
      <w:r w:rsidRPr="002D38E6">
        <w:t xml:space="preserve">being combined to provide </w:t>
      </w:r>
      <w:r w:rsidR="00AD6199">
        <w:t>one</w:t>
      </w:r>
      <w:r w:rsidRPr="002D38E6">
        <w:t xml:space="preserve"> figure for ‘satisfaction’.  Similarly, ‘important’ and ‘very important’ </w:t>
      </w:r>
      <w:r w:rsidR="00AD6199">
        <w:t xml:space="preserve">as well as ‘useful and ‘very useful’ </w:t>
      </w:r>
      <w:r w:rsidRPr="002D38E6">
        <w:t xml:space="preserve">were </w:t>
      </w:r>
      <w:r w:rsidR="00AD6199">
        <w:t>combined</w:t>
      </w:r>
      <w:r w:rsidR="00AD6199" w:rsidRPr="002D38E6">
        <w:t xml:space="preserve"> </w:t>
      </w:r>
      <w:r w:rsidRPr="002D38E6">
        <w:t>to produce</w:t>
      </w:r>
      <w:r w:rsidR="00AD6199">
        <w:t xml:space="preserve"> one</w:t>
      </w:r>
      <w:r w:rsidRPr="002D38E6">
        <w:t xml:space="preserve"> measure.  </w:t>
      </w:r>
    </w:p>
    <w:p w:rsidR="00820B66" w:rsidRPr="002D38E6" w:rsidRDefault="00820B66" w:rsidP="00D0674B">
      <w:r w:rsidRPr="002D38E6">
        <w:t xml:space="preserve">The </w:t>
      </w:r>
      <w:r w:rsidR="00AD6199">
        <w:t>s</w:t>
      </w:r>
      <w:r w:rsidRPr="002D38E6">
        <w:t xml:space="preserve">chools </w:t>
      </w:r>
      <w:r w:rsidR="00AD6199">
        <w:t xml:space="preserve">survey </w:t>
      </w:r>
      <w:r w:rsidRPr="002D38E6">
        <w:t>had a five point ‘satisfaction’ scale which included the option ‘neither satisfied</w:t>
      </w:r>
      <w:r w:rsidR="00AD6199">
        <w:t>,</w:t>
      </w:r>
      <w:r w:rsidRPr="002D38E6">
        <w:t xml:space="preserve"> nor dissatisfied’.  For reasons such as this direct comparison between </w:t>
      </w:r>
      <w:r w:rsidR="00086B4D">
        <w:t>schools</w:t>
      </w:r>
      <w:r w:rsidRPr="002D38E6">
        <w:t xml:space="preserve"> with other sector data presented in this report cannot be made. </w:t>
      </w:r>
    </w:p>
    <w:p w:rsidR="00820B66" w:rsidRPr="002D38E6" w:rsidRDefault="00820B66" w:rsidP="00D0674B">
      <w:r w:rsidRPr="002D38E6">
        <w:lastRenderedPageBreak/>
        <w:t>International students were invited to participate in the survey via e-mail. They were able to complete the online survey questionnaire by following a hyperlink included in the invitation letter.</w:t>
      </w:r>
      <w:r w:rsidR="00AD6199">
        <w:t xml:space="preserve"> </w:t>
      </w:r>
      <w:r w:rsidR="00AD6199" w:rsidRPr="002D38E6">
        <w:t>Students were offered incentives to respond, with a cash prize draw, as well as a range of options for charitable donations.</w:t>
      </w:r>
    </w:p>
    <w:p w:rsidR="00820B66" w:rsidRPr="002D38E6" w:rsidRDefault="00820B66" w:rsidP="00D0674B">
      <w:r w:rsidRPr="002D38E6">
        <w:t>Responses were collected</w:t>
      </w:r>
      <w:r w:rsidR="00AD6199">
        <w:t xml:space="preserve"> and</w:t>
      </w:r>
      <w:r w:rsidRPr="002D38E6">
        <w:t xml:space="preserve"> collated by </w:t>
      </w:r>
      <w:proofErr w:type="spellStart"/>
      <w:r w:rsidRPr="002D38E6">
        <w:t>i</w:t>
      </w:r>
      <w:proofErr w:type="spellEnd"/>
      <w:r w:rsidRPr="002D38E6">
        <w:t>-graduate</w:t>
      </w:r>
      <w:r w:rsidR="00AD6199">
        <w:t xml:space="preserve"> and subsequently analysed for consistency and validity by </w:t>
      </w:r>
      <w:r w:rsidR="001E0349">
        <w:t xml:space="preserve">the </w:t>
      </w:r>
      <w:r w:rsidR="00AD6199">
        <w:t>Department of Education and Training</w:t>
      </w:r>
      <w:r w:rsidRPr="002D38E6">
        <w:t xml:space="preserve">. </w:t>
      </w:r>
      <w:r w:rsidR="0098238E" w:rsidRPr="002D38E6">
        <w:t>As in previous years</w:t>
      </w:r>
      <w:r w:rsidR="003D58C0">
        <w:t>,</w:t>
      </w:r>
      <w:r w:rsidR="0098238E" w:rsidRPr="002D38E6">
        <w:t xml:space="preserve"> t</w:t>
      </w:r>
      <w:r w:rsidRPr="002D38E6">
        <w:t xml:space="preserve">he </w:t>
      </w:r>
      <w:r w:rsidR="00AD6199">
        <w:t>higher education</w:t>
      </w:r>
      <w:r w:rsidR="00AD6199" w:rsidRPr="002D38E6">
        <w:t xml:space="preserve"> </w:t>
      </w:r>
      <w:r w:rsidRPr="002D38E6">
        <w:t xml:space="preserve">and VET surveys were conducted in English while the </w:t>
      </w:r>
      <w:proofErr w:type="spellStart"/>
      <w:r w:rsidRPr="002D38E6">
        <w:t>ELICOS</w:t>
      </w:r>
      <w:proofErr w:type="spellEnd"/>
      <w:r w:rsidRPr="002D38E6">
        <w:t xml:space="preserve"> sector survey was conducted in 11 different language</w:t>
      </w:r>
      <w:r w:rsidR="00AD6199">
        <w:t>s. T</w:t>
      </w:r>
      <w:r w:rsidRPr="002D38E6">
        <w:t xml:space="preserve">he </w:t>
      </w:r>
      <w:r w:rsidR="00AD6199">
        <w:t>s</w:t>
      </w:r>
      <w:r w:rsidRPr="002D38E6">
        <w:t xml:space="preserve">chools survey was conducted in </w:t>
      </w:r>
      <w:r w:rsidR="003F3B2A" w:rsidRPr="002D38E6">
        <w:t>English and four other</w:t>
      </w:r>
      <w:r w:rsidRPr="002D38E6">
        <w:t xml:space="preserve"> languages. </w:t>
      </w:r>
    </w:p>
    <w:p w:rsidR="00820B66" w:rsidRDefault="00820B66" w:rsidP="00D0674B">
      <w:r w:rsidRPr="002D38E6">
        <w:t>The 201</w:t>
      </w:r>
      <w:r w:rsidR="003F3B2A" w:rsidRPr="002D38E6">
        <w:t>4</w:t>
      </w:r>
      <w:r w:rsidRPr="002D38E6">
        <w:t xml:space="preserve"> survey questionnaire for school students closely follow</w:t>
      </w:r>
      <w:r w:rsidR="003F3B2A" w:rsidRPr="002D38E6">
        <w:t xml:space="preserve">ed that used in the </w:t>
      </w:r>
      <w:r w:rsidR="000A61D0" w:rsidRPr="002D38E6">
        <w:t>201</w:t>
      </w:r>
      <w:r w:rsidR="000A61D0">
        <w:t>2</w:t>
      </w:r>
      <w:r w:rsidR="000A61D0" w:rsidRPr="002D38E6">
        <w:t xml:space="preserve"> </w:t>
      </w:r>
      <w:r w:rsidR="003F3B2A" w:rsidRPr="002D38E6">
        <w:t xml:space="preserve">and </w:t>
      </w:r>
      <w:r w:rsidR="000A61D0" w:rsidRPr="002D38E6">
        <w:t>201</w:t>
      </w:r>
      <w:r w:rsidR="000A61D0">
        <w:t>0</w:t>
      </w:r>
      <w:r w:rsidR="000A61D0" w:rsidRPr="002D38E6">
        <w:t xml:space="preserve"> </w:t>
      </w:r>
      <w:r w:rsidR="00AD6199">
        <w:t>surveys</w:t>
      </w:r>
      <w:r w:rsidR="00AD6199" w:rsidRPr="002D38E6">
        <w:t xml:space="preserve"> </w:t>
      </w:r>
      <w:r w:rsidRPr="002D38E6">
        <w:t>for schools and was made available both online and in hardcopy</w:t>
      </w:r>
      <w:r w:rsidR="003379F5">
        <w:t>.</w:t>
      </w:r>
    </w:p>
    <w:p w:rsidR="003379F5" w:rsidRDefault="00C75952" w:rsidP="007C367E">
      <w:pPr>
        <w:spacing w:before="1980"/>
      </w:pPr>
      <w:r>
        <w:rPr>
          <w:noProof/>
          <w:lang w:eastAsia="en-AU"/>
        </w:rPr>
        <w:drawing>
          <wp:inline distT="0" distB="0" distL="0" distR="0" wp14:anchorId="7E45C66D" wp14:editId="55DA44C6">
            <wp:extent cx="5723255" cy="4800600"/>
            <wp:effectExtent l="0" t="0" r="0" b="0"/>
            <wp:docPr id="9" name="Picture 9" descr="An international female student with a background with words related to &quot;Education&quot; written on it.  e.g. Study, Learn, School, Research, Success, Dream, Gradaute, University, Linguistics, Mathematics et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rk:Downloads:ISS:useful pics:Best pictures:l-School photo.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3255" cy="4800600"/>
                    </a:xfrm>
                    <a:prstGeom prst="rect">
                      <a:avLst/>
                    </a:prstGeom>
                    <a:noFill/>
                    <a:ln>
                      <a:noFill/>
                    </a:ln>
                  </pic:spPr>
                </pic:pic>
              </a:graphicData>
            </a:graphic>
          </wp:inline>
        </w:drawing>
      </w:r>
      <w:r w:rsidR="00EF2448" w:rsidRPr="002D38E6">
        <w:br w:type="page"/>
      </w:r>
      <w:bookmarkStart w:id="27" w:name="_Toc278311552"/>
    </w:p>
    <w:p w:rsidR="00820B66" w:rsidRPr="002D38E6" w:rsidRDefault="00820B66" w:rsidP="00A4287A">
      <w:pPr>
        <w:pStyle w:val="Heading1"/>
      </w:pPr>
      <w:bookmarkStart w:id="28" w:name="_Toc415743326"/>
      <w:bookmarkStart w:id="29" w:name="_Toc417300799"/>
      <w:r w:rsidRPr="002D38E6">
        <w:lastRenderedPageBreak/>
        <w:t>Key Findings</w:t>
      </w:r>
      <w:bookmarkEnd w:id="27"/>
      <w:bookmarkEnd w:id="28"/>
      <w:bookmarkEnd w:id="29"/>
    </w:p>
    <w:p w:rsidR="00A4287A" w:rsidRPr="002D38E6" w:rsidRDefault="00820B66" w:rsidP="0043692A">
      <w:pPr>
        <w:pStyle w:val="Heading2"/>
      </w:pPr>
      <w:bookmarkStart w:id="30" w:name="_Toc278311553"/>
      <w:bookmarkStart w:id="31" w:name="_Toc415743327"/>
      <w:bookmarkStart w:id="32" w:name="_Toc417300800"/>
      <w:r w:rsidRPr="002D38E6">
        <w:t>Overall satisfaction</w:t>
      </w:r>
      <w:bookmarkEnd w:id="30"/>
      <w:bookmarkEnd w:id="31"/>
      <w:bookmarkEnd w:id="32"/>
    </w:p>
    <w:p w:rsidR="00B7656C" w:rsidRPr="002D38E6" w:rsidRDefault="008C2B05" w:rsidP="000E5583">
      <w:pPr>
        <w:pStyle w:val="box"/>
      </w:pPr>
      <w:r>
        <w:t xml:space="preserve">In 2014, </w:t>
      </w:r>
      <w:r w:rsidR="00A002E0">
        <w:t>the</w:t>
      </w:r>
      <w:r w:rsidR="00F06899">
        <w:t xml:space="preserve"> </w:t>
      </w:r>
      <w:r>
        <w:t xml:space="preserve">large majority of </w:t>
      </w:r>
      <w:r w:rsidRPr="000E5583">
        <w:t>i</w:t>
      </w:r>
      <w:r w:rsidR="00FF2B14" w:rsidRPr="000E5583">
        <w:t>nternational</w:t>
      </w:r>
      <w:r w:rsidR="00FF2B14" w:rsidRPr="002D38E6">
        <w:t xml:space="preserve"> </w:t>
      </w:r>
      <w:r>
        <w:t>s</w:t>
      </w:r>
      <w:r w:rsidR="00FF2B14" w:rsidRPr="002D38E6">
        <w:t xml:space="preserve">tudents </w:t>
      </w:r>
      <w:r>
        <w:t>indicated that they were satisfied with their</w:t>
      </w:r>
      <w:r w:rsidR="00FF2B14" w:rsidRPr="002D38E6">
        <w:t xml:space="preserve"> </w:t>
      </w:r>
      <w:r w:rsidR="00E330F2">
        <w:t>learning</w:t>
      </w:r>
      <w:r w:rsidR="00FF2B14" w:rsidRPr="002D38E6">
        <w:t xml:space="preserve"> and living experience in Australia. </w:t>
      </w:r>
    </w:p>
    <w:p w:rsidR="00A775EE" w:rsidRPr="002D38E6" w:rsidRDefault="00A775EE" w:rsidP="000E5583">
      <w:pPr>
        <w:pStyle w:val="box"/>
      </w:pPr>
      <w:r w:rsidRPr="002D38E6">
        <w:t xml:space="preserve">In the 2014 </w:t>
      </w:r>
      <w:r w:rsidR="00973B36">
        <w:t>International Student S</w:t>
      </w:r>
      <w:r w:rsidRPr="002D38E6">
        <w:t>urvey</w:t>
      </w:r>
      <w:r w:rsidR="00973B36">
        <w:t xml:space="preserve"> (</w:t>
      </w:r>
      <w:proofErr w:type="spellStart"/>
      <w:r w:rsidR="00973B36">
        <w:t>ISS</w:t>
      </w:r>
      <w:proofErr w:type="spellEnd"/>
      <w:r w:rsidR="00973B36">
        <w:t>)</w:t>
      </w:r>
      <w:r w:rsidRPr="002D38E6">
        <w:t>, 8</w:t>
      </w:r>
      <w:r w:rsidR="007C3A96">
        <w:t>8</w:t>
      </w:r>
      <w:r w:rsidRPr="002D38E6">
        <w:t xml:space="preserve">% of </w:t>
      </w:r>
      <w:r w:rsidR="00822109">
        <w:t xml:space="preserve">tertiary </w:t>
      </w:r>
      <w:r w:rsidRPr="002D38E6">
        <w:t xml:space="preserve">respondents were satisfied with their overall experience of international education in Australia, </w:t>
      </w:r>
      <w:r w:rsidR="000A61D0">
        <w:t>89</w:t>
      </w:r>
      <w:r w:rsidRPr="002D38E6">
        <w:t xml:space="preserve">% </w:t>
      </w:r>
      <w:r w:rsidR="008C2B05">
        <w:t xml:space="preserve">were </w:t>
      </w:r>
      <w:r w:rsidRPr="002D38E6">
        <w:t xml:space="preserve">satisfied with their </w:t>
      </w:r>
      <w:r w:rsidR="00F077BD" w:rsidRPr="002D38E6">
        <w:t>living</w:t>
      </w:r>
      <w:r w:rsidRPr="002D38E6">
        <w:t xml:space="preserve"> </w:t>
      </w:r>
      <w:r w:rsidR="00F077BD" w:rsidRPr="002D38E6">
        <w:t xml:space="preserve">experience </w:t>
      </w:r>
      <w:r w:rsidRPr="002D38E6">
        <w:t>and 8</w:t>
      </w:r>
      <w:r w:rsidR="00F077BD" w:rsidRPr="002D38E6">
        <w:t>7</w:t>
      </w:r>
      <w:r w:rsidRPr="002D38E6">
        <w:t xml:space="preserve">% satisfied with their </w:t>
      </w:r>
      <w:r w:rsidR="00F077BD" w:rsidRPr="002D38E6">
        <w:t>learning</w:t>
      </w:r>
      <w:r w:rsidRPr="002D38E6">
        <w:t xml:space="preserve"> experience. </w:t>
      </w:r>
      <w:r w:rsidR="00B7656C" w:rsidRPr="002D38E6">
        <w:t xml:space="preserve">These very positive figures </w:t>
      </w:r>
      <w:r w:rsidRPr="002D38E6">
        <w:t xml:space="preserve">are similar to </w:t>
      </w:r>
      <w:r w:rsidR="008C2B05">
        <w:t xml:space="preserve">previous </w:t>
      </w:r>
      <w:proofErr w:type="gramStart"/>
      <w:r w:rsidR="00B7656C" w:rsidRPr="002D38E6">
        <w:t>years</w:t>
      </w:r>
      <w:proofErr w:type="gramEnd"/>
      <w:r w:rsidR="00B7656C" w:rsidRPr="002D38E6">
        <w:t xml:space="preserve"> findings, suggesting </w:t>
      </w:r>
      <w:r w:rsidR="008C2B05">
        <w:t xml:space="preserve">that </w:t>
      </w:r>
      <w:r w:rsidR="00B7656C" w:rsidRPr="002D38E6">
        <w:t xml:space="preserve">Australia has </w:t>
      </w:r>
      <w:r w:rsidR="008C2B05">
        <w:t xml:space="preserve">maintained a sound global reputation as a quality destination for international </w:t>
      </w:r>
      <w:r w:rsidR="00822109">
        <w:t xml:space="preserve">tertiary </w:t>
      </w:r>
      <w:r w:rsidR="008C2B05">
        <w:t>students. Nonetheless, the survey indicates areas where further improvements can be made, as noted in the relevant sections of this overview report</w:t>
      </w:r>
      <w:r w:rsidR="00E330F2">
        <w:t xml:space="preserve">. </w:t>
      </w:r>
    </w:p>
    <w:p w:rsidR="00CF4861" w:rsidRDefault="00F077BD" w:rsidP="000E5583">
      <w:pPr>
        <w:pStyle w:val="box"/>
      </w:pPr>
      <w:r w:rsidRPr="002D38E6">
        <w:t xml:space="preserve">Satisfaction levels for respondents </w:t>
      </w:r>
      <w:r w:rsidR="00A002E0">
        <w:t xml:space="preserve">in Australia </w:t>
      </w:r>
      <w:r w:rsidRPr="002D38E6">
        <w:t xml:space="preserve">were very similar to </w:t>
      </w:r>
      <w:r w:rsidR="008C2B05">
        <w:t xml:space="preserve">other </w:t>
      </w:r>
      <w:r w:rsidR="00820B66" w:rsidRPr="002D38E6">
        <w:t xml:space="preserve">international tertiary students around the world who </w:t>
      </w:r>
      <w:r w:rsidR="008C2B05">
        <w:t>responded to</w:t>
      </w:r>
      <w:r w:rsidR="00820B66" w:rsidRPr="002D38E6">
        <w:t xml:space="preserve"> the 201</w:t>
      </w:r>
      <w:r w:rsidR="00A775EE" w:rsidRPr="002D38E6">
        <w:t>4</w:t>
      </w:r>
      <w:r w:rsidR="00820B66" w:rsidRPr="002D38E6">
        <w:t xml:space="preserve"> </w:t>
      </w:r>
      <w:r w:rsidR="00DC2F30">
        <w:t>International Student Barometer (</w:t>
      </w:r>
      <w:proofErr w:type="spellStart"/>
      <w:r w:rsidR="00820B66" w:rsidRPr="002D38E6">
        <w:t>ISB</w:t>
      </w:r>
      <w:proofErr w:type="spellEnd"/>
      <w:r w:rsidR="00DC2F30">
        <w:t>)</w:t>
      </w:r>
      <w:r w:rsidR="008C2B05">
        <w:t xml:space="preserve"> survey in other countries</w:t>
      </w:r>
      <w:r w:rsidRPr="002D38E6">
        <w:t xml:space="preserve">. </w:t>
      </w:r>
      <w:bookmarkStart w:id="33" w:name="_Toc278311554"/>
      <w:r w:rsidR="00B7656C" w:rsidRPr="002D38E6">
        <w:t xml:space="preserve">Australia was above the international benchmark in living experience suggesting </w:t>
      </w:r>
      <w:r w:rsidR="008C2B05" w:rsidRPr="002D38E6">
        <w:t>t</w:t>
      </w:r>
      <w:r w:rsidR="008C2B05">
        <w:t xml:space="preserve">hat the ongoing effort </w:t>
      </w:r>
      <w:r w:rsidR="00B7656C" w:rsidRPr="002D38E6">
        <w:t xml:space="preserve">put into </w:t>
      </w:r>
      <w:r w:rsidR="008C2B05">
        <w:t>improving international students’ experience</w:t>
      </w:r>
      <w:r w:rsidR="00A002E0">
        <w:t>s</w:t>
      </w:r>
      <w:r w:rsidR="002C2AE5">
        <w:t xml:space="preserve"> in Australia</w:t>
      </w:r>
      <w:r w:rsidR="008C2B05">
        <w:t xml:space="preserve"> is having a positive impact</w:t>
      </w:r>
      <w:r w:rsidR="00B7656C" w:rsidRPr="002D38E6">
        <w:t xml:space="preserve">. </w:t>
      </w:r>
    </w:p>
    <w:p w:rsidR="00C17AE2" w:rsidRPr="002D38E6" w:rsidRDefault="002C2AE5" w:rsidP="000E5583">
      <w:pPr>
        <w:pStyle w:val="box"/>
      </w:pPr>
      <w:r>
        <w:t>The f</w:t>
      </w:r>
      <w:r w:rsidR="0085638A">
        <w:t xml:space="preserve">indings </w:t>
      </w:r>
      <w:r w:rsidR="00CF4861">
        <w:t xml:space="preserve">of this survey </w:t>
      </w:r>
      <w:r>
        <w:t xml:space="preserve">also </w:t>
      </w:r>
      <w:r w:rsidR="00E330F2">
        <w:t>indicate</w:t>
      </w:r>
      <w:r w:rsidR="00CF4861">
        <w:t xml:space="preserve"> that </w:t>
      </w:r>
      <w:r>
        <w:t xml:space="preserve">Australian marketing </w:t>
      </w:r>
      <w:r w:rsidR="00CF4861">
        <w:t xml:space="preserve">strategies to attract </w:t>
      </w:r>
      <w:r>
        <w:t>i</w:t>
      </w:r>
      <w:r w:rsidR="00CF4861">
        <w:t>nternational students are working</w:t>
      </w:r>
      <w:r w:rsidR="00E330F2">
        <w:t xml:space="preserve">. </w:t>
      </w:r>
      <w:r>
        <w:t>Nonetheless</w:t>
      </w:r>
      <w:r w:rsidR="00CF4861">
        <w:t xml:space="preserve">, </w:t>
      </w:r>
      <w:r>
        <w:t xml:space="preserve">international education is a </w:t>
      </w:r>
      <w:r w:rsidR="00587A18">
        <w:t>globally competitive</w:t>
      </w:r>
      <w:r>
        <w:t xml:space="preserve"> area</w:t>
      </w:r>
      <w:r w:rsidR="00CF4861">
        <w:t xml:space="preserve"> and lessons learned from </w:t>
      </w:r>
      <w:r>
        <w:t xml:space="preserve">this </w:t>
      </w:r>
      <w:r w:rsidR="00CF4861">
        <w:t xml:space="preserve">survey </w:t>
      </w:r>
      <w:r>
        <w:t>will help</w:t>
      </w:r>
      <w:r w:rsidR="00CF4861">
        <w:t xml:space="preserve"> Australia</w:t>
      </w:r>
      <w:r>
        <w:t xml:space="preserve"> to position itself even better in the </w:t>
      </w:r>
      <w:r w:rsidR="00E330F2">
        <w:t xml:space="preserve">coming years. </w:t>
      </w:r>
    </w:p>
    <w:p w:rsidR="00820B66" w:rsidRPr="002D38E6" w:rsidRDefault="00820B66" w:rsidP="0040764B">
      <w:pPr>
        <w:pStyle w:val="Heading3"/>
      </w:pPr>
      <w:bookmarkStart w:id="34" w:name="_Toc415743328"/>
      <w:bookmarkStart w:id="35" w:name="_Toc417300801"/>
      <w:r w:rsidRPr="002D38E6">
        <w:t xml:space="preserve">Higher </w:t>
      </w:r>
      <w:r w:rsidR="00D65DFF">
        <w:t>e</w:t>
      </w:r>
      <w:r w:rsidRPr="002D38E6">
        <w:t>ducation</w:t>
      </w:r>
      <w:bookmarkEnd w:id="33"/>
      <w:bookmarkEnd w:id="34"/>
      <w:bookmarkEnd w:id="35"/>
    </w:p>
    <w:p w:rsidR="004F4565" w:rsidRPr="00C655C7" w:rsidRDefault="00EF2448" w:rsidP="0040764B">
      <w:r w:rsidRPr="002D38E6">
        <w:t xml:space="preserve">The </w:t>
      </w:r>
      <w:r w:rsidR="002C2AE5">
        <w:t>h</w:t>
      </w:r>
      <w:r w:rsidRPr="002D38E6">
        <w:t xml:space="preserve">igher </w:t>
      </w:r>
      <w:r w:rsidR="002C2AE5">
        <w:t>e</w:t>
      </w:r>
      <w:r w:rsidRPr="002D38E6">
        <w:t>ducation sector respondents were comprised of students from both public and priv</w:t>
      </w:r>
      <w:r w:rsidR="0060772A" w:rsidRPr="002D38E6">
        <w:t xml:space="preserve">ate </w:t>
      </w:r>
      <w:r w:rsidR="002C2AE5">
        <w:t>h</w:t>
      </w:r>
      <w:r w:rsidR="0060772A" w:rsidRPr="002D38E6">
        <w:t xml:space="preserve">igher </w:t>
      </w:r>
      <w:r w:rsidR="002C2AE5">
        <w:t>e</w:t>
      </w:r>
      <w:r w:rsidR="0060772A" w:rsidRPr="002D38E6">
        <w:t xml:space="preserve">ducation providers. </w:t>
      </w:r>
      <w:r w:rsidR="00D22DB8" w:rsidRPr="00C655C7">
        <w:t xml:space="preserve">China (25%) and India (7%) were the top two nationalities of respondents in higher education. </w:t>
      </w:r>
      <w:r w:rsidR="00217843" w:rsidRPr="00C655C7">
        <w:t>Results of the</w:t>
      </w:r>
      <w:r w:rsidR="00E12155" w:rsidRPr="00C655C7">
        <w:t xml:space="preserve"> 2014 survey </w:t>
      </w:r>
      <w:r w:rsidR="00217843" w:rsidRPr="00C655C7">
        <w:t>indicate that</w:t>
      </w:r>
      <w:r w:rsidR="00E12155" w:rsidRPr="00C655C7">
        <w:t xml:space="preserve"> </w:t>
      </w:r>
      <w:r w:rsidR="00A002E0">
        <w:t>students’</w:t>
      </w:r>
      <w:r w:rsidR="00217843" w:rsidRPr="00C655C7">
        <w:t xml:space="preserve"> satisfaction with their </w:t>
      </w:r>
      <w:r w:rsidR="00E12155" w:rsidRPr="00C655C7">
        <w:t>experience</w:t>
      </w:r>
      <w:r w:rsidR="00A002E0">
        <w:t>s</w:t>
      </w:r>
      <w:r w:rsidR="00217843" w:rsidRPr="00C655C7">
        <w:t xml:space="preserve"> in Australia is increasing</w:t>
      </w:r>
      <w:r w:rsidR="00E12155" w:rsidRPr="00C655C7">
        <w:t xml:space="preserve">, with </w:t>
      </w:r>
      <w:r w:rsidR="008775BB" w:rsidRPr="00C655C7">
        <w:t>89</w:t>
      </w:r>
      <w:r w:rsidR="00E12155" w:rsidRPr="00C655C7">
        <w:t xml:space="preserve">% </w:t>
      </w:r>
      <w:r w:rsidR="00820B66" w:rsidRPr="00C655C7">
        <w:t xml:space="preserve">of international students </w:t>
      </w:r>
      <w:r w:rsidR="004F4565" w:rsidRPr="00C655C7">
        <w:t>in this sector</w:t>
      </w:r>
      <w:r w:rsidR="00820B66" w:rsidRPr="00C655C7">
        <w:t xml:space="preserve"> </w:t>
      </w:r>
      <w:r w:rsidR="00E12155" w:rsidRPr="00C655C7">
        <w:t xml:space="preserve">stating they </w:t>
      </w:r>
      <w:r w:rsidR="00820B66" w:rsidRPr="00C655C7">
        <w:t xml:space="preserve">were satisfied with their living experience (compared to </w:t>
      </w:r>
      <w:r w:rsidR="001851D7" w:rsidRPr="00C655C7">
        <w:t xml:space="preserve">the </w:t>
      </w:r>
      <w:r w:rsidR="00137A56" w:rsidRPr="00C655C7">
        <w:t xml:space="preserve">88% in </w:t>
      </w:r>
      <w:r w:rsidR="001851D7" w:rsidRPr="00C655C7">
        <w:t xml:space="preserve">2012 and </w:t>
      </w:r>
      <w:r w:rsidR="00820B66" w:rsidRPr="00C655C7">
        <w:t>86% in 2010) and 8</w:t>
      </w:r>
      <w:r w:rsidR="007C7EF4" w:rsidRPr="00C655C7">
        <w:t>6</w:t>
      </w:r>
      <w:r w:rsidR="00820B66" w:rsidRPr="00C655C7">
        <w:t>% with their learning experience (</w:t>
      </w:r>
      <w:r w:rsidR="001851D7" w:rsidRPr="00C655C7">
        <w:t xml:space="preserve">85 % in 2012 and </w:t>
      </w:r>
      <w:r w:rsidRPr="00C655C7">
        <w:t>84% in 2010).</w:t>
      </w:r>
      <w:r w:rsidR="004F4565" w:rsidRPr="00C655C7">
        <w:t xml:space="preserve"> These results suggest </w:t>
      </w:r>
      <w:r w:rsidR="005E0DB5" w:rsidRPr="00C655C7">
        <w:t>Australia continues to be a positive destination for international students.</w:t>
      </w:r>
    </w:p>
    <w:p w:rsidR="00137A56" w:rsidRPr="00C655C7" w:rsidRDefault="00137A56" w:rsidP="0040764B">
      <w:r w:rsidRPr="00C655C7">
        <w:t xml:space="preserve">When compared to </w:t>
      </w:r>
      <w:r w:rsidR="00217843" w:rsidRPr="00C655C7">
        <w:t>i</w:t>
      </w:r>
      <w:r w:rsidRPr="00C655C7">
        <w:t>nternational benchmark</w:t>
      </w:r>
      <w:r w:rsidR="00217843" w:rsidRPr="00C655C7">
        <w:t>s,</w:t>
      </w:r>
      <w:r w:rsidRPr="00C655C7">
        <w:t xml:space="preserve"> </w:t>
      </w:r>
      <w:r w:rsidR="00217843" w:rsidRPr="00C655C7">
        <w:t xml:space="preserve">international </w:t>
      </w:r>
      <w:r w:rsidRPr="00C655C7">
        <w:t xml:space="preserve">students </w:t>
      </w:r>
      <w:r w:rsidR="00217843" w:rsidRPr="00C655C7">
        <w:t xml:space="preserve">in Australia </w:t>
      </w:r>
      <w:r w:rsidR="001518D6" w:rsidRPr="00C655C7">
        <w:t xml:space="preserve">were </w:t>
      </w:r>
      <w:r w:rsidRPr="00C655C7">
        <w:t xml:space="preserve">more satisfied with </w:t>
      </w:r>
      <w:r w:rsidR="004F4565" w:rsidRPr="00C655C7">
        <w:t xml:space="preserve">their </w:t>
      </w:r>
      <w:r w:rsidRPr="00C655C7">
        <w:t>living experience (</w:t>
      </w:r>
      <w:proofErr w:type="spellStart"/>
      <w:r w:rsidRPr="00C655C7">
        <w:t>ISB</w:t>
      </w:r>
      <w:proofErr w:type="spellEnd"/>
      <w:r w:rsidRPr="00C655C7">
        <w:t xml:space="preserve"> 88%)</w:t>
      </w:r>
      <w:r w:rsidR="001B02AA" w:rsidRPr="00C655C7">
        <w:t xml:space="preserve"> and nearly </w:t>
      </w:r>
      <w:r w:rsidR="00217843" w:rsidRPr="00C655C7">
        <w:t>as satisfied with their learning experience (</w:t>
      </w:r>
      <w:proofErr w:type="spellStart"/>
      <w:r w:rsidR="00217843" w:rsidRPr="00C655C7">
        <w:t>ISB</w:t>
      </w:r>
      <w:proofErr w:type="spellEnd"/>
      <w:r w:rsidR="00217843" w:rsidRPr="00C655C7">
        <w:t xml:space="preserve"> 87%)</w:t>
      </w:r>
      <w:r w:rsidRPr="00C655C7">
        <w:t xml:space="preserve">. </w:t>
      </w:r>
    </w:p>
    <w:p w:rsidR="00820B66" w:rsidRPr="00C655C7" w:rsidRDefault="00820B66" w:rsidP="0040764B">
      <w:pPr>
        <w:pStyle w:val="Heading3"/>
      </w:pPr>
      <w:bookmarkStart w:id="36" w:name="_Toc278311555"/>
      <w:bookmarkStart w:id="37" w:name="_Toc415743329"/>
      <w:bookmarkStart w:id="38" w:name="_Toc417300802"/>
      <w:r w:rsidRPr="00C655C7">
        <w:t xml:space="preserve">Vocational </w:t>
      </w:r>
      <w:r w:rsidR="00D65DFF" w:rsidRPr="00C655C7">
        <w:t>e</w:t>
      </w:r>
      <w:r w:rsidRPr="00C655C7">
        <w:t xml:space="preserve">ducation and </w:t>
      </w:r>
      <w:r w:rsidR="00D65DFF" w:rsidRPr="00C655C7">
        <w:t>t</w:t>
      </w:r>
      <w:r w:rsidRPr="00C655C7">
        <w:t>raining</w:t>
      </w:r>
      <w:bookmarkEnd w:id="36"/>
      <w:r w:rsidR="00DC2F30" w:rsidRPr="00C655C7">
        <w:t xml:space="preserve"> (VET)</w:t>
      </w:r>
      <w:bookmarkEnd w:id="37"/>
      <w:bookmarkEnd w:id="38"/>
    </w:p>
    <w:p w:rsidR="00A2515D" w:rsidRPr="00C655C7" w:rsidRDefault="00442100" w:rsidP="0040764B">
      <w:r w:rsidRPr="00C655C7">
        <w:t xml:space="preserve">As with the </w:t>
      </w:r>
      <w:r w:rsidR="00D65DFF" w:rsidRPr="00C655C7">
        <w:t xml:space="preserve">higher education </w:t>
      </w:r>
      <w:r w:rsidRPr="00C655C7">
        <w:t>sector the</w:t>
      </w:r>
      <w:r w:rsidR="00C23969" w:rsidRPr="00C655C7">
        <w:t>re were also</w:t>
      </w:r>
      <w:r w:rsidRPr="00C655C7">
        <w:t xml:space="preserve"> positive </w:t>
      </w:r>
      <w:r w:rsidR="00C23969" w:rsidRPr="00C655C7">
        <w:t>findings</w:t>
      </w:r>
      <w:r w:rsidRPr="00C655C7">
        <w:t xml:space="preserve"> in the </w:t>
      </w:r>
      <w:r w:rsidR="00D65DFF" w:rsidRPr="00C655C7">
        <w:t xml:space="preserve">VET </w:t>
      </w:r>
      <w:r w:rsidRPr="00C655C7">
        <w:t>sector</w:t>
      </w:r>
      <w:r w:rsidR="00587A18" w:rsidRPr="00C655C7">
        <w:t xml:space="preserve">. </w:t>
      </w:r>
      <w:r w:rsidR="00A2515D" w:rsidRPr="00C655C7">
        <w:t>Responses again came from students enrolled at both public and private providers</w:t>
      </w:r>
      <w:r w:rsidR="00D22DB8" w:rsidRPr="00C655C7">
        <w:t>. China (33%) and Nepal (7%) were the top two nationalities of respondents in VET.</w:t>
      </w:r>
      <w:r w:rsidR="00A2515D" w:rsidRPr="00C655C7">
        <w:t xml:space="preserve"> </w:t>
      </w:r>
    </w:p>
    <w:p w:rsidR="00442100" w:rsidRPr="00BA022E" w:rsidRDefault="00C23969" w:rsidP="0040764B">
      <w:r w:rsidRPr="00C655C7">
        <w:t xml:space="preserve">High </w:t>
      </w:r>
      <w:r w:rsidR="00442100" w:rsidRPr="00C655C7">
        <w:t xml:space="preserve">satisfaction </w:t>
      </w:r>
      <w:r w:rsidR="00A2515D" w:rsidRPr="00C655C7">
        <w:t xml:space="preserve">results </w:t>
      </w:r>
      <w:r w:rsidRPr="00C655C7">
        <w:t xml:space="preserve">suggest that </w:t>
      </w:r>
      <w:r w:rsidR="00442100" w:rsidRPr="00C655C7">
        <w:t xml:space="preserve">the sector continues to listen and be responsive to student needs. </w:t>
      </w:r>
      <w:r w:rsidR="00820B66" w:rsidRPr="00C655C7">
        <w:t>The satisfaction levels reported by 201</w:t>
      </w:r>
      <w:r w:rsidR="007321CE" w:rsidRPr="00C655C7">
        <w:t>4</w:t>
      </w:r>
      <w:r w:rsidR="00820B66" w:rsidRPr="00C655C7">
        <w:t xml:space="preserve"> </w:t>
      </w:r>
      <w:proofErr w:type="spellStart"/>
      <w:r w:rsidR="00820B66" w:rsidRPr="00C655C7">
        <w:t>ISS</w:t>
      </w:r>
      <w:proofErr w:type="spellEnd"/>
      <w:r w:rsidR="00820B66" w:rsidRPr="00C655C7">
        <w:t xml:space="preserve"> respondents in </w:t>
      </w:r>
      <w:r w:rsidR="006A7E68" w:rsidRPr="00C655C7">
        <w:t>this</w:t>
      </w:r>
      <w:r w:rsidR="00820B66" w:rsidRPr="00C655C7">
        <w:t xml:space="preserve"> sector </w:t>
      </w:r>
      <w:r w:rsidR="00EF2448" w:rsidRPr="00C655C7">
        <w:t>indicated a high level of satisfaction with living and learning in Australia. Ninety per cent were satisfied</w:t>
      </w:r>
      <w:r w:rsidR="00EF2448" w:rsidRPr="002D38E6">
        <w:t xml:space="preserve"> or very satisfied </w:t>
      </w:r>
      <w:r w:rsidR="00EF2448" w:rsidRPr="002D38E6">
        <w:lastRenderedPageBreak/>
        <w:t xml:space="preserve">with their </w:t>
      </w:r>
      <w:r w:rsidR="00820B66" w:rsidRPr="002D38E6">
        <w:t>living experience</w:t>
      </w:r>
      <w:r w:rsidR="00195711" w:rsidRPr="002D38E6">
        <w:t xml:space="preserve"> </w:t>
      </w:r>
      <w:r w:rsidR="00D353C8" w:rsidRPr="002D38E6">
        <w:t>(</w:t>
      </w:r>
      <w:r w:rsidR="00195711" w:rsidRPr="002D38E6">
        <w:t>89% in 2012 survey)</w:t>
      </w:r>
      <w:r w:rsidR="00D353C8" w:rsidRPr="002D38E6">
        <w:t xml:space="preserve"> </w:t>
      </w:r>
      <w:r w:rsidR="00820B66" w:rsidRPr="002D38E6">
        <w:t xml:space="preserve">and </w:t>
      </w:r>
      <w:r w:rsidR="00EF2448" w:rsidRPr="002D38E6">
        <w:t xml:space="preserve">86% were satisfied with their </w:t>
      </w:r>
      <w:r w:rsidR="00820B66" w:rsidRPr="002D38E6">
        <w:t xml:space="preserve">learning experience </w:t>
      </w:r>
      <w:r w:rsidR="00537B8E" w:rsidRPr="002D38E6">
        <w:t>compared to 87% in 2012 survey</w:t>
      </w:r>
      <w:r w:rsidR="00537B8E" w:rsidRPr="00AA60B2">
        <w:t>.</w:t>
      </w:r>
    </w:p>
    <w:p w:rsidR="008775BB" w:rsidRPr="002D38E6" w:rsidRDefault="008775BB" w:rsidP="0040764B">
      <w:r>
        <w:t xml:space="preserve">The </w:t>
      </w:r>
      <w:r w:rsidR="00E277DD">
        <w:t xml:space="preserve">global </w:t>
      </w:r>
      <w:proofErr w:type="spellStart"/>
      <w:r w:rsidR="00E277DD">
        <w:t>ISB</w:t>
      </w:r>
      <w:proofErr w:type="spellEnd"/>
      <w:r w:rsidR="00E277DD">
        <w:t xml:space="preserve"> benchmark figures for VET in 2014 were similar as follows: overall experience satisfaction of 89%, living </w:t>
      </w:r>
      <w:r w:rsidR="00822109">
        <w:t>8</w:t>
      </w:r>
      <w:r w:rsidR="00E277DD">
        <w:t xml:space="preserve">9% and learning 88%. </w:t>
      </w:r>
    </w:p>
    <w:p w:rsidR="00820B66" w:rsidRPr="002D38E6" w:rsidRDefault="00820B66" w:rsidP="0040764B">
      <w:pPr>
        <w:pStyle w:val="Heading3"/>
      </w:pPr>
      <w:bookmarkStart w:id="39" w:name="_Toc278311556"/>
      <w:bookmarkStart w:id="40" w:name="_Toc415743330"/>
      <w:bookmarkStart w:id="41" w:name="_Toc417300803"/>
      <w:r w:rsidRPr="002D38E6">
        <w:t xml:space="preserve">English Language Intensive Courses for Overseas Students </w:t>
      </w:r>
      <w:bookmarkEnd w:id="39"/>
      <w:r w:rsidR="00DC2F30">
        <w:t>(</w:t>
      </w:r>
      <w:proofErr w:type="spellStart"/>
      <w:r w:rsidR="00DC2F30">
        <w:t>ELICOS</w:t>
      </w:r>
      <w:proofErr w:type="spellEnd"/>
      <w:r w:rsidR="00DC2F30">
        <w:t>)</w:t>
      </w:r>
      <w:bookmarkEnd w:id="40"/>
      <w:bookmarkEnd w:id="41"/>
    </w:p>
    <w:p w:rsidR="000E5583" w:rsidRPr="002D38E6" w:rsidRDefault="000E5583" w:rsidP="000E5583">
      <w:pPr>
        <w:spacing w:after="0"/>
        <w:rPr>
          <w:b/>
          <w:bCs/>
        </w:rPr>
      </w:pPr>
      <w:r w:rsidRPr="00081F0B">
        <w:t xml:space="preserve">The top two nationalities of respondents in </w:t>
      </w:r>
      <w:proofErr w:type="spellStart"/>
      <w:r w:rsidRPr="00081F0B">
        <w:t>ELICOS</w:t>
      </w:r>
      <w:proofErr w:type="spellEnd"/>
      <w:r w:rsidRPr="00081F0B">
        <w:t xml:space="preserve"> sector were China (33%) and Brazil (14%).</w:t>
      </w:r>
      <w:r>
        <w:t xml:space="preserve"> </w:t>
      </w:r>
      <w:r w:rsidRPr="00D65DFF">
        <w:t>A</w:t>
      </w:r>
      <w:r>
        <w:t xml:space="preserve"> substantial </w:t>
      </w:r>
      <w:r w:rsidRPr="00D65DFF">
        <w:t xml:space="preserve">90% of </w:t>
      </w:r>
      <w:proofErr w:type="spellStart"/>
      <w:r>
        <w:t>ELICOS</w:t>
      </w:r>
      <w:proofErr w:type="spellEnd"/>
      <w:r w:rsidRPr="001B680A">
        <w:t xml:space="preserve"> </w:t>
      </w:r>
      <w:r w:rsidRPr="002D38E6">
        <w:t xml:space="preserve">respondents to the 2014 </w:t>
      </w:r>
      <w:proofErr w:type="spellStart"/>
      <w:r w:rsidRPr="002D38E6">
        <w:t>ISS</w:t>
      </w:r>
      <w:proofErr w:type="spellEnd"/>
      <w:r w:rsidRPr="002D38E6">
        <w:t xml:space="preserve"> indicated that they were satisfied with their living experience and up </w:t>
      </w:r>
      <w:r>
        <w:t xml:space="preserve">when </w:t>
      </w:r>
      <w:r w:rsidRPr="002D38E6">
        <w:t xml:space="preserve">compared to the 89% in 2012 </w:t>
      </w:r>
      <w:r>
        <w:t xml:space="preserve">and 86% </w:t>
      </w:r>
      <w:r w:rsidRPr="002D38E6">
        <w:t xml:space="preserve">from 2010, while 89% reported that they were satisfied with their learning experience.  These positive outcomes are welcome as this cohort </w:t>
      </w:r>
      <w:r>
        <w:t xml:space="preserve">often </w:t>
      </w:r>
      <w:r w:rsidRPr="002D38E6">
        <w:t xml:space="preserve">goes onto further study, with the majority studying English as a means of advancing their opportunities for further education. These </w:t>
      </w:r>
      <w:r>
        <w:t>findings</w:t>
      </w:r>
      <w:r w:rsidRPr="002D38E6">
        <w:t xml:space="preserve"> suggest </w:t>
      </w:r>
      <w:r>
        <w:t>that their first contact with Australia’s education system was a very positive one</w:t>
      </w:r>
      <w:r w:rsidRPr="002D38E6">
        <w:t xml:space="preserve">. </w:t>
      </w:r>
    </w:p>
    <w:p w:rsidR="000E5583" w:rsidRDefault="000E5583" w:rsidP="000E5583">
      <w:pPr>
        <w:pStyle w:val="Heading3"/>
        <w:sectPr w:rsidR="000E5583" w:rsidSect="006E2B45">
          <w:pgSz w:w="11906" w:h="16838"/>
          <w:pgMar w:top="1440" w:right="1440" w:bottom="1985" w:left="1440" w:header="709" w:footer="1009" w:gutter="0"/>
          <w:pgNumType w:start="1"/>
          <w:cols w:space="708"/>
          <w:docGrid w:linePitch="360"/>
        </w:sectPr>
      </w:pPr>
      <w:bookmarkStart w:id="42" w:name="_Toc278311557"/>
      <w:bookmarkStart w:id="43" w:name="_Toc416251670"/>
      <w:bookmarkStart w:id="44" w:name="_Toc417300804"/>
      <w:r w:rsidRPr="002D38E6">
        <w:t xml:space="preserve">Secondary </w:t>
      </w:r>
      <w:r>
        <w:t>s</w:t>
      </w:r>
      <w:r w:rsidRPr="002D38E6">
        <w:t>chools</w:t>
      </w:r>
      <w:bookmarkEnd w:id="42"/>
      <w:bookmarkEnd w:id="43"/>
      <w:bookmarkEnd w:id="44"/>
    </w:p>
    <w:p w:rsidR="000E5583" w:rsidRPr="002D38E6" w:rsidRDefault="000E5583" w:rsidP="00186C02">
      <w:r w:rsidRPr="00081F0B">
        <w:lastRenderedPageBreak/>
        <w:t>China (56%) remained the top nationality of respondents in the schools sector. Nine per cent respondents were from Vietnam. In the schools sector, positive trends are</w:t>
      </w:r>
      <w:r w:rsidRPr="002D38E6">
        <w:t xml:space="preserve"> </w:t>
      </w:r>
      <w:r>
        <w:t xml:space="preserve">also evident </w:t>
      </w:r>
      <w:r w:rsidRPr="002D38E6">
        <w:t>with a strong increase in satisfaction this year. Eighty</w:t>
      </w:r>
      <w:r>
        <w:t>-</w:t>
      </w:r>
      <w:r w:rsidRPr="002D38E6">
        <w:t xml:space="preserve">one per cent of </w:t>
      </w:r>
      <w:r>
        <w:t>s</w:t>
      </w:r>
      <w:r w:rsidRPr="002D38E6">
        <w:t xml:space="preserve">chool respondents reported they were satisfied with their living experience in Australia. This satisfaction level has increased significantly over </w:t>
      </w:r>
      <w:r>
        <w:t xml:space="preserve">the </w:t>
      </w:r>
      <w:r w:rsidRPr="002D38E6">
        <w:t>2012 satisfaction for living experience, which</w:t>
      </w:r>
      <w:r>
        <w:t xml:space="preserve"> was reported at</w:t>
      </w:r>
      <w:r w:rsidRPr="002D38E6">
        <w:t xml:space="preserve"> 72%.</w:t>
      </w:r>
    </w:p>
    <w:p w:rsidR="000E5583" w:rsidRPr="002D38E6" w:rsidRDefault="000E5583" w:rsidP="00186C02">
      <w:r w:rsidRPr="002D38E6">
        <w:t xml:space="preserve">It is interesting to note that </w:t>
      </w:r>
      <w:r>
        <w:t>76</w:t>
      </w:r>
      <w:r w:rsidRPr="002D38E6">
        <w:t xml:space="preserve">% of </w:t>
      </w:r>
      <w:r>
        <w:t>school respondents reported an intention</w:t>
      </w:r>
      <w:r w:rsidRPr="002D38E6">
        <w:t xml:space="preserve"> to gain entry to an A</w:t>
      </w:r>
      <w:r>
        <w:t>ustralian tertiary institution.</w:t>
      </w:r>
    </w:p>
    <w:p w:rsidR="00FC3E6A" w:rsidRDefault="000E5583" w:rsidP="00186C02">
      <w:r w:rsidRPr="002D38E6">
        <w:t>Seventy</w:t>
      </w:r>
      <w:r>
        <w:t>-</w:t>
      </w:r>
      <w:r w:rsidRPr="002D38E6">
        <w:t>seven per cent rated the teaching at their school as either good or very good (up from 69% in 2012</w:t>
      </w:r>
      <w:r>
        <w:t>)</w:t>
      </w:r>
      <w:r w:rsidRPr="002D38E6">
        <w:t xml:space="preserve">. Again, satisfaction with this category has increased significantly from </w:t>
      </w:r>
      <w:r>
        <w:t xml:space="preserve">the previous </w:t>
      </w:r>
      <w:r w:rsidRPr="002D38E6">
        <w:t>survey</w:t>
      </w:r>
      <w:r>
        <w:t xml:space="preserve"> in 2012</w:t>
      </w:r>
      <w:r w:rsidRPr="002D38E6">
        <w:t xml:space="preserve">, indicating teaching and learning methods are being employed which takes into </w:t>
      </w:r>
      <w:r>
        <w:t xml:space="preserve">account </w:t>
      </w:r>
      <w:r w:rsidRPr="002D38E6">
        <w:t>international students</w:t>
      </w:r>
      <w:r>
        <w:t xml:space="preserve"> specific needs</w:t>
      </w:r>
      <w:bookmarkStart w:id="45" w:name="_Toc278311558"/>
      <w:r>
        <w:t>.</w:t>
      </w:r>
      <w:r>
        <w:br w:type="column"/>
      </w:r>
      <w:r w:rsidRPr="00275354">
        <w:rPr>
          <w:noProof/>
          <w:highlight w:val="yellow"/>
          <w:lang w:eastAsia="en-AU"/>
        </w:rPr>
        <w:lastRenderedPageBreak/>
        <w:drawing>
          <wp:inline distT="0" distB="0" distL="0" distR="0" wp14:anchorId="1B4D1D76" wp14:editId="786FF442">
            <wp:extent cx="3105943" cy="4230806"/>
            <wp:effectExtent l="0" t="0" r="0" b="0"/>
            <wp:docPr id="10" name="Picture 10" descr="Three international school students interacting with each other happ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rk:Downloads:ISS:useful pics:Best pictures:l-School kids walking .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25192" cy="4257026"/>
                    </a:xfrm>
                    <a:prstGeom prst="rect">
                      <a:avLst/>
                    </a:prstGeom>
                    <a:noFill/>
                    <a:ln>
                      <a:noFill/>
                    </a:ln>
                  </pic:spPr>
                </pic:pic>
              </a:graphicData>
            </a:graphic>
          </wp:inline>
        </w:drawing>
      </w:r>
    </w:p>
    <w:p w:rsidR="002E1C8E" w:rsidRDefault="002E1C8E" w:rsidP="000E5583">
      <w:pPr>
        <w:sectPr w:rsidR="002E1C8E" w:rsidSect="00186C02">
          <w:type w:val="continuous"/>
          <w:pgSz w:w="11906" w:h="16838"/>
          <w:pgMar w:top="1440" w:right="1440" w:bottom="1985" w:left="1440" w:header="709" w:footer="1009" w:gutter="0"/>
          <w:cols w:num="2" w:space="57"/>
          <w:docGrid w:linePitch="360"/>
        </w:sectPr>
      </w:pPr>
    </w:p>
    <w:p w:rsidR="000E5583" w:rsidRPr="00824582" w:rsidRDefault="000E5583" w:rsidP="000E5583">
      <w:pPr>
        <w:pStyle w:val="Heading2"/>
      </w:pPr>
      <w:bookmarkStart w:id="46" w:name="_Toc416251671"/>
      <w:bookmarkStart w:id="47" w:name="_Toc417300805"/>
      <w:r w:rsidRPr="002D38E6">
        <w:lastRenderedPageBreak/>
        <w:t>Satisfaction with learning in Australia</w:t>
      </w:r>
      <w:bookmarkEnd w:id="45"/>
      <w:bookmarkEnd w:id="46"/>
      <w:bookmarkEnd w:id="47"/>
    </w:p>
    <w:p w:rsidR="00506258" w:rsidRPr="002D38E6" w:rsidRDefault="004E0D74" w:rsidP="000E5583">
      <w:pPr>
        <w:pStyle w:val="box"/>
      </w:pPr>
      <w:r>
        <w:t xml:space="preserve">Australia has a reputation of delivering high quality education. </w:t>
      </w:r>
      <w:r w:rsidR="00441083">
        <w:t>In 2014, s</w:t>
      </w:r>
      <w:r w:rsidR="00506258" w:rsidRPr="002D38E6">
        <w:t xml:space="preserve">atisfaction with learning in Australia is very high across all sectors and survey findings indicate </w:t>
      </w:r>
      <w:r w:rsidR="00172C9B">
        <w:t xml:space="preserve">that </w:t>
      </w:r>
      <w:r w:rsidR="00506258" w:rsidRPr="002D38E6">
        <w:t xml:space="preserve">these levels </w:t>
      </w:r>
      <w:r w:rsidR="00441083">
        <w:t>we</w:t>
      </w:r>
      <w:r w:rsidR="00506258" w:rsidRPr="002D38E6">
        <w:t>re on par with international benchmark figures.  Respondents in all three sectors reported high levels of satisfaction with learning</w:t>
      </w:r>
      <w:r w:rsidR="00CB0B9A">
        <w:t>,</w:t>
      </w:r>
      <w:r w:rsidR="00506258" w:rsidRPr="002D38E6">
        <w:t xml:space="preserve"> 86% for </w:t>
      </w:r>
      <w:r w:rsidR="00D65DFF">
        <w:t>higher education</w:t>
      </w:r>
      <w:r w:rsidR="00D65DFF" w:rsidRPr="002D38E6">
        <w:t xml:space="preserve"> </w:t>
      </w:r>
      <w:r w:rsidR="00506258" w:rsidRPr="002D38E6">
        <w:t>(</w:t>
      </w:r>
      <w:proofErr w:type="spellStart"/>
      <w:r w:rsidR="00CB0B9A">
        <w:t>ISB</w:t>
      </w:r>
      <w:proofErr w:type="spellEnd"/>
      <w:r w:rsidR="00CB0B9A">
        <w:t xml:space="preserve"> </w:t>
      </w:r>
      <w:r w:rsidR="00506258" w:rsidRPr="002D38E6">
        <w:t>87%), 86%</w:t>
      </w:r>
      <w:r w:rsidR="00CE6F71">
        <w:t xml:space="preserve"> </w:t>
      </w:r>
      <w:r w:rsidR="000727F6">
        <w:t>for VET (</w:t>
      </w:r>
      <w:proofErr w:type="spellStart"/>
      <w:r w:rsidR="000727F6">
        <w:t>ISB</w:t>
      </w:r>
      <w:proofErr w:type="spellEnd"/>
      <w:r w:rsidR="000727F6">
        <w:t xml:space="preserve"> 88%)</w:t>
      </w:r>
      <w:r w:rsidR="00506258" w:rsidRPr="002D38E6">
        <w:t xml:space="preserve"> and 89% for </w:t>
      </w:r>
      <w:proofErr w:type="spellStart"/>
      <w:r w:rsidR="00506258" w:rsidRPr="002D38E6">
        <w:t>ELICOS</w:t>
      </w:r>
      <w:proofErr w:type="spellEnd"/>
      <w:r w:rsidR="00506258" w:rsidRPr="002D38E6">
        <w:t xml:space="preserve">. </w:t>
      </w:r>
    </w:p>
    <w:p w:rsidR="005330E4" w:rsidRPr="002D38E6" w:rsidRDefault="00506258" w:rsidP="000E5583">
      <w:pPr>
        <w:pStyle w:val="box"/>
      </w:pPr>
      <w:r w:rsidRPr="002D38E6">
        <w:t>When the overall learning experience is evaluated</w:t>
      </w:r>
      <w:r w:rsidR="00A002E0">
        <w:t>,</w:t>
      </w:r>
      <w:r w:rsidRPr="002D38E6">
        <w:t xml:space="preserve"> 87% of </w:t>
      </w:r>
      <w:r w:rsidR="00273B4B">
        <w:t xml:space="preserve">tertiary </w:t>
      </w:r>
      <w:r w:rsidRPr="002D38E6">
        <w:t xml:space="preserve">respondents in the </w:t>
      </w:r>
      <w:r w:rsidR="001E2B5B" w:rsidRPr="002D38E6">
        <w:t xml:space="preserve">2014 </w:t>
      </w:r>
      <w:proofErr w:type="spellStart"/>
      <w:r w:rsidR="001E2B5B" w:rsidRPr="002D38E6">
        <w:t>ISS</w:t>
      </w:r>
      <w:proofErr w:type="spellEnd"/>
      <w:r w:rsidR="001E2B5B" w:rsidRPr="002D38E6">
        <w:t xml:space="preserve"> </w:t>
      </w:r>
      <w:r w:rsidR="00FD6B43" w:rsidRPr="002D38E6">
        <w:t>indicated that they were satisfied or very satisfied with their overall learning experience in Australia. The indicator</w:t>
      </w:r>
      <w:r w:rsidR="000F1ECD">
        <w:t xml:space="preserve"> for higher education</w:t>
      </w:r>
      <w:r w:rsidR="00FD6B43" w:rsidRPr="002D38E6">
        <w:t xml:space="preserve"> </w:t>
      </w:r>
      <w:r w:rsidR="00B51F0A" w:rsidRPr="002D38E6">
        <w:t xml:space="preserve">is </w:t>
      </w:r>
      <w:r w:rsidR="00A002E0">
        <w:t xml:space="preserve">up </w:t>
      </w:r>
      <w:r w:rsidR="00B51F0A" w:rsidRPr="002D38E6">
        <w:t>slightly from</w:t>
      </w:r>
      <w:r w:rsidR="00FD6B43" w:rsidRPr="002D38E6">
        <w:t xml:space="preserve"> the 2012 </w:t>
      </w:r>
      <w:r w:rsidR="00A002E0">
        <w:t xml:space="preserve">and 2010 </w:t>
      </w:r>
      <w:r w:rsidR="00B51F0A" w:rsidRPr="002D38E6">
        <w:t>survey</w:t>
      </w:r>
      <w:r w:rsidR="00A002E0">
        <w:t xml:space="preserve">s, which both </w:t>
      </w:r>
      <w:r w:rsidR="00FD6B43" w:rsidRPr="002D38E6">
        <w:t>reported satisfaction levels of 8</w:t>
      </w:r>
      <w:r w:rsidR="000F1ECD">
        <w:t>6</w:t>
      </w:r>
      <w:r w:rsidR="00FD6B43" w:rsidRPr="002D38E6">
        <w:t>%.</w:t>
      </w:r>
    </w:p>
    <w:p w:rsidR="00506258" w:rsidRPr="002D38E6" w:rsidRDefault="00506258" w:rsidP="000E5583">
      <w:pPr>
        <w:pStyle w:val="box"/>
      </w:pPr>
      <w:r w:rsidRPr="002D38E6">
        <w:t xml:space="preserve">Both </w:t>
      </w:r>
      <w:proofErr w:type="spellStart"/>
      <w:r w:rsidRPr="002D38E6">
        <w:t>ELICOS</w:t>
      </w:r>
      <w:proofErr w:type="spellEnd"/>
      <w:r w:rsidRPr="002D38E6">
        <w:t xml:space="preserve"> and </w:t>
      </w:r>
      <w:r w:rsidR="00441083">
        <w:t>s</w:t>
      </w:r>
      <w:r w:rsidRPr="002D38E6">
        <w:t xml:space="preserve">chool students report </w:t>
      </w:r>
      <w:r w:rsidR="00172C9B">
        <w:t xml:space="preserve">that </w:t>
      </w:r>
      <w:r w:rsidRPr="002D38E6">
        <w:t xml:space="preserve">studying in Australia is a </w:t>
      </w:r>
      <w:r w:rsidR="00A522C6" w:rsidRPr="002D38E6">
        <w:t>stepping-stone</w:t>
      </w:r>
      <w:r w:rsidRPr="002D38E6">
        <w:t xml:space="preserve"> to further education. These high satisfaction ratings would indicate a </w:t>
      </w:r>
      <w:r w:rsidR="00A522C6" w:rsidRPr="002D38E6">
        <w:t xml:space="preserve">positive outcome in terms of students continuing study in Australia. </w:t>
      </w:r>
    </w:p>
    <w:p w:rsidR="007B7FB0" w:rsidRDefault="00557F1E" w:rsidP="0040764B">
      <w:r w:rsidRPr="002D38E6">
        <w:t xml:space="preserve">In line with the other </w:t>
      </w:r>
      <w:proofErr w:type="spellStart"/>
      <w:r w:rsidRPr="002D38E6">
        <w:t>ISS</w:t>
      </w:r>
      <w:proofErr w:type="spellEnd"/>
      <w:r w:rsidRPr="002D38E6">
        <w:t xml:space="preserve"> results, there was little variation across the sectors in relation to elements associated with ‘</w:t>
      </w:r>
      <w:r w:rsidRPr="004E0D74">
        <w:rPr>
          <w:i/>
        </w:rPr>
        <w:t>teaching</w:t>
      </w:r>
      <w:r w:rsidRPr="002D38E6">
        <w:t>’ that were included under the broad ‘</w:t>
      </w:r>
      <w:r w:rsidR="0061308F" w:rsidRPr="00973B36">
        <w:rPr>
          <w:i/>
        </w:rPr>
        <w:t>l</w:t>
      </w:r>
      <w:r w:rsidRPr="004E0D74">
        <w:rPr>
          <w:i/>
        </w:rPr>
        <w:t>earning satisfaction’</w:t>
      </w:r>
      <w:r w:rsidRPr="002D38E6">
        <w:t xml:space="preserve"> category. For example, survey respondents reported high satisfaction levels </w:t>
      </w:r>
      <w:r w:rsidR="00C64244" w:rsidRPr="002D38E6">
        <w:t>for</w:t>
      </w:r>
      <w:r w:rsidRPr="002D38E6">
        <w:t xml:space="preserve"> </w:t>
      </w:r>
      <w:r w:rsidR="0061308F">
        <w:rPr>
          <w:i/>
        </w:rPr>
        <w:t>e</w:t>
      </w:r>
      <w:r w:rsidR="00C64244" w:rsidRPr="002D38E6">
        <w:rPr>
          <w:i/>
        </w:rPr>
        <w:t>xpert lecturers, course content,</w:t>
      </w:r>
      <w:r w:rsidR="00C64244" w:rsidRPr="002D38E6">
        <w:t xml:space="preserve"> and </w:t>
      </w:r>
      <w:r w:rsidR="00C64244" w:rsidRPr="002D38E6">
        <w:rPr>
          <w:i/>
        </w:rPr>
        <w:t xml:space="preserve">resources such as libraries/laboratories </w:t>
      </w:r>
      <w:r w:rsidR="00C64244" w:rsidRPr="002D38E6">
        <w:t xml:space="preserve">all of which recorded ratings in the high 80% and low 90% range across all the sectors. </w:t>
      </w:r>
      <w:r w:rsidR="00A522C6" w:rsidRPr="002D38E6">
        <w:t xml:space="preserve">These findings indicate a </w:t>
      </w:r>
      <w:r w:rsidR="003D64B0" w:rsidRPr="002D38E6">
        <w:t>well-developed</w:t>
      </w:r>
      <w:r w:rsidR="00A522C6" w:rsidRPr="002D38E6">
        <w:t xml:space="preserve"> </w:t>
      </w:r>
      <w:r w:rsidR="004E0D74" w:rsidRPr="002D38E6">
        <w:t xml:space="preserve">sector that has </w:t>
      </w:r>
      <w:r w:rsidR="00F06899">
        <w:t xml:space="preserve">the </w:t>
      </w:r>
      <w:r w:rsidR="004E0D74" w:rsidRPr="002D38E6">
        <w:t>resources</w:t>
      </w:r>
      <w:r w:rsidR="00A522C6" w:rsidRPr="002D38E6">
        <w:t xml:space="preserve"> required to help student achieve at a high level.</w:t>
      </w:r>
      <w:r w:rsidR="00511702">
        <w:t xml:space="preserve"> They also indicate the sectors have adjusted teaching methods to consider the learning needs of international students, </w:t>
      </w:r>
      <w:r w:rsidR="003D64B0">
        <w:t>for</w:t>
      </w:r>
      <w:r w:rsidR="00511702">
        <w:t xml:space="preserve"> whom English is a second language. </w:t>
      </w:r>
    </w:p>
    <w:p w:rsidR="00296927" w:rsidRDefault="00386FCE" w:rsidP="0040764B">
      <w:r w:rsidRPr="002D38E6">
        <w:t xml:space="preserve">There was a similar finding for </w:t>
      </w:r>
      <w:r w:rsidR="0061308F" w:rsidRPr="00973B36">
        <w:rPr>
          <w:i/>
        </w:rPr>
        <w:t>l</w:t>
      </w:r>
      <w:r w:rsidRPr="002D38E6">
        <w:rPr>
          <w:i/>
          <w:iCs/>
        </w:rPr>
        <w:t>earning support</w:t>
      </w:r>
      <w:r w:rsidRPr="002D38E6">
        <w:t xml:space="preserve"> where the </w:t>
      </w:r>
      <w:proofErr w:type="spellStart"/>
      <w:r w:rsidR="008B6CFF" w:rsidRPr="002D38E6">
        <w:t>ELICOS</w:t>
      </w:r>
      <w:proofErr w:type="spellEnd"/>
      <w:r w:rsidR="008B6CFF" w:rsidRPr="002D38E6">
        <w:t xml:space="preserve"> sector (92%) achieved the highest rating in this element followed closely by the VET sector at 90% (</w:t>
      </w:r>
      <w:proofErr w:type="spellStart"/>
      <w:r w:rsidR="008B6CFF" w:rsidRPr="002D38E6">
        <w:t>ISB</w:t>
      </w:r>
      <w:proofErr w:type="spellEnd"/>
      <w:r w:rsidR="008B6CFF" w:rsidRPr="002D38E6">
        <w:t xml:space="preserve"> 9</w:t>
      </w:r>
      <w:r w:rsidR="00FB117F" w:rsidRPr="002D38E6">
        <w:t>1</w:t>
      </w:r>
      <w:r w:rsidR="008B6CFF" w:rsidRPr="002D38E6">
        <w:t>%</w:t>
      </w:r>
      <w:r w:rsidR="00E803BF" w:rsidRPr="002D38E6">
        <w:t>),</w:t>
      </w:r>
      <w:r w:rsidR="008B6CFF" w:rsidRPr="002D38E6">
        <w:rPr>
          <w:color w:val="FF0000"/>
        </w:rPr>
        <w:t xml:space="preserve"> </w:t>
      </w:r>
      <w:r w:rsidR="008B6CFF" w:rsidRPr="002D38E6">
        <w:t xml:space="preserve">and the </w:t>
      </w:r>
      <w:r w:rsidR="00682E9B">
        <w:t>higher education</w:t>
      </w:r>
      <w:r w:rsidR="008B6CFF" w:rsidRPr="002D38E6">
        <w:t xml:space="preserve"> sector at 8</w:t>
      </w:r>
      <w:r w:rsidR="001518D6" w:rsidRPr="002D38E6">
        <w:t>9</w:t>
      </w:r>
      <w:r w:rsidR="008B6CFF" w:rsidRPr="002D38E6">
        <w:t>% (</w:t>
      </w:r>
      <w:proofErr w:type="spellStart"/>
      <w:r w:rsidR="008B6CFF" w:rsidRPr="002D38E6">
        <w:t>ISB</w:t>
      </w:r>
      <w:proofErr w:type="spellEnd"/>
      <w:r w:rsidR="008B6CFF" w:rsidRPr="002D38E6">
        <w:t xml:space="preserve"> 8</w:t>
      </w:r>
      <w:r w:rsidR="001518D6" w:rsidRPr="002D38E6">
        <w:t>9</w:t>
      </w:r>
      <w:r w:rsidR="008B6CFF" w:rsidRPr="002D38E6">
        <w:t>%)</w:t>
      </w:r>
      <w:r w:rsidR="003D64B0">
        <w:t>. A</w:t>
      </w:r>
      <w:r w:rsidR="0072347B" w:rsidRPr="002D38E6">
        <w:t>gain</w:t>
      </w:r>
      <w:r w:rsidR="003D64B0">
        <w:t>,</w:t>
      </w:r>
      <w:r w:rsidR="0072347B" w:rsidRPr="002D38E6">
        <w:t xml:space="preserve"> </w:t>
      </w:r>
      <w:r w:rsidR="005D5CF6">
        <w:t>these high</w:t>
      </w:r>
      <w:r w:rsidR="003D64B0">
        <w:t xml:space="preserve"> </w:t>
      </w:r>
      <w:r w:rsidR="0072347B" w:rsidRPr="002D38E6">
        <w:t>level</w:t>
      </w:r>
      <w:r w:rsidR="005D5CF6">
        <w:t>s</w:t>
      </w:r>
      <w:r w:rsidR="0072347B" w:rsidRPr="002D38E6">
        <w:t xml:space="preserve"> of satisfaction </w:t>
      </w:r>
      <w:r w:rsidR="003D64B0">
        <w:t>may</w:t>
      </w:r>
      <w:r w:rsidR="00A376E2">
        <w:t xml:space="preserve"> be </w:t>
      </w:r>
      <w:r w:rsidR="005D5CF6">
        <w:t>the</w:t>
      </w:r>
      <w:r w:rsidR="0072347B" w:rsidRPr="002D38E6">
        <w:t xml:space="preserve"> result of providers </w:t>
      </w:r>
      <w:r w:rsidR="00A376E2">
        <w:t xml:space="preserve">responding </w:t>
      </w:r>
      <w:r w:rsidR="003D64B0">
        <w:t xml:space="preserve">effectively </w:t>
      </w:r>
      <w:r w:rsidR="0072347B" w:rsidRPr="002D38E6">
        <w:t>to student needs</w:t>
      </w:r>
      <w:r w:rsidR="003D64B0">
        <w:t xml:space="preserve"> identified in previous surveys</w:t>
      </w:r>
      <w:r w:rsidR="0072347B" w:rsidRPr="002D38E6">
        <w:t>.</w:t>
      </w:r>
    </w:p>
    <w:p w:rsidR="00E668C4" w:rsidRPr="002D38E6" w:rsidRDefault="00E668C4" w:rsidP="0040764B">
      <w:r w:rsidRPr="002D38E6">
        <w:t xml:space="preserve">As in the two previous surveys lower satisfaction levels were reported by the 2014 respondents </w:t>
      </w:r>
      <w:r w:rsidR="00AB268A" w:rsidRPr="002D38E6">
        <w:t xml:space="preserve">from the </w:t>
      </w:r>
      <w:r w:rsidR="00682E9B">
        <w:t>higher education</w:t>
      </w:r>
      <w:r w:rsidR="00AB268A" w:rsidRPr="002D38E6">
        <w:t xml:space="preserve"> and VET sectors</w:t>
      </w:r>
      <w:r w:rsidRPr="002D38E6">
        <w:t xml:space="preserve"> in res</w:t>
      </w:r>
      <w:r w:rsidR="000727F6">
        <w:t xml:space="preserve">pect of items related to </w:t>
      </w:r>
      <w:r w:rsidRPr="002D38E6">
        <w:t>employment, in</w:t>
      </w:r>
      <w:r w:rsidR="00AB268A" w:rsidRPr="002D38E6">
        <w:t xml:space="preserve"> particular </w:t>
      </w:r>
      <w:r w:rsidR="00AB268A" w:rsidRPr="002D38E6">
        <w:rPr>
          <w:i/>
        </w:rPr>
        <w:t xml:space="preserve">work experience, career advice and employability. </w:t>
      </w:r>
    </w:p>
    <w:p w:rsidR="00E668C4" w:rsidRPr="00FC3E6A" w:rsidRDefault="000D3362" w:rsidP="00FC3E6A">
      <w:r w:rsidRPr="002D38E6">
        <w:t>T</w:t>
      </w:r>
      <w:r w:rsidR="006B13F6" w:rsidRPr="002D38E6">
        <w:t xml:space="preserve">he VET sector </w:t>
      </w:r>
      <w:r w:rsidR="00A376E2">
        <w:t>gained</w:t>
      </w:r>
      <w:r w:rsidR="00A376E2" w:rsidRPr="002D38E6">
        <w:t xml:space="preserve"> </w:t>
      </w:r>
      <w:r w:rsidR="006B13F6" w:rsidRPr="002D38E6">
        <w:t xml:space="preserve">the highest </w:t>
      </w:r>
      <w:r w:rsidR="00A376E2">
        <w:t>satisfaction levels</w:t>
      </w:r>
      <w:r w:rsidR="00A376E2" w:rsidRPr="002D38E6">
        <w:t xml:space="preserve"> </w:t>
      </w:r>
      <w:r w:rsidR="006B13F6" w:rsidRPr="002D38E6">
        <w:t xml:space="preserve">for both </w:t>
      </w:r>
      <w:r w:rsidR="0061308F">
        <w:rPr>
          <w:i/>
        </w:rPr>
        <w:t>w</w:t>
      </w:r>
      <w:r w:rsidR="006B13F6" w:rsidRPr="002D38E6">
        <w:rPr>
          <w:i/>
        </w:rPr>
        <w:t>ork experience</w:t>
      </w:r>
      <w:r w:rsidR="006B13F6" w:rsidRPr="002D38E6">
        <w:t xml:space="preserve"> (7</w:t>
      </w:r>
      <w:r w:rsidR="00442AC2" w:rsidRPr="002D38E6">
        <w:t>8</w:t>
      </w:r>
      <w:r w:rsidR="006B13F6" w:rsidRPr="002D38E6">
        <w:t xml:space="preserve">%) and </w:t>
      </w:r>
      <w:r w:rsidR="0061308F">
        <w:rPr>
          <w:i/>
        </w:rPr>
        <w:t>c</w:t>
      </w:r>
      <w:r w:rsidR="006B13F6" w:rsidRPr="002D38E6">
        <w:rPr>
          <w:i/>
        </w:rPr>
        <w:t>areers advice</w:t>
      </w:r>
      <w:r w:rsidR="006B13F6" w:rsidRPr="002D38E6">
        <w:t xml:space="preserve"> (7</w:t>
      </w:r>
      <w:r w:rsidR="00442AC2" w:rsidRPr="002D38E6">
        <w:t>8</w:t>
      </w:r>
      <w:r w:rsidR="006B13F6" w:rsidRPr="002D38E6">
        <w:t>%)</w:t>
      </w:r>
      <w:r w:rsidR="005B2F04" w:rsidRPr="002D38E6">
        <w:t xml:space="preserve">, </w:t>
      </w:r>
      <w:r w:rsidR="00A376E2">
        <w:t>although</w:t>
      </w:r>
      <w:r w:rsidR="00A376E2" w:rsidRPr="002D38E6">
        <w:t xml:space="preserve"> </w:t>
      </w:r>
      <w:r w:rsidR="005B2F04" w:rsidRPr="002D38E6">
        <w:t xml:space="preserve">both these ratings were below the international </w:t>
      </w:r>
      <w:r w:rsidR="000727F6">
        <w:t>benchmark</w:t>
      </w:r>
      <w:r w:rsidRPr="002D38E6">
        <w:t xml:space="preserve"> which was 8</w:t>
      </w:r>
      <w:r w:rsidR="00442AC2" w:rsidRPr="002D38E6">
        <w:t>0</w:t>
      </w:r>
      <w:r w:rsidRPr="002D38E6">
        <w:t xml:space="preserve">% for </w:t>
      </w:r>
      <w:r w:rsidR="00CB0B9A">
        <w:t xml:space="preserve">both </w:t>
      </w:r>
      <w:r w:rsidRPr="002D38E6">
        <w:rPr>
          <w:i/>
        </w:rPr>
        <w:t>work experience</w:t>
      </w:r>
      <w:r w:rsidR="009167F5" w:rsidRPr="002D38E6">
        <w:t xml:space="preserve"> </w:t>
      </w:r>
      <w:r w:rsidR="005B2F04" w:rsidRPr="002D38E6">
        <w:t xml:space="preserve">and </w:t>
      </w:r>
      <w:r w:rsidR="005B2F04" w:rsidRPr="002D38E6">
        <w:rPr>
          <w:i/>
        </w:rPr>
        <w:t>careers advice</w:t>
      </w:r>
      <w:r w:rsidR="005B2F04" w:rsidRPr="002D38E6">
        <w:t xml:space="preserve">. </w:t>
      </w:r>
      <w:r w:rsidR="00172C9B">
        <w:t>Students in the</w:t>
      </w:r>
      <w:r w:rsidR="00172C9B" w:rsidRPr="002D38E6">
        <w:t xml:space="preserve"> </w:t>
      </w:r>
      <w:r w:rsidR="00172C9B">
        <w:t>h</w:t>
      </w:r>
      <w:r w:rsidR="00172C9B" w:rsidRPr="002D38E6">
        <w:t xml:space="preserve">igher </w:t>
      </w:r>
      <w:r w:rsidR="00172C9B">
        <w:t>e</w:t>
      </w:r>
      <w:r w:rsidR="00172C9B" w:rsidRPr="002D38E6">
        <w:t xml:space="preserve">ducation </w:t>
      </w:r>
      <w:r w:rsidR="005B2F04" w:rsidRPr="002D38E6">
        <w:t>sector</w:t>
      </w:r>
      <w:r w:rsidR="006B13F6" w:rsidRPr="002D38E6">
        <w:t xml:space="preserve"> </w:t>
      </w:r>
      <w:r w:rsidR="00172C9B">
        <w:t>reported</w:t>
      </w:r>
      <w:r w:rsidR="00172C9B" w:rsidRPr="002D38E6">
        <w:t xml:space="preserve"> </w:t>
      </w:r>
      <w:r w:rsidR="006B13F6" w:rsidRPr="002D38E6">
        <w:t>6</w:t>
      </w:r>
      <w:r w:rsidR="00524230" w:rsidRPr="002D38E6">
        <w:t>5</w:t>
      </w:r>
      <w:r w:rsidR="006B13F6" w:rsidRPr="002D38E6">
        <w:t xml:space="preserve">% </w:t>
      </w:r>
      <w:r w:rsidR="00172C9B">
        <w:t xml:space="preserve">satisfaction </w:t>
      </w:r>
      <w:r w:rsidR="006B13F6" w:rsidRPr="002D38E6">
        <w:t xml:space="preserve">for </w:t>
      </w:r>
      <w:r w:rsidR="006B13F6" w:rsidRPr="002D38E6">
        <w:rPr>
          <w:i/>
        </w:rPr>
        <w:t>work experience</w:t>
      </w:r>
      <w:r w:rsidR="006B13F6" w:rsidRPr="002D38E6">
        <w:t>, and 6</w:t>
      </w:r>
      <w:r w:rsidR="00442AC2" w:rsidRPr="002D38E6">
        <w:t>8</w:t>
      </w:r>
      <w:r w:rsidR="006B13F6" w:rsidRPr="002D38E6">
        <w:t xml:space="preserve">% for </w:t>
      </w:r>
      <w:r w:rsidR="006B13F6" w:rsidRPr="002D38E6">
        <w:rPr>
          <w:i/>
        </w:rPr>
        <w:t>careers advice</w:t>
      </w:r>
      <w:r w:rsidR="006B13F6" w:rsidRPr="002D38E6">
        <w:t xml:space="preserve">. This can be compared with the </w:t>
      </w:r>
      <w:proofErr w:type="spellStart"/>
      <w:r w:rsidR="006B13F6" w:rsidRPr="002D38E6">
        <w:t>ISB</w:t>
      </w:r>
      <w:proofErr w:type="spellEnd"/>
      <w:r w:rsidR="006B13F6" w:rsidRPr="002D38E6">
        <w:t xml:space="preserve"> benchmark of 68% for </w:t>
      </w:r>
      <w:r w:rsidR="006B13F6" w:rsidRPr="002D38E6">
        <w:rPr>
          <w:i/>
        </w:rPr>
        <w:t>work experience</w:t>
      </w:r>
      <w:r w:rsidR="006B13F6" w:rsidRPr="002D38E6">
        <w:t xml:space="preserve"> and 7</w:t>
      </w:r>
      <w:r w:rsidR="00442AC2" w:rsidRPr="002D38E6">
        <w:t>2</w:t>
      </w:r>
      <w:r w:rsidR="006B13F6" w:rsidRPr="002D38E6">
        <w:t>%</w:t>
      </w:r>
      <w:r w:rsidR="009167F5" w:rsidRPr="002D38E6">
        <w:t xml:space="preserve"> </w:t>
      </w:r>
      <w:r w:rsidR="006B13F6" w:rsidRPr="002D38E6">
        <w:t xml:space="preserve">for </w:t>
      </w:r>
      <w:r w:rsidR="006B13F6" w:rsidRPr="002D38E6">
        <w:rPr>
          <w:i/>
        </w:rPr>
        <w:t>careers advice</w:t>
      </w:r>
      <w:r w:rsidR="005B2F04" w:rsidRPr="002D38E6">
        <w:t xml:space="preserve"> in this same sector</w:t>
      </w:r>
      <w:r w:rsidR="006B13F6" w:rsidRPr="002D38E6">
        <w:t>.</w:t>
      </w:r>
    </w:p>
    <w:p w:rsidR="00C2040B" w:rsidRPr="00933962" w:rsidRDefault="0029379A" w:rsidP="0040764B">
      <w:r w:rsidRPr="006F6486">
        <w:t xml:space="preserve">The higher levels of satisfaction reported by VET students may be a result of there being more structured opportunities for work-integrated learning </w:t>
      </w:r>
      <w:r>
        <w:t>in</w:t>
      </w:r>
      <w:r w:rsidRPr="006F6486">
        <w:t xml:space="preserve"> VET courses </w:t>
      </w:r>
      <w:r>
        <w:t>compared with</w:t>
      </w:r>
      <w:r w:rsidRPr="006F6486">
        <w:t xml:space="preserve"> higher education courses</w:t>
      </w:r>
      <w:r>
        <w:rPr>
          <w:i/>
        </w:rPr>
        <w:t xml:space="preserve">. </w:t>
      </w:r>
      <w:r w:rsidRPr="006F6486">
        <w:t xml:space="preserve">The question about </w:t>
      </w:r>
      <w:r w:rsidR="0061308F">
        <w:rPr>
          <w:i/>
        </w:rPr>
        <w:t>c</w:t>
      </w:r>
      <w:r w:rsidR="00E01DED" w:rsidRPr="00976B1F">
        <w:rPr>
          <w:i/>
        </w:rPr>
        <w:t>areers advice</w:t>
      </w:r>
      <w:r w:rsidR="00E01DED" w:rsidRPr="00933962">
        <w:t xml:space="preserve"> </w:t>
      </w:r>
      <w:r>
        <w:t xml:space="preserve">focused on the students’ plans after graduation. </w:t>
      </w:r>
    </w:p>
    <w:p w:rsidR="00BB30A9" w:rsidRPr="00933962" w:rsidRDefault="00BB30A9" w:rsidP="0040764B">
      <w:r w:rsidRPr="002D38E6">
        <w:lastRenderedPageBreak/>
        <w:t xml:space="preserve">Another related item where there continues to be variation in satisfaction levels between the sectors was </w:t>
      </w:r>
      <w:r w:rsidR="0061308F">
        <w:rPr>
          <w:i/>
        </w:rPr>
        <w:t>e</w:t>
      </w:r>
      <w:r w:rsidRPr="002D38E6">
        <w:rPr>
          <w:i/>
        </w:rPr>
        <w:t>mployability,</w:t>
      </w:r>
      <w:r w:rsidRPr="002D38E6">
        <w:t xml:space="preserve"> which recorded 76% for </w:t>
      </w:r>
      <w:r w:rsidR="003D4B4B">
        <w:t>h</w:t>
      </w:r>
      <w:r w:rsidRPr="002D38E6">
        <w:t xml:space="preserve">igher </w:t>
      </w:r>
      <w:r w:rsidR="003D4B4B">
        <w:t>e</w:t>
      </w:r>
      <w:r w:rsidRPr="002D38E6">
        <w:t>ducation and 8</w:t>
      </w:r>
      <w:r w:rsidR="00E803BF" w:rsidRPr="002D38E6">
        <w:t>4</w:t>
      </w:r>
      <w:r w:rsidRPr="002D38E6">
        <w:t xml:space="preserve">% for VET. These findings were in keeping with the 2014 </w:t>
      </w:r>
      <w:proofErr w:type="spellStart"/>
      <w:r w:rsidR="00CA5A44" w:rsidRPr="002D38E6">
        <w:t>ISB</w:t>
      </w:r>
      <w:proofErr w:type="spellEnd"/>
      <w:r w:rsidR="00CA5A44" w:rsidRPr="002D38E6">
        <w:t xml:space="preserve"> </w:t>
      </w:r>
      <w:r w:rsidRPr="002D38E6">
        <w:t xml:space="preserve">benchmark for these categories being 78% for </w:t>
      </w:r>
      <w:r w:rsidR="0029379A">
        <w:t>h</w:t>
      </w:r>
      <w:r w:rsidR="0029379A" w:rsidRPr="002D38E6">
        <w:t xml:space="preserve">igher </w:t>
      </w:r>
      <w:r w:rsidR="0029379A">
        <w:t>e</w:t>
      </w:r>
      <w:r w:rsidR="0029379A" w:rsidRPr="002D38E6">
        <w:t xml:space="preserve">ducation </w:t>
      </w:r>
      <w:r w:rsidR="00CA5A44" w:rsidRPr="002D38E6">
        <w:t>and 84% for VET</w:t>
      </w:r>
      <w:r w:rsidR="00F21C3C" w:rsidRPr="002D38E6">
        <w:t xml:space="preserve">. </w:t>
      </w:r>
      <w:r w:rsidR="00E71E92">
        <w:t>The different responses may reflect different student aspirations, where VET students are seeking an immediate path to a vocation, while higher education students early in the program may be less focused on such an outcome.</w:t>
      </w:r>
    </w:p>
    <w:p w:rsidR="009A73B3" w:rsidRPr="00933962" w:rsidRDefault="00386FCE" w:rsidP="0040764B">
      <w:r w:rsidRPr="002D38E6">
        <w:t xml:space="preserve">In respect </w:t>
      </w:r>
      <w:r w:rsidR="00217850">
        <w:t>of</w:t>
      </w:r>
      <w:r w:rsidR="00217850" w:rsidRPr="002D38E6">
        <w:t xml:space="preserve"> </w:t>
      </w:r>
      <w:r w:rsidRPr="002D38E6">
        <w:t xml:space="preserve">international </w:t>
      </w:r>
      <w:r w:rsidR="005B1392">
        <w:t>postgraduate research</w:t>
      </w:r>
      <w:r w:rsidRPr="002D38E6">
        <w:t xml:space="preserve"> students, respondents reported high satisfaction levels for </w:t>
      </w:r>
      <w:r w:rsidR="0061308F">
        <w:rPr>
          <w:i/>
          <w:iCs/>
        </w:rPr>
        <w:t>m</w:t>
      </w:r>
      <w:r w:rsidRPr="002D38E6">
        <w:rPr>
          <w:i/>
          <w:iCs/>
        </w:rPr>
        <w:t>anaging research</w:t>
      </w:r>
      <w:r w:rsidRPr="002D38E6">
        <w:t xml:space="preserve"> 9</w:t>
      </w:r>
      <w:r w:rsidR="00E803BF" w:rsidRPr="002D38E6">
        <w:t>1</w:t>
      </w:r>
      <w:r w:rsidRPr="002D38E6">
        <w:t>%</w:t>
      </w:r>
      <w:r w:rsidR="000F30C1" w:rsidRPr="002D38E6">
        <w:t>, (</w:t>
      </w:r>
      <w:r w:rsidR="00E803BF" w:rsidRPr="002D38E6">
        <w:t>slightly up from 90% in</w:t>
      </w:r>
      <w:r w:rsidR="00F21C3C" w:rsidRPr="002D38E6">
        <w:t xml:space="preserve"> 2012 survey response) and the satisfaction level </w:t>
      </w:r>
      <w:r w:rsidRPr="002D38E6">
        <w:t xml:space="preserve">for </w:t>
      </w:r>
      <w:r w:rsidR="0061308F">
        <w:rPr>
          <w:i/>
          <w:iCs/>
        </w:rPr>
        <w:t>t</w:t>
      </w:r>
      <w:r w:rsidRPr="002D38E6">
        <w:rPr>
          <w:i/>
          <w:iCs/>
        </w:rPr>
        <w:t>opic selection</w:t>
      </w:r>
      <w:r w:rsidRPr="002D38E6">
        <w:t xml:space="preserve"> </w:t>
      </w:r>
      <w:r w:rsidR="00FB5E22">
        <w:t>91</w:t>
      </w:r>
      <w:r w:rsidR="00F21C3C" w:rsidRPr="002D38E6">
        <w:t xml:space="preserve">%, </w:t>
      </w:r>
      <w:r w:rsidR="00FB5E22">
        <w:t>up from 88% in</w:t>
      </w:r>
      <w:r w:rsidR="00BD4083" w:rsidRPr="002D38E6">
        <w:t xml:space="preserve"> the</w:t>
      </w:r>
      <w:r w:rsidR="00F21C3C" w:rsidRPr="002D38E6">
        <w:t xml:space="preserve"> 2012</w:t>
      </w:r>
      <w:r w:rsidR="00BD4083" w:rsidRPr="002D38E6">
        <w:t xml:space="preserve"> response</w:t>
      </w:r>
      <w:r w:rsidR="00F21C3C" w:rsidRPr="002D38E6">
        <w:t>. Both the</w:t>
      </w:r>
      <w:r w:rsidR="003D4B4B">
        <w:t>se</w:t>
      </w:r>
      <w:r w:rsidR="00F21C3C" w:rsidRPr="002D38E6">
        <w:t xml:space="preserve"> 2014 </w:t>
      </w:r>
      <w:r w:rsidR="003D4B4B">
        <w:t xml:space="preserve">scores exceed the equivalent </w:t>
      </w:r>
      <w:proofErr w:type="spellStart"/>
      <w:r w:rsidR="00F21C3C" w:rsidRPr="002D38E6">
        <w:t>ISB</w:t>
      </w:r>
      <w:proofErr w:type="spellEnd"/>
      <w:r w:rsidR="00F21C3C" w:rsidRPr="002D38E6">
        <w:t xml:space="preserve"> </w:t>
      </w:r>
      <w:r w:rsidR="003D4B4B">
        <w:t>b</w:t>
      </w:r>
      <w:r w:rsidR="00F21C3C" w:rsidRPr="002D38E6">
        <w:t>enchmark</w:t>
      </w:r>
      <w:r w:rsidR="000727F6">
        <w:t>s,</w:t>
      </w:r>
      <w:r w:rsidR="00F21C3C" w:rsidRPr="002D38E6">
        <w:t xml:space="preserve"> which </w:t>
      </w:r>
      <w:r w:rsidR="003D4B4B">
        <w:t>were</w:t>
      </w:r>
      <w:r w:rsidR="003D4B4B" w:rsidRPr="002D38E6">
        <w:t xml:space="preserve"> </w:t>
      </w:r>
      <w:r w:rsidR="00F21C3C" w:rsidRPr="002D38E6">
        <w:t>89% and 88% respectively</w:t>
      </w:r>
      <w:r w:rsidR="00F21C3C" w:rsidRPr="006F6486">
        <w:t xml:space="preserve">. </w:t>
      </w:r>
      <w:r w:rsidR="00F21D3A" w:rsidRPr="00933962">
        <w:t>Th</w:t>
      </w:r>
      <w:r w:rsidR="00F21D3A">
        <w:t xml:space="preserve">ese </w:t>
      </w:r>
      <w:r w:rsidR="003D4B4B">
        <w:t xml:space="preserve">findings suggest Australia’s higher degree programs are </w:t>
      </w:r>
      <w:r w:rsidR="0087199D">
        <w:t>well structured</w:t>
      </w:r>
      <w:r w:rsidR="003D4B4B">
        <w:t xml:space="preserve"> and supported</w:t>
      </w:r>
      <w:r w:rsidR="00AA7E42" w:rsidRPr="00933962">
        <w:t xml:space="preserve">. </w:t>
      </w:r>
      <w:r w:rsidRPr="002D38E6">
        <w:t>However,</w:t>
      </w:r>
      <w:r w:rsidR="009A73B3" w:rsidRPr="002D38E6">
        <w:t xml:space="preserve"> </w:t>
      </w:r>
      <w:r w:rsidR="00217850">
        <w:t>as found in previous surveys, for</w:t>
      </w:r>
      <w:r w:rsidR="000D3362" w:rsidRPr="002D38E6">
        <w:t xml:space="preserve"> </w:t>
      </w:r>
      <w:r w:rsidR="0061308F">
        <w:rPr>
          <w:i/>
          <w:iCs/>
        </w:rPr>
        <w:t>o</w:t>
      </w:r>
      <w:r w:rsidRPr="002D38E6">
        <w:rPr>
          <w:i/>
          <w:iCs/>
        </w:rPr>
        <w:t>pportunities to teach</w:t>
      </w:r>
      <w:r w:rsidRPr="002D38E6">
        <w:t xml:space="preserve">, respondents reported </w:t>
      </w:r>
      <w:r w:rsidR="009A73B3" w:rsidRPr="002D38E6">
        <w:t>low</w:t>
      </w:r>
      <w:r w:rsidRPr="002D38E6">
        <w:t xml:space="preserve"> satisfaction</w:t>
      </w:r>
      <w:r w:rsidR="00217850">
        <w:t>, of</w:t>
      </w:r>
      <w:r w:rsidRPr="002D38E6">
        <w:t xml:space="preserve"> </w:t>
      </w:r>
      <w:r w:rsidR="009A73B3" w:rsidRPr="002D38E6">
        <w:t xml:space="preserve">64% </w:t>
      </w:r>
      <w:r w:rsidR="00217850">
        <w:t>in 2014 a further drop</w:t>
      </w:r>
      <w:r w:rsidR="00217850" w:rsidRPr="002D38E6">
        <w:t xml:space="preserve"> </w:t>
      </w:r>
      <w:r w:rsidR="009A73B3" w:rsidRPr="002D38E6">
        <w:t xml:space="preserve">from the 2012 </w:t>
      </w:r>
      <w:r w:rsidR="00217850">
        <w:t>survey</w:t>
      </w:r>
      <w:r w:rsidR="00217850" w:rsidRPr="002D38E6">
        <w:t xml:space="preserve"> </w:t>
      </w:r>
      <w:r w:rsidR="009A73B3" w:rsidRPr="002D38E6">
        <w:t xml:space="preserve">(67%) and lower than the 2014 </w:t>
      </w:r>
      <w:proofErr w:type="spellStart"/>
      <w:r w:rsidR="009A73B3" w:rsidRPr="002D38E6">
        <w:t>ISB</w:t>
      </w:r>
      <w:proofErr w:type="spellEnd"/>
      <w:r w:rsidR="009A73B3" w:rsidRPr="002D38E6">
        <w:t xml:space="preserve"> benchmark of 7</w:t>
      </w:r>
      <w:r w:rsidR="008B3E21" w:rsidRPr="002D38E6">
        <w:t>5</w:t>
      </w:r>
      <w:r w:rsidR="009A73B3" w:rsidRPr="002D38E6">
        <w:t xml:space="preserve">%. </w:t>
      </w:r>
    </w:p>
    <w:p w:rsidR="00DE1F4D" w:rsidRPr="002D38E6" w:rsidRDefault="00386FCE" w:rsidP="0040764B">
      <w:r w:rsidRPr="002D38E6">
        <w:t>An examination of the responses provided by international students in relation to those elements associated with ‘</w:t>
      </w:r>
      <w:r w:rsidRPr="00D76F79">
        <w:rPr>
          <w:i/>
        </w:rPr>
        <w:t>support services’</w:t>
      </w:r>
      <w:r w:rsidRPr="002D38E6">
        <w:t xml:space="preserve"> grouped under the ‘</w:t>
      </w:r>
      <w:r w:rsidR="0061308F" w:rsidRPr="00973B36">
        <w:rPr>
          <w:i/>
        </w:rPr>
        <w:t>l</w:t>
      </w:r>
      <w:r w:rsidRPr="00D76F79">
        <w:rPr>
          <w:i/>
        </w:rPr>
        <w:t>earning satisfaction’</w:t>
      </w:r>
      <w:r w:rsidRPr="002D38E6">
        <w:t xml:space="preserve"> category reveals high levels of satisfaction with these elements.   Areas such as </w:t>
      </w:r>
      <w:r w:rsidR="0061308F">
        <w:rPr>
          <w:i/>
          <w:iCs/>
        </w:rPr>
        <w:t>l</w:t>
      </w:r>
      <w:r w:rsidRPr="002D38E6">
        <w:rPr>
          <w:i/>
          <w:iCs/>
        </w:rPr>
        <w:t>earning spaces</w:t>
      </w:r>
      <w:r w:rsidRPr="002D38E6">
        <w:t xml:space="preserve">, </w:t>
      </w:r>
      <w:r w:rsidR="0061308F" w:rsidRPr="00973B36">
        <w:rPr>
          <w:i/>
        </w:rPr>
        <w:t>l</w:t>
      </w:r>
      <w:r w:rsidRPr="002D38E6">
        <w:rPr>
          <w:i/>
          <w:iCs/>
        </w:rPr>
        <w:t>earning support</w:t>
      </w:r>
      <w:r w:rsidRPr="002D38E6">
        <w:t xml:space="preserve">, and </w:t>
      </w:r>
      <w:r w:rsidR="0061308F">
        <w:rPr>
          <w:i/>
          <w:iCs/>
        </w:rPr>
        <w:t>l</w:t>
      </w:r>
      <w:r w:rsidR="00DE1F4D" w:rsidRPr="002D38E6">
        <w:rPr>
          <w:i/>
          <w:iCs/>
        </w:rPr>
        <w:t>anguage support</w:t>
      </w:r>
      <w:r w:rsidRPr="002D38E6">
        <w:rPr>
          <w:i/>
          <w:iCs/>
        </w:rPr>
        <w:t xml:space="preserve"> </w:t>
      </w:r>
      <w:r w:rsidRPr="002D38E6">
        <w:t xml:space="preserve">recorded ratings in the high 80% to low 90% across all sectors. </w:t>
      </w:r>
      <w:r w:rsidR="00DE1F4D" w:rsidRPr="002D38E6">
        <w:t xml:space="preserve"> </w:t>
      </w:r>
    </w:p>
    <w:p w:rsidR="00DE1F4D" w:rsidRPr="00933962" w:rsidRDefault="00504763" w:rsidP="0040764B">
      <w:r w:rsidRPr="002D38E6">
        <w:t xml:space="preserve">In relation to </w:t>
      </w:r>
      <w:r w:rsidR="0061308F">
        <w:rPr>
          <w:i/>
        </w:rPr>
        <w:t>t</w:t>
      </w:r>
      <w:r w:rsidRPr="00290B1D">
        <w:rPr>
          <w:i/>
        </w:rPr>
        <w:t>echnology</w:t>
      </w:r>
      <w:r w:rsidR="00A420DF" w:rsidRPr="002D38E6">
        <w:t xml:space="preserve"> </w:t>
      </w:r>
      <w:r w:rsidR="003D4B4B">
        <w:t>in</w:t>
      </w:r>
      <w:r w:rsidR="00A420DF" w:rsidRPr="002D38E6">
        <w:t xml:space="preserve"> learning</w:t>
      </w:r>
      <w:r w:rsidRPr="002D38E6">
        <w:t>, satisfaction levels were once again consistent across the se</w:t>
      </w:r>
      <w:r w:rsidR="005F0868" w:rsidRPr="002D38E6">
        <w:t xml:space="preserve">ctors with </w:t>
      </w:r>
      <w:r w:rsidR="00682E9B">
        <w:t>higher education</w:t>
      </w:r>
      <w:r w:rsidR="005F0868" w:rsidRPr="002D38E6">
        <w:t xml:space="preserve"> </w:t>
      </w:r>
      <w:r w:rsidR="003D4B4B">
        <w:t>student satisfaction at</w:t>
      </w:r>
      <w:r w:rsidR="003D4B4B" w:rsidRPr="002D38E6">
        <w:t xml:space="preserve"> </w:t>
      </w:r>
      <w:r w:rsidR="00D8055C" w:rsidRPr="002D38E6">
        <w:t>89</w:t>
      </w:r>
      <w:r w:rsidR="005F0868" w:rsidRPr="002D38E6">
        <w:t>%</w:t>
      </w:r>
      <w:r w:rsidR="00F21D3A">
        <w:t xml:space="preserve"> </w:t>
      </w:r>
      <w:r w:rsidR="005F0868" w:rsidRPr="002D38E6">
        <w:t>(</w:t>
      </w:r>
      <w:r w:rsidRPr="002D38E6">
        <w:t>up from 87% in 2012 and</w:t>
      </w:r>
      <w:r w:rsidR="005F0868" w:rsidRPr="002D38E6">
        <w:t xml:space="preserve"> from 81% in 2010), </w:t>
      </w:r>
      <w:r w:rsidR="003D4B4B">
        <w:t xml:space="preserve">while </w:t>
      </w:r>
      <w:r w:rsidR="005F0868" w:rsidRPr="002D38E6">
        <w:t xml:space="preserve">VET </w:t>
      </w:r>
      <w:r w:rsidR="003D4B4B">
        <w:t xml:space="preserve">satisfaction was </w:t>
      </w:r>
      <w:r w:rsidR="005F0868" w:rsidRPr="002D38E6">
        <w:t>8</w:t>
      </w:r>
      <w:r w:rsidR="002F3F5E" w:rsidRPr="002D38E6">
        <w:t>6</w:t>
      </w:r>
      <w:r w:rsidR="005F0868" w:rsidRPr="002D38E6">
        <w:t>% (</w:t>
      </w:r>
      <w:r w:rsidR="002F3F5E" w:rsidRPr="002D38E6">
        <w:t>consistent with</w:t>
      </w:r>
      <w:r w:rsidRPr="002D38E6">
        <w:t xml:space="preserve"> </w:t>
      </w:r>
      <w:r w:rsidR="005F0868" w:rsidRPr="002D38E6">
        <w:t>86% in 2012</w:t>
      </w:r>
      <w:r w:rsidRPr="002D38E6">
        <w:t xml:space="preserve"> but up </w:t>
      </w:r>
      <w:r w:rsidR="00902A11">
        <w:t xml:space="preserve">from </w:t>
      </w:r>
      <w:r w:rsidR="005F0868" w:rsidRPr="002D38E6">
        <w:t xml:space="preserve">82% in 2010). </w:t>
      </w:r>
      <w:r w:rsidR="00A420DF" w:rsidRPr="002D38E6">
        <w:t xml:space="preserve">The 2014 </w:t>
      </w:r>
      <w:proofErr w:type="spellStart"/>
      <w:r w:rsidR="00A420DF" w:rsidRPr="002D38E6">
        <w:t>ISB</w:t>
      </w:r>
      <w:proofErr w:type="spellEnd"/>
      <w:r w:rsidR="00A420DF" w:rsidRPr="002D38E6">
        <w:t xml:space="preserve"> benchmark for </w:t>
      </w:r>
      <w:r w:rsidR="0061308F">
        <w:rPr>
          <w:i/>
        </w:rPr>
        <w:t>t</w:t>
      </w:r>
      <w:r w:rsidR="00FE120A" w:rsidRPr="00290B1D">
        <w:rPr>
          <w:i/>
        </w:rPr>
        <w:t>echnology</w:t>
      </w:r>
      <w:r w:rsidR="00FE120A" w:rsidRPr="00922DEB">
        <w:t xml:space="preserve"> in </w:t>
      </w:r>
      <w:r w:rsidR="00902A11">
        <w:t xml:space="preserve">both higher education and </w:t>
      </w:r>
      <w:r w:rsidR="00FE120A" w:rsidRPr="00922DEB">
        <w:t>VET</w:t>
      </w:r>
      <w:r w:rsidR="00A420DF" w:rsidRPr="002D38E6">
        <w:t xml:space="preserve"> </w:t>
      </w:r>
      <w:r w:rsidR="00902A11">
        <w:t xml:space="preserve">sectors </w:t>
      </w:r>
      <w:r w:rsidR="00A420DF" w:rsidRPr="002D38E6">
        <w:t>was 89%</w:t>
      </w:r>
      <w:r w:rsidR="00902A11">
        <w:t>.</w:t>
      </w:r>
      <w:r w:rsidR="00A420DF" w:rsidRPr="002D38E6">
        <w:t xml:space="preserve"> </w:t>
      </w:r>
      <w:r w:rsidR="00902A11">
        <w:t xml:space="preserve">In the </w:t>
      </w:r>
      <w:proofErr w:type="spellStart"/>
      <w:r w:rsidR="00902A11">
        <w:t>ELICOS</w:t>
      </w:r>
      <w:proofErr w:type="spellEnd"/>
      <w:r w:rsidR="00902A11">
        <w:t xml:space="preserve"> sector student satisfaction in this area was 90% up from 86% in 2012 and 81% in 2010. </w:t>
      </w:r>
    </w:p>
    <w:p w:rsidR="00C539FB" w:rsidRDefault="00914364" w:rsidP="0040764B">
      <w:r w:rsidRPr="002D38E6">
        <w:t xml:space="preserve">Across all sectors respondents reported positively when asked to rank how satisfied they felt about </w:t>
      </w:r>
      <w:r w:rsidRPr="00290B1D">
        <w:rPr>
          <w:i/>
        </w:rPr>
        <w:t>studying with people from different cultures</w:t>
      </w:r>
      <w:r w:rsidRPr="002D38E6">
        <w:t xml:space="preserve">. For the VET </w:t>
      </w:r>
      <w:r w:rsidR="005A0945" w:rsidRPr="002D38E6">
        <w:t xml:space="preserve">sector this was reported at 92% </w:t>
      </w:r>
      <w:r w:rsidRPr="002D38E6">
        <w:t xml:space="preserve">and 90% </w:t>
      </w:r>
      <w:r w:rsidR="00E24215" w:rsidRPr="002D38E6">
        <w:t xml:space="preserve">for both </w:t>
      </w:r>
      <w:proofErr w:type="spellStart"/>
      <w:r w:rsidR="00E24215" w:rsidRPr="002D38E6">
        <w:t>ELICOS</w:t>
      </w:r>
      <w:proofErr w:type="spellEnd"/>
      <w:r w:rsidR="00E24215" w:rsidRPr="002D38E6">
        <w:t xml:space="preserve"> and </w:t>
      </w:r>
      <w:r w:rsidR="00682E9B">
        <w:t>higher education</w:t>
      </w:r>
      <w:r w:rsidR="00FE120A">
        <w:t xml:space="preserve">. </w:t>
      </w:r>
      <w:r w:rsidR="00290B1D">
        <w:t>These finding</w:t>
      </w:r>
      <w:r w:rsidR="00FE120A">
        <w:t>s</w:t>
      </w:r>
      <w:r w:rsidR="00290B1D">
        <w:t xml:space="preserve"> suggest that as a multicultural society Australia has much to offer</w:t>
      </w:r>
      <w:r w:rsidR="00FE120A">
        <w:t xml:space="preserve"> and can effectively present itself to the world as possessing a </w:t>
      </w:r>
      <w:r w:rsidR="00B974BF">
        <w:t>highly internationalised</w:t>
      </w:r>
      <w:r w:rsidR="00FE120A">
        <w:t xml:space="preserve"> education system.</w:t>
      </w:r>
    </w:p>
    <w:p w:rsidR="00386FCE" w:rsidRPr="00C539FB" w:rsidRDefault="00386FCE" w:rsidP="0040764B">
      <w:r w:rsidRPr="002D38E6">
        <w:t xml:space="preserve">Prior to coming to Australia and starting their studies, </w:t>
      </w:r>
      <w:r w:rsidR="004C291C">
        <w:t xml:space="preserve">school sector </w:t>
      </w:r>
      <w:r w:rsidRPr="002D38E6">
        <w:t>respondents considered their spoken and written English to be either good or very good (</w:t>
      </w:r>
      <w:r w:rsidR="001261AA" w:rsidRPr="002D38E6">
        <w:t>25</w:t>
      </w:r>
      <w:r w:rsidRPr="002D38E6">
        <w:t>% and 2</w:t>
      </w:r>
      <w:r w:rsidR="001261AA" w:rsidRPr="002D38E6">
        <w:t>3</w:t>
      </w:r>
      <w:r w:rsidRPr="002D38E6">
        <w:t>%</w:t>
      </w:r>
      <w:r w:rsidR="00740AE4">
        <w:t>,</w:t>
      </w:r>
      <w:r w:rsidRPr="002D38E6">
        <w:t xml:space="preserve"> respectively).  The proportion of students reporting their spoken and written English to be good or very good at the time of the survey had increased to</w:t>
      </w:r>
      <w:r w:rsidR="008F33EA">
        <w:t xml:space="preserve"> </w:t>
      </w:r>
      <w:r w:rsidR="001261AA" w:rsidRPr="002D38E6">
        <w:t>52</w:t>
      </w:r>
      <w:r w:rsidRPr="002D38E6">
        <w:t xml:space="preserve">% and </w:t>
      </w:r>
      <w:r w:rsidR="001261AA" w:rsidRPr="002D38E6">
        <w:t>44</w:t>
      </w:r>
      <w:r w:rsidRPr="002D38E6">
        <w:t>% respectively</w:t>
      </w:r>
      <w:r w:rsidR="00B83954" w:rsidRPr="00C539FB">
        <w:t xml:space="preserve">. </w:t>
      </w:r>
      <w:r w:rsidR="004C7274" w:rsidRPr="002D38E6">
        <w:t xml:space="preserve">Seventy-seven </w:t>
      </w:r>
      <w:r w:rsidR="004C7274">
        <w:t xml:space="preserve">per cent </w:t>
      </w:r>
      <w:r w:rsidR="004C7274" w:rsidRPr="002D38E6">
        <w:t xml:space="preserve">of all respondents from the </w:t>
      </w:r>
      <w:r w:rsidR="004C7274">
        <w:t>schools</w:t>
      </w:r>
      <w:r w:rsidR="004C7274" w:rsidRPr="002D38E6">
        <w:t xml:space="preserve"> sector indicated that the </w:t>
      </w:r>
      <w:r w:rsidR="004C7274" w:rsidRPr="00F21D3A">
        <w:rPr>
          <w:i/>
        </w:rPr>
        <w:t xml:space="preserve">teaching </w:t>
      </w:r>
      <w:r w:rsidR="004C7274" w:rsidRPr="002D38E6">
        <w:t>they had received was either good or very good with a further 20% rati</w:t>
      </w:r>
      <w:r w:rsidR="004C7274">
        <w:t>ng their experience as average.</w:t>
      </w:r>
    </w:p>
    <w:p w:rsidR="00A50AF6" w:rsidRDefault="005F0702" w:rsidP="0040764B">
      <w:r>
        <w:t>This survey indicated l</w:t>
      </w:r>
      <w:r w:rsidR="00B83954" w:rsidRPr="006E2CB7">
        <w:t>earning s</w:t>
      </w:r>
      <w:r w:rsidR="008D7076" w:rsidRPr="006E2CB7">
        <w:t xml:space="preserve">atisfaction levels in all sectors are high and very </w:t>
      </w:r>
      <w:r w:rsidR="006E2CB7" w:rsidRPr="006E2CB7">
        <w:t>positive</w:t>
      </w:r>
      <w:r w:rsidR="00A50AF6">
        <w:t>. Although not specifically addressed in the survey</w:t>
      </w:r>
      <w:r w:rsidR="00326126">
        <w:t>,</w:t>
      </w:r>
      <w:r w:rsidR="00A50AF6">
        <w:t xml:space="preserve"> </w:t>
      </w:r>
      <w:r w:rsidR="001B0809">
        <w:t xml:space="preserve">the ease at which students can follow pathways of study means many respondents may be reflecting upon their overall study experience in Australia, rather than just the specific sector they were studying in at the time of the survey. For example, </w:t>
      </w:r>
      <w:r w:rsidR="003A70BE">
        <w:t>41% of VET students</w:t>
      </w:r>
      <w:r w:rsidR="001B0809">
        <w:t>,</w:t>
      </w:r>
      <w:r w:rsidR="003A70BE">
        <w:t xml:space="preserve"> 47% of </w:t>
      </w:r>
      <w:proofErr w:type="spellStart"/>
      <w:r w:rsidR="003A70BE">
        <w:t>ELICOS</w:t>
      </w:r>
      <w:proofErr w:type="spellEnd"/>
      <w:r w:rsidR="003A70BE">
        <w:t xml:space="preserve"> students and 80% of </w:t>
      </w:r>
      <w:r w:rsidR="00086B4D">
        <w:t>school</w:t>
      </w:r>
      <w:r w:rsidR="003A70BE">
        <w:t xml:space="preserve"> students </w:t>
      </w:r>
      <w:r w:rsidR="001B0809">
        <w:t>reported that</w:t>
      </w:r>
      <w:r w:rsidR="003A70BE">
        <w:t xml:space="preserve"> they </w:t>
      </w:r>
      <w:r w:rsidR="001B0809">
        <w:t xml:space="preserve">were on a pathway </w:t>
      </w:r>
      <w:r w:rsidR="003A70BE">
        <w:t>to further study</w:t>
      </w:r>
      <w:r w:rsidR="001B0809">
        <w:t xml:space="preserve"> in Australia</w:t>
      </w:r>
      <w:r w:rsidR="003A70BE">
        <w:t xml:space="preserve">. </w:t>
      </w:r>
    </w:p>
    <w:p w:rsidR="00C17AE2" w:rsidRPr="002D38E6" w:rsidRDefault="00386FCE" w:rsidP="00093F09">
      <w:pPr>
        <w:pStyle w:val="Heading2"/>
      </w:pPr>
      <w:bookmarkStart w:id="48" w:name="_Toc278311559"/>
      <w:bookmarkStart w:id="49" w:name="_Toc415743333"/>
      <w:bookmarkStart w:id="50" w:name="_Toc417300806"/>
      <w:r w:rsidRPr="002D38E6">
        <w:lastRenderedPageBreak/>
        <w:t>Satisfaction with support on arrival</w:t>
      </w:r>
      <w:bookmarkEnd w:id="48"/>
      <w:bookmarkEnd w:id="49"/>
      <w:bookmarkEnd w:id="50"/>
    </w:p>
    <w:p w:rsidR="009B5354" w:rsidRPr="00292AE4" w:rsidRDefault="009B5354" w:rsidP="000E5583">
      <w:pPr>
        <w:pStyle w:val="box"/>
      </w:pPr>
      <w:r>
        <w:t xml:space="preserve">Arriving in a new country where you may experience language difficulties can be daunting. This category measures specific support on arrival and findings indicate this is a category where Australia is world class. </w:t>
      </w:r>
    </w:p>
    <w:p w:rsidR="00386FCE" w:rsidRDefault="009B1E36" w:rsidP="000E5583">
      <w:pPr>
        <w:pStyle w:val="box"/>
      </w:pPr>
      <w:r w:rsidRPr="00292AE4">
        <w:t>Feeling welcome provides individuals with a sense of support and acceptance</w:t>
      </w:r>
      <w:r w:rsidRPr="002D38E6">
        <w:t xml:space="preserve">. </w:t>
      </w:r>
      <w:r w:rsidR="00326126">
        <w:t>Tertiary respondents</w:t>
      </w:r>
      <w:r w:rsidR="00961CB7" w:rsidRPr="002D38E6">
        <w:t xml:space="preserve"> reported a satisfaction rating of 9</w:t>
      </w:r>
      <w:r w:rsidR="00F7538E" w:rsidRPr="002D38E6">
        <w:t>1</w:t>
      </w:r>
      <w:r w:rsidR="00961CB7" w:rsidRPr="002D38E6">
        <w:t xml:space="preserve">% with overall support on arrival. This was above the international benchmark for </w:t>
      </w:r>
      <w:r w:rsidR="00326126">
        <w:t>higher education and VET</w:t>
      </w:r>
      <w:r w:rsidR="00961CB7" w:rsidRPr="002D38E6">
        <w:t xml:space="preserve"> sectors</w:t>
      </w:r>
      <w:r w:rsidR="00961CB7" w:rsidRPr="002D38E6">
        <w:rPr>
          <w:b/>
        </w:rPr>
        <w:t>.</w:t>
      </w:r>
      <w:r w:rsidRPr="002D38E6">
        <w:rPr>
          <w:b/>
        </w:rPr>
        <w:t xml:space="preserve"> </w:t>
      </w:r>
      <w:r w:rsidR="00D96033" w:rsidRPr="00292AE4">
        <w:t xml:space="preserve">This is an important satisfaction indicator, as commencing with a good experience reduces the fear of the unknown </w:t>
      </w:r>
      <w:r w:rsidR="00D97421">
        <w:t>allowing</w:t>
      </w:r>
      <w:r w:rsidR="00D96033" w:rsidRPr="00292AE4">
        <w:t xml:space="preserve"> individuals to feel safe</w:t>
      </w:r>
      <w:r w:rsidR="00D97421">
        <w:t xml:space="preserve"> and to focus on study</w:t>
      </w:r>
      <w:r w:rsidR="00D96033" w:rsidRPr="00292AE4">
        <w:t xml:space="preserve">. </w:t>
      </w:r>
    </w:p>
    <w:p w:rsidR="009B5354" w:rsidRDefault="009B5354" w:rsidP="000E5583">
      <w:pPr>
        <w:pStyle w:val="box"/>
      </w:pPr>
      <w:r>
        <w:t xml:space="preserve">Australian tertiary institutions gain from the presence of international students. First experiences are important. As the industry has matured providers have placed a good deal of effort into helping students transition to life and study in Australia and this is being reflected in the positive satisfaction ratings in this category. </w:t>
      </w:r>
    </w:p>
    <w:p w:rsidR="00C17AE2" w:rsidRPr="002D38E6" w:rsidRDefault="004C17C3" w:rsidP="000E5583">
      <w:pPr>
        <w:pStyle w:val="box"/>
      </w:pPr>
      <w:r>
        <w:t>[</w:t>
      </w:r>
      <w:r w:rsidR="00386FCE" w:rsidRPr="002D38E6">
        <w:t xml:space="preserve">Only those students who had started their </w:t>
      </w:r>
      <w:r w:rsidR="00D46A65">
        <w:t xml:space="preserve">first year or short program </w:t>
      </w:r>
      <w:r w:rsidR="00682E9B">
        <w:t>higher education</w:t>
      </w:r>
      <w:r w:rsidR="00386FCE" w:rsidRPr="002D38E6">
        <w:t xml:space="preserve"> or VET course</w:t>
      </w:r>
      <w:r w:rsidR="00D46A65">
        <w:t xml:space="preserve"> </w:t>
      </w:r>
      <w:r w:rsidR="00386FCE" w:rsidRPr="002D38E6">
        <w:t>were asked to complete the questions relating to satisfaction with support on arrival.</w:t>
      </w:r>
      <w:r>
        <w:t>]</w:t>
      </w:r>
    </w:p>
    <w:p w:rsidR="00DC468A" w:rsidRPr="002D38E6" w:rsidRDefault="00DC468A" w:rsidP="0040764B">
      <w:r w:rsidRPr="002D38E6">
        <w:t xml:space="preserve">The majority of the elements measured in </w:t>
      </w:r>
      <w:r w:rsidRPr="002D38E6">
        <w:rPr>
          <w:i/>
        </w:rPr>
        <w:t>support upon arrival</w:t>
      </w:r>
      <w:r w:rsidRPr="002D38E6">
        <w:t xml:space="preserve"> recorded high levels of satisfaction across the sectors. </w:t>
      </w:r>
    </w:p>
    <w:p w:rsidR="00D97421" w:rsidRDefault="00D97421" w:rsidP="0040764B">
      <w:r>
        <w:t xml:space="preserve">Managing the complexity of </w:t>
      </w:r>
      <w:r w:rsidR="00A53CDA">
        <w:t>foreign currency</w:t>
      </w:r>
      <w:r>
        <w:t xml:space="preserve"> and banking in general can be quite confusing in a new environment. Spending time and energy on these matters can distract from more important activities. Thus, it is a very positive outcome to see that f</w:t>
      </w:r>
      <w:r w:rsidR="00BB1E2E" w:rsidRPr="002D38E6">
        <w:t xml:space="preserve">or </w:t>
      </w:r>
      <w:r w:rsidR="00682E9B">
        <w:t>higher education</w:t>
      </w:r>
      <w:r w:rsidR="00BB1E2E" w:rsidRPr="002D38E6">
        <w:t xml:space="preserve"> respondents to the 2014 survey, support and advice regarding </w:t>
      </w:r>
      <w:r w:rsidR="0061308F">
        <w:rPr>
          <w:i/>
        </w:rPr>
        <w:t>b</w:t>
      </w:r>
      <w:r w:rsidR="00BB1E2E" w:rsidRPr="002D38E6">
        <w:rPr>
          <w:i/>
        </w:rPr>
        <w:t xml:space="preserve">ank </w:t>
      </w:r>
      <w:r w:rsidR="0061308F">
        <w:rPr>
          <w:i/>
        </w:rPr>
        <w:t>a</w:t>
      </w:r>
      <w:r w:rsidR="00BB1E2E" w:rsidRPr="002D38E6">
        <w:rPr>
          <w:i/>
        </w:rPr>
        <w:t>ccounts</w:t>
      </w:r>
      <w:r w:rsidR="00752077" w:rsidRPr="002D38E6">
        <w:rPr>
          <w:i/>
        </w:rPr>
        <w:t xml:space="preserve"> </w:t>
      </w:r>
      <w:r w:rsidR="00752077" w:rsidRPr="002D38E6">
        <w:t>and</w:t>
      </w:r>
      <w:r w:rsidR="00752077" w:rsidRPr="002D38E6">
        <w:rPr>
          <w:i/>
        </w:rPr>
        <w:t xml:space="preserve"> </w:t>
      </w:r>
      <w:r w:rsidR="00BB1E2E" w:rsidRPr="002D38E6">
        <w:t xml:space="preserve">the </w:t>
      </w:r>
      <w:r w:rsidR="0061308F">
        <w:rPr>
          <w:i/>
        </w:rPr>
        <w:t>f</w:t>
      </w:r>
      <w:r w:rsidR="00BB1E2E" w:rsidRPr="002D38E6">
        <w:rPr>
          <w:i/>
        </w:rPr>
        <w:t>inance office</w:t>
      </w:r>
      <w:r w:rsidR="00752077" w:rsidRPr="002D38E6">
        <w:t xml:space="preserve"> assistance both received satisfaction ratings of 90%. </w:t>
      </w:r>
      <w:r w:rsidR="00CF2146" w:rsidRPr="002D38E6">
        <w:t xml:space="preserve">Other </w:t>
      </w:r>
      <w:r w:rsidR="00696EF1" w:rsidRPr="002D38E6">
        <w:t xml:space="preserve">arrival support </w:t>
      </w:r>
      <w:r w:rsidR="00CF2146" w:rsidRPr="002D38E6">
        <w:t>factors</w:t>
      </w:r>
      <w:r w:rsidR="00752077" w:rsidRPr="002D38E6">
        <w:t xml:space="preserve"> such as </w:t>
      </w:r>
      <w:r w:rsidR="0061308F">
        <w:rPr>
          <w:i/>
        </w:rPr>
        <w:t>f</w:t>
      </w:r>
      <w:r w:rsidR="00BB1E2E" w:rsidRPr="002D38E6">
        <w:rPr>
          <w:i/>
        </w:rPr>
        <w:t xml:space="preserve">ormal welcome, </w:t>
      </w:r>
      <w:r w:rsidR="0061308F">
        <w:rPr>
          <w:i/>
        </w:rPr>
        <w:t>i</w:t>
      </w:r>
      <w:r w:rsidR="00CF2146" w:rsidRPr="002D38E6">
        <w:rPr>
          <w:i/>
        </w:rPr>
        <w:t xml:space="preserve">nternet access, </w:t>
      </w:r>
      <w:r w:rsidR="0061308F">
        <w:rPr>
          <w:i/>
        </w:rPr>
        <w:t>s</w:t>
      </w:r>
      <w:r w:rsidR="00CF2146" w:rsidRPr="002D38E6">
        <w:rPr>
          <w:i/>
        </w:rPr>
        <w:t>upport of friends</w:t>
      </w:r>
      <w:r w:rsidR="00BB1E2E" w:rsidRPr="002D38E6">
        <w:rPr>
          <w:i/>
        </w:rPr>
        <w:t xml:space="preserve"> </w:t>
      </w:r>
      <w:r w:rsidR="00BB1E2E" w:rsidRPr="002D38E6">
        <w:t xml:space="preserve">all received an 88% satisfaction rating. </w:t>
      </w:r>
      <w:r w:rsidR="00DE6DE3" w:rsidRPr="002D38E6">
        <w:t xml:space="preserve">These are similar to the responses in the 2012 survey, which reported the following satisfaction levels, </w:t>
      </w:r>
      <w:r w:rsidR="00DE6DE3">
        <w:rPr>
          <w:i/>
          <w:iCs/>
        </w:rPr>
        <w:t>b</w:t>
      </w:r>
      <w:r w:rsidR="00DE6DE3" w:rsidRPr="002D38E6">
        <w:rPr>
          <w:i/>
          <w:iCs/>
        </w:rPr>
        <w:t>ank account</w:t>
      </w:r>
      <w:r w:rsidR="00DE6DE3" w:rsidRPr="002D38E6">
        <w:rPr>
          <w:b/>
        </w:rPr>
        <w:t xml:space="preserve"> </w:t>
      </w:r>
      <w:r w:rsidR="00DE6DE3">
        <w:t>(93%) and</w:t>
      </w:r>
      <w:r w:rsidR="00DE6DE3" w:rsidRPr="002D38E6">
        <w:t xml:space="preserve"> </w:t>
      </w:r>
      <w:r w:rsidR="00DE6DE3">
        <w:rPr>
          <w:i/>
          <w:iCs/>
        </w:rPr>
        <w:t>f</w:t>
      </w:r>
      <w:r w:rsidR="00DE6DE3" w:rsidRPr="002D38E6">
        <w:rPr>
          <w:i/>
          <w:iCs/>
        </w:rPr>
        <w:t>ormal welcome</w:t>
      </w:r>
      <w:r w:rsidR="00DE6DE3" w:rsidRPr="002D38E6">
        <w:t xml:space="preserve"> (88%). </w:t>
      </w:r>
    </w:p>
    <w:p w:rsidR="00BB1E2E" w:rsidRPr="00A7325B" w:rsidRDefault="009F643C" w:rsidP="0040764B">
      <w:r w:rsidRPr="002D38E6">
        <w:t xml:space="preserve">Areas of dissatisfaction </w:t>
      </w:r>
      <w:r w:rsidR="00DC468A" w:rsidRPr="002D38E6">
        <w:t xml:space="preserve">in the </w:t>
      </w:r>
      <w:r w:rsidR="00682E9B">
        <w:t>higher education</w:t>
      </w:r>
      <w:r w:rsidR="00DC468A" w:rsidRPr="002D38E6">
        <w:t xml:space="preserve"> sector were</w:t>
      </w:r>
      <w:r w:rsidRPr="002D38E6">
        <w:t xml:space="preserve"> </w:t>
      </w:r>
      <w:r w:rsidRPr="002D38E6">
        <w:rPr>
          <w:i/>
        </w:rPr>
        <w:t>host friends</w:t>
      </w:r>
      <w:r w:rsidRPr="002D38E6">
        <w:t xml:space="preserve"> (6</w:t>
      </w:r>
      <w:r w:rsidR="00CF2146" w:rsidRPr="002D38E6">
        <w:t>9</w:t>
      </w:r>
      <w:r w:rsidRPr="002D38E6">
        <w:t xml:space="preserve">%, </w:t>
      </w:r>
      <w:proofErr w:type="spellStart"/>
      <w:r w:rsidRPr="002D38E6">
        <w:t>ISB</w:t>
      </w:r>
      <w:proofErr w:type="spellEnd"/>
      <w:r w:rsidRPr="002D38E6">
        <w:t xml:space="preserve"> 7</w:t>
      </w:r>
      <w:r w:rsidR="00F74C4F" w:rsidRPr="002D38E6">
        <w:t>4</w:t>
      </w:r>
      <w:r w:rsidRPr="002D38E6">
        <w:t xml:space="preserve">%) </w:t>
      </w:r>
      <w:r w:rsidRPr="002D38E6">
        <w:rPr>
          <w:i/>
        </w:rPr>
        <w:t>local orientation</w:t>
      </w:r>
      <w:r w:rsidRPr="002D38E6">
        <w:t xml:space="preserve"> (7</w:t>
      </w:r>
      <w:r w:rsidR="00CF2146" w:rsidRPr="002D38E6">
        <w:t>7</w:t>
      </w:r>
      <w:r w:rsidRPr="002D38E6">
        <w:t>%</w:t>
      </w:r>
      <w:r w:rsidR="00AC4921">
        <w:t>,</w:t>
      </w:r>
      <w:r w:rsidRPr="002D38E6">
        <w:t xml:space="preserve"> </w:t>
      </w:r>
      <w:proofErr w:type="spellStart"/>
      <w:r w:rsidRPr="002D38E6">
        <w:t>ISB</w:t>
      </w:r>
      <w:proofErr w:type="spellEnd"/>
      <w:r w:rsidRPr="002D38E6">
        <w:t xml:space="preserve"> 8</w:t>
      </w:r>
      <w:r w:rsidR="00F74C4F" w:rsidRPr="002D38E6">
        <w:t>6</w:t>
      </w:r>
      <w:r w:rsidR="00DC468A" w:rsidRPr="002D38E6">
        <w:t xml:space="preserve">%) and </w:t>
      </w:r>
      <w:r w:rsidR="00DC468A" w:rsidRPr="002D38E6">
        <w:rPr>
          <w:i/>
        </w:rPr>
        <w:t>meeting staff</w:t>
      </w:r>
      <w:r w:rsidR="00DC468A" w:rsidRPr="002D38E6">
        <w:t xml:space="preserve"> (79%</w:t>
      </w:r>
      <w:r w:rsidR="00AC4921">
        <w:t>,</w:t>
      </w:r>
      <w:r w:rsidR="00DC468A" w:rsidRPr="002D38E6">
        <w:t xml:space="preserve"> </w:t>
      </w:r>
      <w:proofErr w:type="spellStart"/>
      <w:r w:rsidR="00DC468A" w:rsidRPr="002D38E6">
        <w:t>ISB</w:t>
      </w:r>
      <w:proofErr w:type="spellEnd"/>
      <w:r w:rsidR="00DC468A" w:rsidRPr="002D38E6">
        <w:t xml:space="preserve"> 91%).</w:t>
      </w:r>
      <w:r w:rsidR="00B47558" w:rsidRPr="002D38E6">
        <w:t xml:space="preserve"> </w:t>
      </w:r>
      <w:r w:rsidR="00B47558" w:rsidRPr="00A7325B">
        <w:t xml:space="preserve">More programs designed to bring domestic and international students together </w:t>
      </w:r>
      <w:r w:rsidR="006A0147">
        <w:t>when creating</w:t>
      </w:r>
      <w:r w:rsidR="00B47558" w:rsidRPr="00A7325B">
        <w:t xml:space="preserve"> opportunities for meeting staff and </w:t>
      </w:r>
      <w:r w:rsidR="006A0147">
        <w:t xml:space="preserve">at formal </w:t>
      </w:r>
      <w:r w:rsidR="00B47558" w:rsidRPr="00A7325B">
        <w:t>orientation</w:t>
      </w:r>
      <w:r w:rsidR="006A0147">
        <w:t xml:space="preserve"> events would help in international student orientation since their fellow Australian students could also play a role in helping them understand the context of an Australian education institution</w:t>
      </w:r>
      <w:r w:rsidR="00B47558" w:rsidRPr="00A7325B">
        <w:t xml:space="preserve">. </w:t>
      </w:r>
      <w:r w:rsidR="006A0147">
        <w:t>‘B</w:t>
      </w:r>
      <w:r w:rsidR="009B5354">
        <w:t>uddy</w:t>
      </w:r>
      <w:r w:rsidR="006A0147">
        <w:t>’</w:t>
      </w:r>
      <w:r w:rsidR="009B5354">
        <w:t xml:space="preserve"> program</w:t>
      </w:r>
      <w:r w:rsidR="006A0147">
        <w:t>s</w:t>
      </w:r>
      <w:r w:rsidR="009B5354">
        <w:t xml:space="preserve"> between continuing students and new students </w:t>
      </w:r>
      <w:r w:rsidR="006A0147">
        <w:t>may be valuable in a</w:t>
      </w:r>
      <w:r w:rsidR="00AC4921">
        <w:t xml:space="preserve">ssisting international </w:t>
      </w:r>
      <w:proofErr w:type="gramStart"/>
      <w:r w:rsidR="00AC4921">
        <w:t>students</w:t>
      </w:r>
      <w:proofErr w:type="gramEnd"/>
      <w:r w:rsidR="009B5354">
        <w:t xml:space="preserve"> transition </w:t>
      </w:r>
      <w:r w:rsidR="00AC4921">
        <w:t>in</w:t>
      </w:r>
      <w:r w:rsidR="009B5354">
        <w:t xml:space="preserve">to a new </w:t>
      </w:r>
      <w:r w:rsidR="00AC4921">
        <w:t>environment and culture, as well as</w:t>
      </w:r>
      <w:r w:rsidR="006A0147">
        <w:t xml:space="preserve"> expanding </w:t>
      </w:r>
      <w:r w:rsidR="00AC4921">
        <w:t>their</w:t>
      </w:r>
      <w:r w:rsidR="006A0147">
        <w:t xml:space="preserve"> circle of friends</w:t>
      </w:r>
      <w:r w:rsidR="009B5354">
        <w:t xml:space="preserve">. </w:t>
      </w:r>
    </w:p>
    <w:p w:rsidR="00612A12" w:rsidRPr="002D38E6" w:rsidRDefault="00612A12" w:rsidP="0040764B">
      <w:r w:rsidRPr="002D38E6">
        <w:t>In the VET sector compariso</w:t>
      </w:r>
      <w:r w:rsidR="00901606" w:rsidRPr="002D38E6">
        <w:t xml:space="preserve">n between the years indicates a </w:t>
      </w:r>
      <w:r w:rsidR="007B7425" w:rsidRPr="002D38E6">
        <w:t>continued</w:t>
      </w:r>
      <w:r w:rsidRPr="002D38E6">
        <w:t xml:space="preserve"> improvement in areas such as </w:t>
      </w:r>
      <w:r w:rsidR="0061308F">
        <w:rPr>
          <w:i/>
        </w:rPr>
        <w:t>a</w:t>
      </w:r>
      <w:r w:rsidRPr="002D38E6">
        <w:rPr>
          <w:i/>
        </w:rPr>
        <w:t>ccommodation office</w:t>
      </w:r>
      <w:r w:rsidRPr="002D38E6">
        <w:t xml:space="preserve"> (9</w:t>
      </w:r>
      <w:r w:rsidR="00901606" w:rsidRPr="002D38E6">
        <w:t>3</w:t>
      </w:r>
      <w:r w:rsidRPr="002D38E6">
        <w:t>% in 2014, compared with 91% in 2012 and 7</w:t>
      </w:r>
      <w:r w:rsidR="004131D1">
        <w:t>7</w:t>
      </w:r>
      <w:r w:rsidRPr="002D38E6">
        <w:t xml:space="preserve">% in 2010) and </w:t>
      </w:r>
      <w:r w:rsidR="0061308F">
        <w:rPr>
          <w:i/>
        </w:rPr>
        <w:t>w</w:t>
      </w:r>
      <w:r w:rsidRPr="002D38E6">
        <w:rPr>
          <w:i/>
        </w:rPr>
        <w:t>elcome</w:t>
      </w:r>
      <w:r w:rsidR="007A4D8F">
        <w:rPr>
          <w:i/>
        </w:rPr>
        <w:t>/pickup</w:t>
      </w:r>
      <w:r w:rsidRPr="002D38E6">
        <w:t xml:space="preserve"> </w:t>
      </w:r>
      <w:r w:rsidR="00A929C6">
        <w:t>(</w:t>
      </w:r>
      <w:r w:rsidRPr="002D38E6">
        <w:t>86% in 2014</w:t>
      </w:r>
      <w:r w:rsidR="00A929C6">
        <w:t>,</w:t>
      </w:r>
      <w:r w:rsidR="002712AF" w:rsidRPr="002D38E6">
        <w:t xml:space="preserve"> </w:t>
      </w:r>
      <w:r w:rsidR="00090536" w:rsidRPr="002D38E6">
        <w:t>8</w:t>
      </w:r>
      <w:r w:rsidR="00A929C6">
        <w:t>6</w:t>
      </w:r>
      <w:r w:rsidR="002712AF" w:rsidRPr="002D38E6">
        <w:t>% in 2012 and 7</w:t>
      </w:r>
      <w:r w:rsidR="004131D1">
        <w:t>9</w:t>
      </w:r>
      <w:r w:rsidR="002712AF" w:rsidRPr="002D38E6">
        <w:t>% in 2010</w:t>
      </w:r>
      <w:r w:rsidR="00A929C6">
        <w:t>)</w:t>
      </w:r>
      <w:r w:rsidR="002712AF" w:rsidRPr="002D38E6">
        <w:t xml:space="preserve">. The </w:t>
      </w:r>
      <w:proofErr w:type="spellStart"/>
      <w:r w:rsidR="002712AF" w:rsidRPr="002D38E6">
        <w:t>ISB</w:t>
      </w:r>
      <w:proofErr w:type="spellEnd"/>
      <w:r w:rsidR="002712AF" w:rsidRPr="002D38E6">
        <w:t xml:space="preserve"> in these areas was 89% and </w:t>
      </w:r>
      <w:r w:rsidR="002712AF" w:rsidRPr="002D38E6">
        <w:lastRenderedPageBreak/>
        <w:t>84%</w:t>
      </w:r>
      <w:r w:rsidR="00BE67D4">
        <w:t>,</w:t>
      </w:r>
      <w:r w:rsidR="002712AF" w:rsidRPr="002D38E6">
        <w:t xml:space="preserve"> respectively, thus indicating a positive result for Australia. </w:t>
      </w:r>
      <w:r w:rsidR="007B7425" w:rsidRPr="002D38E6">
        <w:t xml:space="preserve">Comparison with the 2010 survey results </w:t>
      </w:r>
      <w:r w:rsidR="006A0147">
        <w:t>is made reservedly</w:t>
      </w:r>
      <w:r w:rsidR="007B7425" w:rsidRPr="002D38E6">
        <w:t xml:space="preserve"> as th</w:t>
      </w:r>
      <w:r w:rsidR="006A0147">
        <w:t>e 2010</w:t>
      </w:r>
      <w:r w:rsidR="007B7425" w:rsidRPr="002D38E6">
        <w:t xml:space="preserve"> survey only incl</w:t>
      </w:r>
      <w:r w:rsidR="006A0147">
        <w:t>uded public sector VET students</w:t>
      </w:r>
      <w:r w:rsidR="004F2A19">
        <w:t xml:space="preserve">. </w:t>
      </w:r>
    </w:p>
    <w:p w:rsidR="00537CE6" w:rsidRPr="002D38E6" w:rsidRDefault="006A0147" w:rsidP="0040764B">
      <w:r>
        <w:t>S</w:t>
      </w:r>
      <w:r w:rsidR="00537CE6" w:rsidRPr="002D38E6">
        <w:t xml:space="preserve">atisfaction levels </w:t>
      </w:r>
      <w:r>
        <w:t>in</w:t>
      </w:r>
      <w:r w:rsidR="00537CE6" w:rsidRPr="002D38E6">
        <w:t xml:space="preserve"> areas such as </w:t>
      </w:r>
      <w:r w:rsidR="00537CE6" w:rsidRPr="002D38E6">
        <w:rPr>
          <w:i/>
        </w:rPr>
        <w:t>meeting staff, finance office</w:t>
      </w:r>
      <w:r w:rsidR="00537CE6" w:rsidRPr="002D38E6">
        <w:t xml:space="preserve"> and </w:t>
      </w:r>
      <w:r w:rsidR="00537CE6" w:rsidRPr="002D38E6">
        <w:rPr>
          <w:i/>
        </w:rPr>
        <w:t xml:space="preserve">registration </w:t>
      </w:r>
      <w:r w:rsidR="00537CE6" w:rsidRPr="006A0147">
        <w:t>all</w:t>
      </w:r>
      <w:r w:rsidR="00537CE6" w:rsidRPr="002D38E6">
        <w:t xml:space="preserve"> scoring 91%</w:t>
      </w:r>
      <w:r w:rsidR="005E2601">
        <w:t xml:space="preserve"> or over</w:t>
      </w:r>
      <w:r w:rsidR="00537CE6" w:rsidRPr="002D38E6">
        <w:t xml:space="preserve"> </w:t>
      </w:r>
      <w:r>
        <w:t>and were on par with</w:t>
      </w:r>
      <w:r w:rsidR="00537CE6" w:rsidRPr="002D38E6">
        <w:t xml:space="preserve"> the</w:t>
      </w:r>
      <w:r w:rsidR="00E15045">
        <w:t xml:space="preserve"> VET</w:t>
      </w:r>
      <w:r w:rsidR="00537CE6" w:rsidRPr="002D38E6">
        <w:t xml:space="preserve"> </w:t>
      </w:r>
      <w:proofErr w:type="spellStart"/>
      <w:r w:rsidR="00537CE6" w:rsidRPr="002D38E6">
        <w:t>ISB</w:t>
      </w:r>
      <w:proofErr w:type="spellEnd"/>
      <w:r w:rsidR="00537CE6" w:rsidRPr="002D38E6">
        <w:t xml:space="preserve"> </w:t>
      </w:r>
      <w:r>
        <w:t xml:space="preserve">benchmark </w:t>
      </w:r>
      <w:r w:rsidR="00537CE6" w:rsidRPr="002D38E6">
        <w:t xml:space="preserve">figures for 2014. </w:t>
      </w:r>
      <w:r>
        <w:t>VET survey respondent</w:t>
      </w:r>
      <w:r w:rsidR="00DE6DE3">
        <w:t xml:space="preserve"> </w:t>
      </w:r>
      <w:r>
        <w:t xml:space="preserve">satisfaction with elements of </w:t>
      </w:r>
      <w:r w:rsidRPr="006A0147">
        <w:rPr>
          <w:i/>
        </w:rPr>
        <w:t>support on arrival</w:t>
      </w:r>
      <w:r>
        <w:t xml:space="preserve"> generally exceed</w:t>
      </w:r>
      <w:r w:rsidR="00DE6DE3">
        <w:t>ed</w:t>
      </w:r>
      <w:r>
        <w:t xml:space="preserve"> the </w:t>
      </w:r>
      <w:proofErr w:type="spellStart"/>
      <w:r>
        <w:t>ISB</w:t>
      </w:r>
      <w:proofErr w:type="spellEnd"/>
      <w:r>
        <w:t xml:space="preserve"> benchmarks. </w:t>
      </w:r>
    </w:p>
    <w:p w:rsidR="00650263" w:rsidRPr="00A7325B" w:rsidRDefault="00AC4921" w:rsidP="0040764B">
      <w:r>
        <w:t xml:space="preserve">In the </w:t>
      </w:r>
      <w:proofErr w:type="spellStart"/>
      <w:r>
        <w:t>ELICOS</w:t>
      </w:r>
      <w:proofErr w:type="spellEnd"/>
      <w:r>
        <w:t xml:space="preserve"> s</w:t>
      </w:r>
      <w:r w:rsidR="00650263" w:rsidRPr="00A7325B">
        <w:t xml:space="preserve">ector the following categories scored above 90% satisfaction from the 2014 respondents, </w:t>
      </w:r>
      <w:r w:rsidR="00650263" w:rsidRPr="00A7325B">
        <w:rPr>
          <w:i/>
        </w:rPr>
        <w:t xml:space="preserve">registration, meeting staff, </w:t>
      </w:r>
      <w:r w:rsidR="0061308F">
        <w:rPr>
          <w:i/>
        </w:rPr>
        <w:t>s</w:t>
      </w:r>
      <w:r w:rsidR="00C7311D" w:rsidRPr="00A7325B">
        <w:rPr>
          <w:i/>
        </w:rPr>
        <w:t xml:space="preserve">chool/centre welcome and orientation, and </w:t>
      </w:r>
      <w:r w:rsidR="005E2601">
        <w:rPr>
          <w:i/>
        </w:rPr>
        <w:t>formal</w:t>
      </w:r>
      <w:r w:rsidR="00C7311D" w:rsidRPr="00A7325B">
        <w:rPr>
          <w:i/>
        </w:rPr>
        <w:t xml:space="preserve"> welcome</w:t>
      </w:r>
      <w:r w:rsidR="00C7311D" w:rsidRPr="00A7325B">
        <w:t xml:space="preserve">. </w:t>
      </w:r>
      <w:r w:rsidR="00B47558" w:rsidRPr="00A7325B">
        <w:t xml:space="preserve">Certainly the </w:t>
      </w:r>
      <w:proofErr w:type="spellStart"/>
      <w:r w:rsidR="00B47558" w:rsidRPr="00A7325B">
        <w:t>ELICOS</w:t>
      </w:r>
      <w:proofErr w:type="spellEnd"/>
      <w:r w:rsidR="00B47558" w:rsidRPr="00A7325B">
        <w:t xml:space="preserve"> sector is smaller than the </w:t>
      </w:r>
      <w:r w:rsidR="00682E9B">
        <w:t>higher education</w:t>
      </w:r>
      <w:r w:rsidR="00B47558" w:rsidRPr="00A7325B">
        <w:t xml:space="preserve"> and VET sector and </w:t>
      </w:r>
      <w:r>
        <w:t xml:space="preserve">may facilitate more </w:t>
      </w:r>
      <w:r w:rsidR="00B47558" w:rsidRPr="00A7325B">
        <w:t xml:space="preserve">contact between providers and students. Satisfaction levels suggest this is the case. </w:t>
      </w:r>
    </w:p>
    <w:p w:rsidR="00A7325B" w:rsidRDefault="00386FCE" w:rsidP="0040764B">
      <w:r w:rsidRPr="002D38E6">
        <w:t xml:space="preserve">The overwhelming majority of respondents in the </w:t>
      </w:r>
      <w:r w:rsidR="00086B4D">
        <w:t>schools</w:t>
      </w:r>
      <w:r w:rsidRPr="002D38E6">
        <w:t xml:space="preserve"> sector who had used arrival support services found the</w:t>
      </w:r>
      <w:r w:rsidR="00A7609D" w:rsidRPr="002D38E6">
        <w:t xml:space="preserve"> services useful or very useful,</w:t>
      </w:r>
      <w:r w:rsidRPr="002D38E6">
        <w:t xml:space="preserve"> including </w:t>
      </w:r>
      <w:r w:rsidR="0061308F">
        <w:rPr>
          <w:i/>
          <w:iCs/>
        </w:rPr>
        <w:t>a</w:t>
      </w:r>
      <w:r w:rsidRPr="002D38E6">
        <w:rPr>
          <w:i/>
          <w:iCs/>
        </w:rPr>
        <w:t>irport pick-up</w:t>
      </w:r>
      <w:r w:rsidRPr="002D38E6">
        <w:t xml:space="preserve"> </w:t>
      </w:r>
      <w:r w:rsidR="00A7609D" w:rsidRPr="002D38E6">
        <w:t xml:space="preserve">93% </w:t>
      </w:r>
      <w:r w:rsidRPr="002D38E6">
        <w:t>(</w:t>
      </w:r>
      <w:r w:rsidR="00AC4921">
        <w:t>down fro</w:t>
      </w:r>
      <w:r w:rsidR="00A7609D" w:rsidRPr="002D38E6">
        <w:t xml:space="preserve">m </w:t>
      </w:r>
      <w:r w:rsidRPr="002D38E6">
        <w:t xml:space="preserve">97% </w:t>
      </w:r>
      <w:r w:rsidR="00A7609D" w:rsidRPr="002D38E6">
        <w:t>in 2012</w:t>
      </w:r>
      <w:r w:rsidRPr="002D38E6">
        <w:t xml:space="preserve">), and </w:t>
      </w:r>
      <w:r w:rsidR="0061308F">
        <w:rPr>
          <w:i/>
          <w:iCs/>
        </w:rPr>
        <w:t>o</w:t>
      </w:r>
      <w:r w:rsidRPr="002D38E6">
        <w:rPr>
          <w:i/>
          <w:iCs/>
        </w:rPr>
        <w:t>rientation program</w:t>
      </w:r>
      <w:r w:rsidR="00A7609D" w:rsidRPr="002D38E6">
        <w:rPr>
          <w:i/>
          <w:iCs/>
        </w:rPr>
        <w:t xml:space="preserve"> </w:t>
      </w:r>
      <w:r w:rsidR="003A678F" w:rsidRPr="002D38E6">
        <w:rPr>
          <w:i/>
          <w:iCs/>
        </w:rPr>
        <w:t>94%</w:t>
      </w:r>
      <w:r w:rsidRPr="002D38E6">
        <w:t xml:space="preserve"> (</w:t>
      </w:r>
      <w:r w:rsidR="003A678F" w:rsidRPr="002D38E6">
        <w:t xml:space="preserve">up from </w:t>
      </w:r>
      <w:r w:rsidRPr="002D38E6">
        <w:t>91%</w:t>
      </w:r>
      <w:r w:rsidR="005A5C27" w:rsidRPr="002D38E6">
        <w:t xml:space="preserve"> in 2012). </w:t>
      </w:r>
    </w:p>
    <w:p w:rsidR="00B47558" w:rsidRDefault="00A7325B" w:rsidP="00862B47">
      <w:r>
        <w:t>However, a</w:t>
      </w:r>
      <w:r w:rsidR="003A678F" w:rsidRPr="002D38E6">
        <w:t>s in previous surveys</w:t>
      </w:r>
      <w:r w:rsidR="00AC4921">
        <w:t>,</w:t>
      </w:r>
      <w:r w:rsidR="003A678F" w:rsidRPr="002D38E6">
        <w:t xml:space="preserve"> many respondents were unaware of </w:t>
      </w:r>
      <w:r w:rsidR="0061308F">
        <w:rPr>
          <w:i/>
        </w:rPr>
        <w:t>a</w:t>
      </w:r>
      <w:r w:rsidR="003A678F" w:rsidRPr="002D38E6">
        <w:rPr>
          <w:i/>
        </w:rPr>
        <w:t>irport pick up services</w:t>
      </w:r>
      <w:r w:rsidR="003A678F" w:rsidRPr="002D38E6">
        <w:t xml:space="preserve"> (</w:t>
      </w:r>
      <w:r w:rsidR="006B337D">
        <w:t>48</w:t>
      </w:r>
      <w:r w:rsidR="003A678F" w:rsidRPr="002D38E6">
        <w:t xml:space="preserve">%) and </w:t>
      </w:r>
      <w:r w:rsidR="0061308F">
        <w:t>o</w:t>
      </w:r>
      <w:r w:rsidR="003A678F" w:rsidRPr="002D38E6">
        <w:rPr>
          <w:i/>
        </w:rPr>
        <w:t>rientation programs</w:t>
      </w:r>
      <w:r w:rsidR="003A678F" w:rsidRPr="002D38E6">
        <w:t xml:space="preserve"> (</w:t>
      </w:r>
      <w:r w:rsidR="006B337D">
        <w:t>51</w:t>
      </w:r>
      <w:r w:rsidR="003A678F" w:rsidRPr="002D38E6">
        <w:t>%)</w:t>
      </w:r>
      <w:r w:rsidR="00B26A74" w:rsidRPr="002D38E6">
        <w:t xml:space="preserve">. </w:t>
      </w:r>
      <w:r w:rsidR="00386FCE" w:rsidRPr="002D38E6">
        <w:t xml:space="preserve">This mirrors a key finding from the </w:t>
      </w:r>
      <w:r w:rsidR="00C623B7" w:rsidRPr="002D38E6">
        <w:t xml:space="preserve">2012 and </w:t>
      </w:r>
      <w:r w:rsidR="00386FCE" w:rsidRPr="002D38E6">
        <w:t xml:space="preserve">2010 survey that although students are generally very satisfied with the support services they receive, large proportions of students were not aware that such support services were available to them. </w:t>
      </w:r>
      <w:r w:rsidR="00862B47">
        <w:t>This finding suggests that more effort is needed to bring these services</w:t>
      </w:r>
      <w:r w:rsidR="00B47558" w:rsidRPr="00A7325B">
        <w:t xml:space="preserve"> to the attention of </w:t>
      </w:r>
      <w:r w:rsidR="00862B47">
        <w:t>international students</w:t>
      </w:r>
      <w:r w:rsidR="00B47558" w:rsidRPr="00A7325B">
        <w:t xml:space="preserve">. </w:t>
      </w:r>
    </w:p>
    <w:p w:rsidR="00862B47" w:rsidRDefault="00862B47" w:rsidP="0043200A">
      <w:pPr>
        <w:spacing w:before="960"/>
        <w:jc w:val="center"/>
        <w:rPr>
          <w:rFonts w:ascii="Calibri" w:eastAsiaTheme="majorEastAsia" w:hAnsi="Calibri" w:cstheme="majorBidi"/>
          <w:b/>
          <w:bCs/>
          <w:sz w:val="28"/>
          <w:szCs w:val="26"/>
        </w:rPr>
      </w:pPr>
      <w:bookmarkStart w:id="51" w:name="_Toc278311560"/>
      <w:r>
        <w:rPr>
          <w:noProof/>
          <w:lang w:eastAsia="en-AU"/>
        </w:rPr>
        <w:drawing>
          <wp:inline distT="0" distB="0" distL="0" distR="0" wp14:anchorId="313FC93E" wp14:editId="771813DB">
            <wp:extent cx="5457825" cy="3638550"/>
            <wp:effectExtent l="0" t="0" r="9525" b="0"/>
            <wp:docPr id="13" name="Picture 13" descr="A happy internatonal female student with her happy 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ark:Downloads:ISS:useful pics:Best pictures:l-Mum and Daughter.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57825" cy="3638550"/>
                    </a:xfrm>
                    <a:prstGeom prst="rect">
                      <a:avLst/>
                    </a:prstGeom>
                    <a:noFill/>
                    <a:ln>
                      <a:noFill/>
                    </a:ln>
                  </pic:spPr>
                </pic:pic>
              </a:graphicData>
            </a:graphic>
          </wp:inline>
        </w:drawing>
      </w:r>
      <w:r>
        <w:br w:type="page"/>
      </w:r>
    </w:p>
    <w:p w:rsidR="00C17AE2" w:rsidRPr="002D38E6" w:rsidRDefault="00386FCE" w:rsidP="0043692A">
      <w:pPr>
        <w:pStyle w:val="Heading2"/>
        <w:keepNext/>
        <w:keepLines/>
      </w:pPr>
      <w:bookmarkStart w:id="52" w:name="_Toc415743334"/>
      <w:bookmarkStart w:id="53" w:name="_Toc417300807"/>
      <w:r w:rsidRPr="002D38E6">
        <w:lastRenderedPageBreak/>
        <w:t>Satisfaction with living in Australia</w:t>
      </w:r>
      <w:bookmarkEnd w:id="51"/>
      <w:bookmarkEnd w:id="52"/>
      <w:bookmarkEnd w:id="53"/>
    </w:p>
    <w:p w:rsidR="00985A58" w:rsidRPr="00CA1BD8" w:rsidRDefault="00CA1BD8" w:rsidP="000E5583">
      <w:pPr>
        <w:pStyle w:val="box"/>
      </w:pPr>
      <w:r>
        <w:t xml:space="preserve">The 2014 survey again demonstrates </w:t>
      </w:r>
      <w:r w:rsidR="00AC4921">
        <w:t>i</w:t>
      </w:r>
      <w:r w:rsidR="00C0701B" w:rsidRPr="002D38E6">
        <w:t xml:space="preserve">nternational students see living in Australia from a very positive perspective. </w:t>
      </w:r>
      <w:r w:rsidR="00FC56D6">
        <w:t>Eighty-nine</w:t>
      </w:r>
      <w:r w:rsidR="00386FCE" w:rsidRPr="002D38E6">
        <w:t xml:space="preserve"> per cent of</w:t>
      </w:r>
      <w:r w:rsidR="007A1E60">
        <w:t xml:space="preserve"> tertiary</w:t>
      </w:r>
      <w:r w:rsidR="00386FCE" w:rsidRPr="002D38E6">
        <w:t xml:space="preserve"> respondents were satisfied or very satisfied with living in Australia. This level of satisfaction was</w:t>
      </w:r>
      <w:r w:rsidR="00985A58" w:rsidRPr="002D38E6">
        <w:t xml:space="preserve"> </w:t>
      </w:r>
      <w:r w:rsidR="000A6C3F" w:rsidRPr="002D38E6">
        <w:t xml:space="preserve">higher than </w:t>
      </w:r>
      <w:r w:rsidR="00985A58" w:rsidRPr="002D38E6">
        <w:t>that reported in 2012</w:t>
      </w:r>
      <w:r w:rsidR="00391269" w:rsidRPr="002D38E6">
        <w:t xml:space="preserve"> (88%)</w:t>
      </w:r>
      <w:r w:rsidR="00985A58" w:rsidRPr="002D38E6">
        <w:t xml:space="preserve"> </w:t>
      </w:r>
      <w:r w:rsidR="000A6C3F" w:rsidRPr="002D38E6">
        <w:t>and</w:t>
      </w:r>
      <w:r w:rsidR="00985A58" w:rsidRPr="002D38E6">
        <w:t xml:space="preserve"> up from the 86% reported in 2010. </w:t>
      </w:r>
    </w:p>
    <w:p w:rsidR="00C17AE2" w:rsidRDefault="00301CEF" w:rsidP="000E5583">
      <w:pPr>
        <w:pStyle w:val="box"/>
      </w:pPr>
      <w:r w:rsidRPr="002D38E6">
        <w:t xml:space="preserve">Satisfaction levels differed between the sectors with </w:t>
      </w:r>
      <w:r w:rsidR="00682E9B">
        <w:t>higher education</w:t>
      </w:r>
      <w:r w:rsidRPr="002D38E6">
        <w:t xml:space="preserve"> reporting 8</w:t>
      </w:r>
      <w:r w:rsidR="00A00C97" w:rsidRPr="002D38E6">
        <w:t>9</w:t>
      </w:r>
      <w:r w:rsidRPr="002D38E6">
        <w:t xml:space="preserve">%, VET reporting 90% and </w:t>
      </w:r>
      <w:proofErr w:type="spellStart"/>
      <w:r w:rsidR="00A00C97" w:rsidRPr="002D38E6">
        <w:t>ELICOS</w:t>
      </w:r>
      <w:proofErr w:type="spellEnd"/>
      <w:r w:rsidR="00A00C97" w:rsidRPr="002D38E6">
        <w:t xml:space="preserve"> also</w:t>
      </w:r>
      <w:r w:rsidR="00F35CAC" w:rsidRPr="002D38E6">
        <w:t xml:space="preserve"> reporting </w:t>
      </w:r>
      <w:r w:rsidR="00391269" w:rsidRPr="002D38E6">
        <w:t>90</w:t>
      </w:r>
      <w:r w:rsidRPr="002D38E6">
        <w:t xml:space="preserve">%. All of these satisfaction levels </w:t>
      </w:r>
      <w:r w:rsidR="004A67D7">
        <w:t>have</w:t>
      </w:r>
      <w:r w:rsidRPr="002D38E6">
        <w:t xml:space="preserve"> increased compared to 2012 where the levels were 88%</w:t>
      </w:r>
      <w:r w:rsidR="005E2601">
        <w:t xml:space="preserve"> for </w:t>
      </w:r>
      <w:r w:rsidR="004A67D7">
        <w:t>higher education</w:t>
      </w:r>
      <w:r w:rsidRPr="002D38E6">
        <w:t>, 89%</w:t>
      </w:r>
      <w:r w:rsidR="005E2601">
        <w:t xml:space="preserve"> for VET</w:t>
      </w:r>
      <w:r w:rsidRPr="002D38E6">
        <w:t xml:space="preserve">, and 89% </w:t>
      </w:r>
      <w:r w:rsidR="005E2601">
        <w:t xml:space="preserve">for </w:t>
      </w:r>
      <w:proofErr w:type="spellStart"/>
      <w:r w:rsidR="005E2601">
        <w:t>ELICOS</w:t>
      </w:r>
      <w:proofErr w:type="spellEnd"/>
      <w:r w:rsidRPr="002D38E6">
        <w:t xml:space="preserve">. Satisfaction also increased from the 2010 </w:t>
      </w:r>
      <w:r w:rsidR="004F1448" w:rsidRPr="002D38E6">
        <w:t xml:space="preserve">survey, which indicated levels of 86% for </w:t>
      </w:r>
      <w:r w:rsidR="00682E9B">
        <w:t>higher education</w:t>
      </w:r>
      <w:r w:rsidR="004F1448" w:rsidRPr="002D38E6">
        <w:t>, 88% for VET</w:t>
      </w:r>
      <w:r w:rsidR="005046E1">
        <w:t xml:space="preserve"> (public </w:t>
      </w:r>
      <w:r w:rsidR="003379D2">
        <w:t xml:space="preserve">VET </w:t>
      </w:r>
      <w:r w:rsidR="005046E1">
        <w:t>only)</w:t>
      </w:r>
      <w:r w:rsidR="004F1448" w:rsidRPr="002D38E6">
        <w:t>,</w:t>
      </w:r>
      <w:r w:rsidRPr="002D38E6">
        <w:t xml:space="preserve"> and 86% for </w:t>
      </w:r>
      <w:proofErr w:type="spellStart"/>
      <w:r w:rsidRPr="002D38E6">
        <w:t>ELICOS</w:t>
      </w:r>
      <w:proofErr w:type="spellEnd"/>
      <w:r w:rsidR="00070567">
        <w:t>.</w:t>
      </w:r>
    </w:p>
    <w:p w:rsidR="004B65F8" w:rsidRPr="002D38E6" w:rsidRDefault="004B65F8" w:rsidP="000E5583">
      <w:pPr>
        <w:pStyle w:val="box"/>
      </w:pPr>
      <w:r>
        <w:t xml:space="preserve">However, the same categories, </w:t>
      </w:r>
      <w:r w:rsidRPr="008B3865">
        <w:rPr>
          <w:i/>
        </w:rPr>
        <w:t xml:space="preserve">cost of accommodation </w:t>
      </w:r>
      <w:r w:rsidRPr="00922DEB">
        <w:t>and</w:t>
      </w:r>
      <w:r w:rsidRPr="008B3865">
        <w:rPr>
          <w:i/>
        </w:rPr>
        <w:t xml:space="preserve"> earning money</w:t>
      </w:r>
      <w:r w:rsidR="00AC4921" w:rsidRPr="00AC4921">
        <w:t>,</w:t>
      </w:r>
      <w:r>
        <w:t xml:space="preserve"> continue to indicate lower satisfaction levels. </w:t>
      </w:r>
      <w:r w:rsidR="008B3865" w:rsidRPr="008B3865">
        <w:rPr>
          <w:i/>
        </w:rPr>
        <w:t xml:space="preserve">Accommodation costs, living costs, earning money, </w:t>
      </w:r>
      <w:r w:rsidR="008B3865" w:rsidRPr="00922DEB">
        <w:t xml:space="preserve">and </w:t>
      </w:r>
      <w:r w:rsidR="008B3865" w:rsidRPr="008B3865">
        <w:rPr>
          <w:i/>
        </w:rPr>
        <w:t>financial support</w:t>
      </w:r>
      <w:r w:rsidR="008B3865" w:rsidRPr="008B3865">
        <w:t xml:space="preserve"> all scored lower satisfaction levels across the sectors with a ra</w:t>
      </w:r>
      <w:r w:rsidR="00BE45C0">
        <w:t>nge of mid 60% to as low as 49%</w:t>
      </w:r>
      <w:r>
        <w:t>.</w:t>
      </w:r>
    </w:p>
    <w:p w:rsidR="00ED5B0A" w:rsidRPr="002D38E6" w:rsidRDefault="000C0985" w:rsidP="0040764B">
      <w:r w:rsidRPr="002D38E6">
        <w:t xml:space="preserve">In the </w:t>
      </w:r>
      <w:r w:rsidR="00682E9B">
        <w:t>higher education</w:t>
      </w:r>
      <w:r w:rsidRPr="002D38E6">
        <w:t xml:space="preserve"> sector, the overall satisfaction levels closely aligned with those recorded by participants in the </w:t>
      </w:r>
      <w:proofErr w:type="spellStart"/>
      <w:r w:rsidRPr="002D38E6">
        <w:t>ISB</w:t>
      </w:r>
      <w:proofErr w:type="spellEnd"/>
      <w:r w:rsidRPr="002D38E6">
        <w:t xml:space="preserve"> (8</w:t>
      </w:r>
      <w:r w:rsidR="001835A5" w:rsidRPr="002D38E6">
        <w:t>8</w:t>
      </w:r>
      <w:r w:rsidRPr="002D38E6">
        <w:t xml:space="preserve">%). For Australia, </w:t>
      </w:r>
      <w:r w:rsidR="00C0701B" w:rsidRPr="002D38E6">
        <w:t xml:space="preserve">aspects such as </w:t>
      </w:r>
      <w:r w:rsidRPr="002D38E6">
        <w:rPr>
          <w:i/>
        </w:rPr>
        <w:t>campus environment, good place to be, eco</w:t>
      </w:r>
      <w:r w:rsidR="00EE162D">
        <w:rPr>
          <w:i/>
        </w:rPr>
        <w:t>-</w:t>
      </w:r>
      <w:r w:rsidRPr="002D38E6">
        <w:rPr>
          <w:i/>
        </w:rPr>
        <w:t>friendly attitude</w:t>
      </w:r>
      <w:r w:rsidRPr="00342010">
        <w:t xml:space="preserve"> and</w:t>
      </w:r>
      <w:r w:rsidRPr="002D38E6">
        <w:rPr>
          <w:i/>
        </w:rPr>
        <w:t xml:space="preserve"> safety </w:t>
      </w:r>
      <w:r w:rsidRPr="002D38E6">
        <w:t xml:space="preserve">all scored above 90% satisfaction. </w:t>
      </w:r>
    </w:p>
    <w:p w:rsidR="008B3865" w:rsidRDefault="00862B47" w:rsidP="00BE45C0">
      <w:pPr>
        <w:spacing w:after="360"/>
      </w:pPr>
      <w:r>
        <w:t xml:space="preserve">Satisfaction with </w:t>
      </w:r>
      <w:r w:rsidRPr="00862B47">
        <w:rPr>
          <w:i/>
        </w:rPr>
        <w:t>l</w:t>
      </w:r>
      <w:r>
        <w:rPr>
          <w:i/>
        </w:rPr>
        <w:t>iving cost</w:t>
      </w:r>
      <w:r w:rsidR="000C0985" w:rsidRPr="004B65F8">
        <w:rPr>
          <w:i/>
        </w:rPr>
        <w:t xml:space="preserve"> </w:t>
      </w:r>
      <w:r w:rsidR="000C0985" w:rsidRPr="00922DEB">
        <w:t xml:space="preserve">and </w:t>
      </w:r>
      <w:r w:rsidR="000C0985" w:rsidRPr="004B65F8">
        <w:rPr>
          <w:i/>
        </w:rPr>
        <w:t>accommodation cost</w:t>
      </w:r>
      <w:r w:rsidR="000C0985" w:rsidRPr="002D38E6">
        <w:t xml:space="preserve"> w</w:t>
      </w:r>
      <w:r w:rsidR="008B3865">
        <w:t>ere</w:t>
      </w:r>
      <w:r w:rsidR="000C0985" w:rsidRPr="002D38E6">
        <w:t xml:space="preserve"> </w:t>
      </w:r>
      <w:r w:rsidR="00A00C97" w:rsidRPr="002D38E6">
        <w:t>down</w:t>
      </w:r>
      <w:r w:rsidR="000C0985" w:rsidRPr="002D38E6">
        <w:t xml:space="preserve"> from the 2012 survey, </w:t>
      </w:r>
      <w:r w:rsidR="00ED5B0A" w:rsidRPr="002D38E6">
        <w:t xml:space="preserve">where it was rated at 51% for both </w:t>
      </w:r>
      <w:r w:rsidR="00A00C97" w:rsidRPr="002D38E6">
        <w:t xml:space="preserve">categories; in 2014 it scored </w:t>
      </w:r>
      <w:r w:rsidR="005B1BE7">
        <w:t xml:space="preserve">50% and </w:t>
      </w:r>
      <w:r w:rsidR="00A00C97" w:rsidRPr="002D38E6">
        <w:t>49%</w:t>
      </w:r>
      <w:r w:rsidR="005B1BE7">
        <w:t>, respectively</w:t>
      </w:r>
      <w:r w:rsidR="00A00C97" w:rsidRPr="002D38E6">
        <w:t>.</w:t>
      </w:r>
      <w:r w:rsidR="00C0701B" w:rsidRPr="002D38E6">
        <w:t xml:space="preserve"> </w:t>
      </w:r>
      <w:r w:rsidR="00ED5B0A" w:rsidRPr="002D38E6">
        <w:t xml:space="preserve">The 2010 survey rated </w:t>
      </w:r>
      <w:r w:rsidR="00A00C97" w:rsidRPr="002D38E6">
        <w:t xml:space="preserve">satisfaction of </w:t>
      </w:r>
      <w:r w:rsidR="00ED5B0A" w:rsidRPr="00922DEB">
        <w:rPr>
          <w:i/>
        </w:rPr>
        <w:t>living costs</w:t>
      </w:r>
      <w:r w:rsidR="00ED5B0A" w:rsidRPr="002D38E6">
        <w:t xml:space="preserve"> at 61%</w:t>
      </w:r>
      <w:r w:rsidR="00C0701B" w:rsidRPr="002D38E6">
        <w:t xml:space="preserve"> and </w:t>
      </w:r>
      <w:r w:rsidR="00C0701B" w:rsidRPr="00922DEB">
        <w:rPr>
          <w:i/>
        </w:rPr>
        <w:t>accommodation costs</w:t>
      </w:r>
      <w:r w:rsidR="00C0701B" w:rsidRPr="002D38E6">
        <w:t xml:space="preserve"> at 60%</w:t>
      </w:r>
      <w:r w:rsidR="00ED5B0A" w:rsidRPr="002D38E6">
        <w:t xml:space="preserve">. </w:t>
      </w:r>
      <w:r w:rsidR="00C0701B" w:rsidRPr="00010C5B">
        <w:t>These satisfaction levels could be reflective of the cost of living in Australia compared with home count</w:t>
      </w:r>
      <w:r w:rsidR="008B3865">
        <w:t xml:space="preserve">ries for </w:t>
      </w:r>
      <w:r w:rsidR="0026164A">
        <w:t>i</w:t>
      </w:r>
      <w:r w:rsidR="008B3865">
        <w:t xml:space="preserve">nternational students. </w:t>
      </w:r>
      <w:r w:rsidR="00235137" w:rsidRPr="00010C5B">
        <w:t xml:space="preserve">When the information regarding where students </w:t>
      </w:r>
      <w:r w:rsidR="00010C5B" w:rsidRPr="00010C5B">
        <w:t xml:space="preserve">reside is broken down, </w:t>
      </w:r>
      <w:r w:rsidR="00235137" w:rsidRPr="00010C5B">
        <w:t xml:space="preserve">in all categories over </w:t>
      </w:r>
      <w:r w:rsidR="005E2601">
        <w:t>47</w:t>
      </w:r>
      <w:r w:rsidR="00235137" w:rsidRPr="00010C5B">
        <w:t xml:space="preserve">% of international students are living in private accommodation. </w:t>
      </w:r>
    </w:p>
    <w:p w:rsidR="00AC4921" w:rsidRDefault="00680B9D" w:rsidP="00BE45C0">
      <w:pPr>
        <w:spacing w:after="0"/>
        <w:jc w:val="center"/>
      </w:pPr>
      <w:r>
        <w:rPr>
          <w:rFonts w:ascii="Arial" w:hAnsi="Arial" w:cs="Arial"/>
          <w:noProof/>
          <w:color w:val="FF0000"/>
          <w:spacing w:val="5"/>
          <w:kern w:val="1"/>
          <w:sz w:val="18"/>
          <w:szCs w:val="18"/>
          <w:lang w:eastAsia="en-AU"/>
        </w:rPr>
        <w:drawing>
          <wp:inline distT="0" distB="0" distL="0" distR="0" wp14:anchorId="71BEAB92" wp14:editId="3AC8F959">
            <wp:extent cx="4851800" cy="3086100"/>
            <wp:effectExtent l="0" t="0" r="6350" b="0"/>
            <wp:docPr id="14" name="Picture 14" descr="Six international students of different nationalities interacting casually with each other outside study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ark:Downloads:ISS:useful pics:Best pictures:l-older student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51800" cy="3086100"/>
                    </a:xfrm>
                    <a:prstGeom prst="rect">
                      <a:avLst/>
                    </a:prstGeom>
                    <a:noFill/>
                    <a:ln>
                      <a:noFill/>
                    </a:ln>
                  </pic:spPr>
                </pic:pic>
              </a:graphicData>
            </a:graphic>
          </wp:inline>
        </w:drawing>
      </w:r>
      <w:r w:rsidR="00AC4921">
        <w:br w:type="page"/>
      </w:r>
    </w:p>
    <w:p w:rsidR="000C0985" w:rsidRDefault="004D05F4" w:rsidP="0040764B">
      <w:r w:rsidRPr="00F26C50">
        <w:lastRenderedPageBreak/>
        <w:t>Table</w:t>
      </w:r>
      <w:r w:rsidR="008449ED">
        <w:t>s</w:t>
      </w:r>
      <w:r w:rsidRPr="00F26C50">
        <w:t xml:space="preserve"> </w:t>
      </w:r>
      <w:r w:rsidR="005E079C">
        <w:t>2</w:t>
      </w:r>
      <w:r w:rsidR="008449ED">
        <w:t xml:space="preserve"> and 3</w:t>
      </w:r>
      <w:r>
        <w:t xml:space="preserve"> outline where international students live as reported in the 2014 survey.</w:t>
      </w:r>
    </w:p>
    <w:p w:rsidR="00F26C50" w:rsidRPr="00B8404B" w:rsidRDefault="0074542C" w:rsidP="00E02725">
      <w:pPr>
        <w:pStyle w:val="Caption"/>
      </w:pPr>
      <w:bookmarkStart w:id="54" w:name="_Toc417300813"/>
      <w:r>
        <w:t>Table</w:t>
      </w:r>
      <w:r w:rsidR="00D646F9">
        <w:t xml:space="preserve"> </w:t>
      </w:r>
      <w:r w:rsidR="00D646F9">
        <w:rPr>
          <w:noProof/>
        </w:rPr>
        <w:fldChar w:fldCharType="begin"/>
      </w:r>
      <w:r w:rsidR="00D646F9">
        <w:rPr>
          <w:noProof/>
        </w:rPr>
        <w:instrText xml:space="preserve"> SEQ Table \* ARABIC </w:instrText>
      </w:r>
      <w:r w:rsidR="00D646F9">
        <w:rPr>
          <w:noProof/>
        </w:rPr>
        <w:fldChar w:fldCharType="separate"/>
      </w:r>
      <w:r w:rsidR="00153FC1">
        <w:rPr>
          <w:noProof/>
        </w:rPr>
        <w:t>2</w:t>
      </w:r>
      <w:r w:rsidR="00D646F9">
        <w:rPr>
          <w:noProof/>
        </w:rPr>
        <w:fldChar w:fldCharType="end"/>
      </w:r>
      <w:r>
        <w:t xml:space="preserve">: </w:t>
      </w:r>
      <w:r w:rsidR="00BE71E3">
        <w:t xml:space="preserve">Tertiary </w:t>
      </w:r>
      <w:r w:rsidR="00057AAA">
        <w:t>Respondents</w:t>
      </w:r>
      <w:r w:rsidR="00785D7E" w:rsidRPr="00785D7E">
        <w:t xml:space="preserve"> Accommodation Choices</w:t>
      </w:r>
      <w:bookmarkEnd w:id="54"/>
    </w:p>
    <w:tbl>
      <w:tblPr>
        <w:tblStyle w:val="MediumShading1-Accent2"/>
        <w:tblW w:w="5000" w:type="pct"/>
        <w:tblLook w:val="0620" w:firstRow="1" w:lastRow="0" w:firstColumn="0" w:lastColumn="0" w:noHBand="1" w:noVBand="1"/>
        <w:tblCaption w:val="Table 2: Tertiary Respondents Accommodation Choices"/>
        <w:tblDescription w:val="The table shows Percentage of respondents from each sector ( higher education, VET and ELICOS) who have used various types of accommodations e.g. Friends or relatives, Private halls or student hostel, Private rented house/flat/room, staying with host family, student house or flat controlled by university, university or college halls of residence and other.  "/>
      </w:tblPr>
      <w:tblGrid>
        <w:gridCol w:w="4460"/>
        <w:gridCol w:w="1274"/>
        <w:gridCol w:w="1129"/>
        <w:gridCol w:w="1041"/>
        <w:gridCol w:w="1338"/>
      </w:tblGrid>
      <w:tr w:rsidR="00BE71E3" w:rsidTr="00186C02">
        <w:trPr>
          <w:cnfStyle w:val="100000000000" w:firstRow="1" w:lastRow="0" w:firstColumn="0" w:lastColumn="0" w:oddVBand="0" w:evenVBand="0" w:oddHBand="0" w:evenHBand="0" w:firstRowFirstColumn="0" w:firstRowLastColumn="0" w:lastRowFirstColumn="0" w:lastRowLastColumn="0"/>
          <w:cantSplit/>
          <w:trHeight w:val="567"/>
          <w:tblHeader/>
        </w:trPr>
        <w:tc>
          <w:tcPr>
            <w:tcW w:w="2413" w:type="pct"/>
          </w:tcPr>
          <w:p w:rsidR="00BE71E3" w:rsidRPr="00AD7FF8" w:rsidRDefault="00BE71E3" w:rsidP="00D72D0F">
            <w:pPr>
              <w:keepNext/>
              <w:keepLines/>
              <w:rPr>
                <w:b w:val="0"/>
                <w:color w:val="FFFFFF" w:themeColor="background2"/>
                <w:sz w:val="24"/>
                <w:szCs w:val="24"/>
              </w:rPr>
            </w:pPr>
            <w:r w:rsidRPr="00161C06">
              <w:rPr>
                <w:color w:val="FFFFFF" w:themeColor="background2"/>
                <w:sz w:val="24"/>
                <w:szCs w:val="24"/>
              </w:rPr>
              <w:t>Accommodation</w:t>
            </w:r>
          </w:p>
        </w:tc>
        <w:tc>
          <w:tcPr>
            <w:tcW w:w="689" w:type="pct"/>
          </w:tcPr>
          <w:p w:rsidR="00BE71E3" w:rsidRPr="00AD7FF8" w:rsidRDefault="00BE71E3" w:rsidP="00342010">
            <w:pPr>
              <w:keepNext/>
              <w:keepLines/>
              <w:jc w:val="center"/>
              <w:rPr>
                <w:b w:val="0"/>
                <w:color w:val="FFFFFF" w:themeColor="background2"/>
                <w:sz w:val="24"/>
                <w:szCs w:val="24"/>
              </w:rPr>
            </w:pPr>
            <w:r w:rsidRPr="00161C06">
              <w:rPr>
                <w:color w:val="FFFFFF" w:themeColor="background2"/>
                <w:sz w:val="24"/>
                <w:szCs w:val="24"/>
              </w:rPr>
              <w:t>Higher</w:t>
            </w:r>
          </w:p>
          <w:p w:rsidR="00BE71E3" w:rsidRPr="00AD7FF8" w:rsidRDefault="00BE71E3" w:rsidP="00342010">
            <w:pPr>
              <w:keepNext/>
              <w:keepLines/>
              <w:jc w:val="center"/>
              <w:rPr>
                <w:b w:val="0"/>
                <w:color w:val="FFFFFF" w:themeColor="background2"/>
                <w:sz w:val="24"/>
                <w:szCs w:val="24"/>
              </w:rPr>
            </w:pPr>
            <w:r w:rsidRPr="00161C06">
              <w:rPr>
                <w:color w:val="FFFFFF" w:themeColor="background2"/>
                <w:sz w:val="24"/>
                <w:szCs w:val="24"/>
              </w:rPr>
              <w:t>education</w:t>
            </w:r>
          </w:p>
        </w:tc>
        <w:tc>
          <w:tcPr>
            <w:tcW w:w="611" w:type="pct"/>
          </w:tcPr>
          <w:p w:rsidR="00BE71E3" w:rsidRPr="00AD7FF8" w:rsidRDefault="00BE71E3" w:rsidP="00342010">
            <w:pPr>
              <w:keepNext/>
              <w:keepLines/>
              <w:jc w:val="center"/>
              <w:rPr>
                <w:b w:val="0"/>
                <w:color w:val="FFFFFF" w:themeColor="background2"/>
                <w:sz w:val="24"/>
                <w:szCs w:val="24"/>
              </w:rPr>
            </w:pPr>
            <w:r w:rsidRPr="00161C06">
              <w:rPr>
                <w:color w:val="FFFFFF" w:themeColor="background2"/>
                <w:sz w:val="24"/>
                <w:szCs w:val="24"/>
              </w:rPr>
              <w:t>VET</w:t>
            </w:r>
          </w:p>
        </w:tc>
        <w:tc>
          <w:tcPr>
            <w:tcW w:w="563" w:type="pct"/>
          </w:tcPr>
          <w:p w:rsidR="00BE71E3" w:rsidRPr="00AD7FF8" w:rsidRDefault="00BE71E3" w:rsidP="00342010">
            <w:pPr>
              <w:keepNext/>
              <w:keepLines/>
              <w:jc w:val="center"/>
              <w:rPr>
                <w:b w:val="0"/>
                <w:color w:val="FFFFFF" w:themeColor="background2"/>
                <w:sz w:val="24"/>
                <w:szCs w:val="24"/>
              </w:rPr>
            </w:pPr>
            <w:proofErr w:type="spellStart"/>
            <w:r w:rsidRPr="00161C06">
              <w:rPr>
                <w:color w:val="FFFFFF" w:themeColor="background2"/>
                <w:sz w:val="24"/>
                <w:szCs w:val="24"/>
              </w:rPr>
              <w:t>ELICOS</w:t>
            </w:r>
            <w:proofErr w:type="spellEnd"/>
          </w:p>
        </w:tc>
        <w:tc>
          <w:tcPr>
            <w:tcW w:w="724" w:type="pct"/>
          </w:tcPr>
          <w:p w:rsidR="00BE71E3" w:rsidRPr="00161C06" w:rsidRDefault="00BE71E3" w:rsidP="00342010">
            <w:pPr>
              <w:keepNext/>
              <w:keepLines/>
              <w:spacing w:before="140"/>
              <w:jc w:val="center"/>
              <w:rPr>
                <w:color w:val="FFFFFF" w:themeColor="background2"/>
                <w:sz w:val="24"/>
                <w:szCs w:val="24"/>
              </w:rPr>
            </w:pPr>
            <w:r w:rsidRPr="00161C06">
              <w:rPr>
                <w:color w:val="FFFFFF" w:themeColor="background2"/>
                <w:sz w:val="24"/>
                <w:szCs w:val="24"/>
              </w:rPr>
              <w:t>Total</w:t>
            </w:r>
            <w:r w:rsidR="00BC0C75" w:rsidRPr="00161C06">
              <w:rPr>
                <w:color w:val="FFFFFF" w:themeColor="background2"/>
                <w:sz w:val="24"/>
                <w:szCs w:val="24"/>
              </w:rPr>
              <w:t xml:space="preserve"> tertiary</w:t>
            </w:r>
          </w:p>
        </w:tc>
      </w:tr>
      <w:tr w:rsidR="00BE71E3" w:rsidTr="00186C02">
        <w:trPr>
          <w:trHeight w:val="567"/>
        </w:trPr>
        <w:tc>
          <w:tcPr>
            <w:tcW w:w="2413" w:type="pct"/>
          </w:tcPr>
          <w:p w:rsidR="00BE71E3" w:rsidRPr="004A67D7" w:rsidRDefault="00BE71E3" w:rsidP="00D72D0F">
            <w:pPr>
              <w:keepNext/>
              <w:keepLines/>
              <w:rPr>
                <w:b/>
              </w:rPr>
            </w:pPr>
            <w:r w:rsidRPr="004A67D7">
              <w:rPr>
                <w:b/>
              </w:rPr>
              <w:t>Friends or relative</w:t>
            </w:r>
          </w:p>
        </w:tc>
        <w:tc>
          <w:tcPr>
            <w:tcW w:w="689" w:type="pct"/>
          </w:tcPr>
          <w:p w:rsidR="00BE71E3" w:rsidRDefault="00BE71E3" w:rsidP="00342010">
            <w:pPr>
              <w:keepNext/>
              <w:keepLines/>
              <w:jc w:val="center"/>
            </w:pPr>
            <w:r>
              <w:t>20%</w:t>
            </w:r>
          </w:p>
        </w:tc>
        <w:tc>
          <w:tcPr>
            <w:tcW w:w="611" w:type="pct"/>
          </w:tcPr>
          <w:p w:rsidR="00BE71E3" w:rsidRDefault="00BE71E3" w:rsidP="00342010">
            <w:pPr>
              <w:keepNext/>
              <w:keepLines/>
              <w:jc w:val="center"/>
            </w:pPr>
            <w:r>
              <w:t>33%</w:t>
            </w:r>
          </w:p>
        </w:tc>
        <w:tc>
          <w:tcPr>
            <w:tcW w:w="563" w:type="pct"/>
          </w:tcPr>
          <w:p w:rsidR="00BE71E3" w:rsidRDefault="00BE71E3" w:rsidP="00342010">
            <w:pPr>
              <w:keepNext/>
              <w:keepLines/>
              <w:jc w:val="center"/>
            </w:pPr>
            <w:r>
              <w:t>18%</w:t>
            </w:r>
          </w:p>
        </w:tc>
        <w:tc>
          <w:tcPr>
            <w:tcW w:w="724" w:type="pct"/>
          </w:tcPr>
          <w:p w:rsidR="00BE71E3" w:rsidRDefault="00BE71E3" w:rsidP="00342010">
            <w:pPr>
              <w:keepNext/>
              <w:keepLines/>
              <w:spacing w:before="140"/>
              <w:jc w:val="center"/>
            </w:pPr>
            <w:r>
              <w:t>21%</w:t>
            </w:r>
          </w:p>
        </w:tc>
      </w:tr>
      <w:tr w:rsidR="00BE71E3" w:rsidTr="00186C02">
        <w:trPr>
          <w:trHeight w:val="567"/>
        </w:trPr>
        <w:tc>
          <w:tcPr>
            <w:tcW w:w="2413" w:type="pct"/>
          </w:tcPr>
          <w:p w:rsidR="00BE71E3" w:rsidRPr="004A67D7" w:rsidRDefault="00BE71E3" w:rsidP="00BC0C75">
            <w:pPr>
              <w:keepNext/>
              <w:keepLines/>
              <w:rPr>
                <w:b/>
              </w:rPr>
            </w:pPr>
            <w:r w:rsidRPr="004A67D7">
              <w:rPr>
                <w:b/>
              </w:rPr>
              <w:t>Private halls or student hostel</w:t>
            </w:r>
          </w:p>
        </w:tc>
        <w:tc>
          <w:tcPr>
            <w:tcW w:w="689" w:type="pct"/>
          </w:tcPr>
          <w:p w:rsidR="00BE71E3" w:rsidRDefault="00BE71E3" w:rsidP="00342010">
            <w:pPr>
              <w:keepNext/>
              <w:keepLines/>
              <w:jc w:val="center"/>
            </w:pPr>
            <w:r>
              <w:t>4%</w:t>
            </w:r>
          </w:p>
        </w:tc>
        <w:tc>
          <w:tcPr>
            <w:tcW w:w="611" w:type="pct"/>
          </w:tcPr>
          <w:p w:rsidR="00BE71E3" w:rsidRDefault="00BE71E3" w:rsidP="00342010">
            <w:pPr>
              <w:keepNext/>
              <w:keepLines/>
              <w:jc w:val="center"/>
            </w:pPr>
            <w:r>
              <w:t>1%</w:t>
            </w:r>
          </w:p>
        </w:tc>
        <w:tc>
          <w:tcPr>
            <w:tcW w:w="563" w:type="pct"/>
          </w:tcPr>
          <w:p w:rsidR="00BE71E3" w:rsidRDefault="00BE71E3" w:rsidP="00342010">
            <w:pPr>
              <w:keepNext/>
              <w:keepLines/>
              <w:jc w:val="center"/>
            </w:pPr>
            <w:r>
              <w:t>3%</w:t>
            </w:r>
          </w:p>
        </w:tc>
        <w:tc>
          <w:tcPr>
            <w:tcW w:w="724" w:type="pct"/>
          </w:tcPr>
          <w:p w:rsidR="00BE71E3" w:rsidRDefault="00BE71E3" w:rsidP="00342010">
            <w:pPr>
              <w:keepNext/>
              <w:keepLines/>
              <w:jc w:val="center"/>
            </w:pPr>
            <w:r>
              <w:t>3%</w:t>
            </w:r>
          </w:p>
        </w:tc>
      </w:tr>
      <w:tr w:rsidR="00BE71E3" w:rsidTr="00186C02">
        <w:trPr>
          <w:trHeight w:val="567"/>
        </w:trPr>
        <w:tc>
          <w:tcPr>
            <w:tcW w:w="2413" w:type="pct"/>
            <w:shd w:val="clear" w:color="auto" w:fill="DEFCFF"/>
          </w:tcPr>
          <w:p w:rsidR="00BE71E3" w:rsidRPr="004A67D7" w:rsidRDefault="00BE71E3" w:rsidP="00D72D0F">
            <w:pPr>
              <w:keepNext/>
              <w:keepLines/>
              <w:rPr>
                <w:b/>
              </w:rPr>
            </w:pPr>
            <w:r w:rsidRPr="004A67D7">
              <w:rPr>
                <w:b/>
              </w:rPr>
              <w:t>Private rented house/flat/room</w:t>
            </w:r>
          </w:p>
        </w:tc>
        <w:tc>
          <w:tcPr>
            <w:tcW w:w="689" w:type="pct"/>
            <w:shd w:val="clear" w:color="auto" w:fill="DEFCFF"/>
          </w:tcPr>
          <w:p w:rsidR="00BE71E3" w:rsidRPr="00FD1B56" w:rsidRDefault="00BE71E3" w:rsidP="00342010">
            <w:pPr>
              <w:keepNext/>
              <w:keepLines/>
              <w:jc w:val="center"/>
            </w:pPr>
            <w:r w:rsidRPr="00FD1B56">
              <w:t>5</w:t>
            </w:r>
            <w:r>
              <w:t>5</w:t>
            </w:r>
            <w:r w:rsidRPr="00FD1B56">
              <w:t>%</w:t>
            </w:r>
          </w:p>
        </w:tc>
        <w:tc>
          <w:tcPr>
            <w:tcW w:w="611" w:type="pct"/>
            <w:shd w:val="clear" w:color="auto" w:fill="DEFCFF"/>
          </w:tcPr>
          <w:p w:rsidR="00BE71E3" w:rsidRPr="00FD1B56" w:rsidRDefault="00BE71E3" w:rsidP="00342010">
            <w:pPr>
              <w:keepNext/>
              <w:keepLines/>
              <w:jc w:val="center"/>
            </w:pPr>
            <w:r w:rsidRPr="00FD1B56">
              <w:t>4</w:t>
            </w:r>
            <w:r>
              <w:t>7</w:t>
            </w:r>
            <w:r w:rsidRPr="00FD1B56">
              <w:t>%</w:t>
            </w:r>
          </w:p>
        </w:tc>
        <w:tc>
          <w:tcPr>
            <w:tcW w:w="563" w:type="pct"/>
            <w:shd w:val="clear" w:color="auto" w:fill="DEFCFF"/>
          </w:tcPr>
          <w:p w:rsidR="00BE71E3" w:rsidRDefault="00BE71E3" w:rsidP="00342010">
            <w:pPr>
              <w:keepNext/>
              <w:keepLines/>
              <w:jc w:val="center"/>
            </w:pPr>
            <w:r w:rsidRPr="00FD1B56">
              <w:t>51%</w:t>
            </w:r>
          </w:p>
        </w:tc>
        <w:tc>
          <w:tcPr>
            <w:tcW w:w="724" w:type="pct"/>
            <w:shd w:val="clear" w:color="auto" w:fill="DEFCFF"/>
          </w:tcPr>
          <w:p w:rsidR="00BE71E3" w:rsidRPr="00FD1B56" w:rsidRDefault="00BE71E3" w:rsidP="00342010">
            <w:pPr>
              <w:keepNext/>
              <w:keepLines/>
              <w:jc w:val="center"/>
            </w:pPr>
            <w:r>
              <w:t>53%</w:t>
            </w:r>
          </w:p>
        </w:tc>
      </w:tr>
      <w:tr w:rsidR="00BE71E3" w:rsidTr="00186C02">
        <w:trPr>
          <w:trHeight w:val="567"/>
        </w:trPr>
        <w:tc>
          <w:tcPr>
            <w:tcW w:w="2413" w:type="pct"/>
          </w:tcPr>
          <w:p w:rsidR="00BE71E3" w:rsidRPr="004A67D7" w:rsidRDefault="00BE71E3" w:rsidP="00D72D0F">
            <w:pPr>
              <w:keepNext/>
              <w:keepLines/>
              <w:rPr>
                <w:b/>
              </w:rPr>
            </w:pPr>
            <w:r w:rsidRPr="004A67D7">
              <w:rPr>
                <w:b/>
              </w:rPr>
              <w:t>Staying with host family</w:t>
            </w:r>
          </w:p>
        </w:tc>
        <w:tc>
          <w:tcPr>
            <w:tcW w:w="689" w:type="pct"/>
          </w:tcPr>
          <w:p w:rsidR="00BE71E3" w:rsidRDefault="00BE71E3" w:rsidP="00342010">
            <w:pPr>
              <w:keepNext/>
              <w:keepLines/>
              <w:jc w:val="center"/>
            </w:pPr>
            <w:r>
              <w:t>4%</w:t>
            </w:r>
          </w:p>
        </w:tc>
        <w:tc>
          <w:tcPr>
            <w:tcW w:w="611" w:type="pct"/>
          </w:tcPr>
          <w:p w:rsidR="00BE71E3" w:rsidRDefault="00BE71E3" w:rsidP="00342010">
            <w:pPr>
              <w:keepNext/>
              <w:keepLines/>
              <w:jc w:val="center"/>
            </w:pPr>
            <w:r>
              <w:t>10%</w:t>
            </w:r>
          </w:p>
        </w:tc>
        <w:tc>
          <w:tcPr>
            <w:tcW w:w="563" w:type="pct"/>
          </w:tcPr>
          <w:p w:rsidR="00BE71E3" w:rsidRDefault="00BE71E3" w:rsidP="00342010">
            <w:pPr>
              <w:keepNext/>
              <w:keepLines/>
              <w:jc w:val="center"/>
            </w:pPr>
            <w:r>
              <w:t>21%</w:t>
            </w:r>
          </w:p>
        </w:tc>
        <w:tc>
          <w:tcPr>
            <w:tcW w:w="724" w:type="pct"/>
          </w:tcPr>
          <w:p w:rsidR="00BE71E3" w:rsidRDefault="00BE71E3" w:rsidP="00342010">
            <w:pPr>
              <w:keepNext/>
              <w:keepLines/>
              <w:jc w:val="center"/>
            </w:pPr>
            <w:r>
              <w:t>8%</w:t>
            </w:r>
          </w:p>
        </w:tc>
      </w:tr>
      <w:tr w:rsidR="00BE71E3" w:rsidTr="00186C02">
        <w:trPr>
          <w:trHeight w:val="567"/>
        </w:trPr>
        <w:tc>
          <w:tcPr>
            <w:tcW w:w="2413" w:type="pct"/>
          </w:tcPr>
          <w:p w:rsidR="00BE71E3" w:rsidRPr="004A67D7" w:rsidRDefault="00BE71E3" w:rsidP="00D72D0F">
            <w:pPr>
              <w:keepNext/>
              <w:keepLines/>
              <w:rPr>
                <w:b/>
              </w:rPr>
            </w:pPr>
            <w:r w:rsidRPr="004A67D7">
              <w:rPr>
                <w:b/>
              </w:rPr>
              <w:t>Student house or flat controlled by university</w:t>
            </w:r>
          </w:p>
        </w:tc>
        <w:tc>
          <w:tcPr>
            <w:tcW w:w="689" w:type="pct"/>
          </w:tcPr>
          <w:p w:rsidR="00BE71E3" w:rsidRDefault="00BE71E3" w:rsidP="00342010">
            <w:pPr>
              <w:keepNext/>
              <w:keepLines/>
              <w:jc w:val="center"/>
            </w:pPr>
            <w:r>
              <w:t>1%</w:t>
            </w:r>
          </w:p>
        </w:tc>
        <w:tc>
          <w:tcPr>
            <w:tcW w:w="611" w:type="pct"/>
          </w:tcPr>
          <w:p w:rsidR="00BE71E3" w:rsidRDefault="00BE71E3" w:rsidP="00342010">
            <w:pPr>
              <w:keepNext/>
              <w:keepLines/>
              <w:jc w:val="center"/>
            </w:pPr>
            <w:r>
              <w:t>1%</w:t>
            </w:r>
          </w:p>
        </w:tc>
        <w:tc>
          <w:tcPr>
            <w:tcW w:w="563" w:type="pct"/>
          </w:tcPr>
          <w:p w:rsidR="00BE71E3" w:rsidRDefault="00BE71E3" w:rsidP="00342010">
            <w:pPr>
              <w:keepNext/>
              <w:keepLines/>
              <w:jc w:val="center"/>
            </w:pPr>
            <w:r>
              <w:t>2%</w:t>
            </w:r>
          </w:p>
        </w:tc>
        <w:tc>
          <w:tcPr>
            <w:tcW w:w="724" w:type="pct"/>
          </w:tcPr>
          <w:p w:rsidR="00BE71E3" w:rsidRDefault="00BE71E3" w:rsidP="00342010">
            <w:pPr>
              <w:keepNext/>
              <w:keepLines/>
              <w:jc w:val="center"/>
            </w:pPr>
            <w:r>
              <w:t>1%</w:t>
            </w:r>
          </w:p>
        </w:tc>
      </w:tr>
      <w:tr w:rsidR="00BE71E3" w:rsidTr="00186C02">
        <w:trPr>
          <w:trHeight w:val="567"/>
        </w:trPr>
        <w:tc>
          <w:tcPr>
            <w:tcW w:w="2413" w:type="pct"/>
          </w:tcPr>
          <w:p w:rsidR="00BE71E3" w:rsidRPr="004A67D7" w:rsidRDefault="00BE71E3" w:rsidP="00D72D0F">
            <w:pPr>
              <w:keepNext/>
              <w:keepLines/>
              <w:rPr>
                <w:b/>
              </w:rPr>
            </w:pPr>
            <w:r w:rsidRPr="004A67D7">
              <w:rPr>
                <w:b/>
              </w:rPr>
              <w:t>University or College Halls of Residence</w:t>
            </w:r>
          </w:p>
        </w:tc>
        <w:tc>
          <w:tcPr>
            <w:tcW w:w="689" w:type="pct"/>
          </w:tcPr>
          <w:p w:rsidR="00BE71E3" w:rsidRDefault="00BE71E3" w:rsidP="00342010">
            <w:pPr>
              <w:keepNext/>
              <w:keepLines/>
              <w:jc w:val="center"/>
            </w:pPr>
            <w:r>
              <w:t>11%</w:t>
            </w:r>
          </w:p>
        </w:tc>
        <w:tc>
          <w:tcPr>
            <w:tcW w:w="611" w:type="pct"/>
          </w:tcPr>
          <w:p w:rsidR="00BE71E3" w:rsidRDefault="00BE71E3" w:rsidP="00342010">
            <w:pPr>
              <w:keepNext/>
              <w:keepLines/>
              <w:jc w:val="center"/>
            </w:pPr>
            <w:r>
              <w:t>4%</w:t>
            </w:r>
          </w:p>
        </w:tc>
        <w:tc>
          <w:tcPr>
            <w:tcW w:w="563" w:type="pct"/>
          </w:tcPr>
          <w:p w:rsidR="00BE71E3" w:rsidRDefault="00BE71E3" w:rsidP="00342010">
            <w:pPr>
              <w:keepNext/>
              <w:keepLines/>
              <w:jc w:val="center"/>
            </w:pPr>
            <w:r>
              <w:t>4%</w:t>
            </w:r>
          </w:p>
        </w:tc>
        <w:tc>
          <w:tcPr>
            <w:tcW w:w="724" w:type="pct"/>
          </w:tcPr>
          <w:p w:rsidR="00BE71E3" w:rsidRDefault="00BE71E3" w:rsidP="00342010">
            <w:pPr>
              <w:keepNext/>
              <w:keepLines/>
              <w:jc w:val="center"/>
            </w:pPr>
            <w:r>
              <w:t>9%</w:t>
            </w:r>
          </w:p>
        </w:tc>
      </w:tr>
      <w:tr w:rsidR="005E2601" w:rsidTr="00186C02">
        <w:trPr>
          <w:trHeight w:val="567"/>
        </w:trPr>
        <w:tc>
          <w:tcPr>
            <w:tcW w:w="2413" w:type="pct"/>
          </w:tcPr>
          <w:p w:rsidR="005E2601" w:rsidRPr="00875C39" w:rsidRDefault="005E2601" w:rsidP="00D72D0F">
            <w:pPr>
              <w:keepNext/>
              <w:keepLines/>
              <w:rPr>
                <w:b/>
              </w:rPr>
            </w:pPr>
            <w:r w:rsidRPr="0031723F">
              <w:t>Other</w:t>
            </w:r>
          </w:p>
        </w:tc>
        <w:tc>
          <w:tcPr>
            <w:tcW w:w="689" w:type="pct"/>
          </w:tcPr>
          <w:p w:rsidR="005E2601" w:rsidRDefault="005E2601" w:rsidP="00342010">
            <w:pPr>
              <w:keepNext/>
              <w:keepLines/>
              <w:jc w:val="center"/>
            </w:pPr>
            <w:r>
              <w:t>6%</w:t>
            </w:r>
          </w:p>
        </w:tc>
        <w:tc>
          <w:tcPr>
            <w:tcW w:w="611" w:type="pct"/>
          </w:tcPr>
          <w:p w:rsidR="005E2601" w:rsidRDefault="005E2601" w:rsidP="00342010">
            <w:pPr>
              <w:keepNext/>
              <w:keepLines/>
              <w:jc w:val="center"/>
            </w:pPr>
            <w:r>
              <w:t>5%</w:t>
            </w:r>
          </w:p>
        </w:tc>
        <w:tc>
          <w:tcPr>
            <w:tcW w:w="563" w:type="pct"/>
          </w:tcPr>
          <w:p w:rsidR="005E2601" w:rsidRDefault="005E2601" w:rsidP="00342010">
            <w:pPr>
              <w:keepNext/>
              <w:keepLines/>
              <w:jc w:val="center"/>
            </w:pPr>
            <w:r>
              <w:t>2%</w:t>
            </w:r>
          </w:p>
        </w:tc>
        <w:tc>
          <w:tcPr>
            <w:tcW w:w="724" w:type="pct"/>
          </w:tcPr>
          <w:p w:rsidR="005E2601" w:rsidRDefault="005E2601" w:rsidP="00342010">
            <w:pPr>
              <w:keepNext/>
              <w:keepLines/>
              <w:jc w:val="center"/>
            </w:pPr>
            <w:r>
              <w:t>5%</w:t>
            </w:r>
          </w:p>
        </w:tc>
      </w:tr>
    </w:tbl>
    <w:p w:rsidR="00321457" w:rsidRPr="00342010" w:rsidRDefault="00057AAA" w:rsidP="00342010">
      <w:pPr>
        <w:ind w:left="6480"/>
        <w:rPr>
          <w:i/>
          <w:sz w:val="20"/>
        </w:rPr>
      </w:pPr>
      <w:r w:rsidRPr="00342010">
        <w:rPr>
          <w:i/>
          <w:sz w:val="20"/>
        </w:rPr>
        <w:t>(Base: 54,397 respondents)</w:t>
      </w:r>
    </w:p>
    <w:p w:rsidR="00BE71E3" w:rsidRPr="00B8404B" w:rsidRDefault="00BE71E3" w:rsidP="00E02725">
      <w:pPr>
        <w:pStyle w:val="Caption"/>
      </w:pPr>
      <w:bookmarkStart w:id="55" w:name="_Toc417300814"/>
      <w:r>
        <w:t xml:space="preserve">Table </w:t>
      </w:r>
      <w:r w:rsidR="00153FC1">
        <w:fldChar w:fldCharType="begin"/>
      </w:r>
      <w:r w:rsidR="00153FC1">
        <w:instrText xml:space="preserve"> SEQ Table \* ARABIC </w:instrText>
      </w:r>
      <w:r w:rsidR="00153FC1">
        <w:fldChar w:fldCharType="separate"/>
      </w:r>
      <w:r w:rsidR="00153FC1">
        <w:rPr>
          <w:noProof/>
        </w:rPr>
        <w:t>3</w:t>
      </w:r>
      <w:r w:rsidR="00153FC1">
        <w:rPr>
          <w:noProof/>
        </w:rPr>
        <w:fldChar w:fldCharType="end"/>
      </w:r>
      <w:r>
        <w:t xml:space="preserve">: School </w:t>
      </w:r>
      <w:r w:rsidR="00057AAA">
        <w:t>Respondents</w:t>
      </w:r>
      <w:r w:rsidRPr="00785D7E">
        <w:t xml:space="preserve"> Accommodation Choices</w:t>
      </w:r>
      <w:bookmarkEnd w:id="55"/>
    </w:p>
    <w:tbl>
      <w:tblPr>
        <w:tblStyle w:val="MediumShading1-Accent2"/>
        <w:tblW w:w="5000" w:type="pct"/>
        <w:tblLook w:val="04A0" w:firstRow="1" w:lastRow="0" w:firstColumn="1" w:lastColumn="0" w:noHBand="0" w:noVBand="1"/>
        <w:tblCaption w:val="Table 3: School Respondents Accommodation Choices"/>
        <w:tblDescription w:val="The table shows Percentage of respondents from schools sector who have used various types of accommodations e.g. Relatives/other family member, Boarding school or equivalent, staying with host family and other. "/>
      </w:tblPr>
      <w:tblGrid>
        <w:gridCol w:w="7394"/>
        <w:gridCol w:w="1848"/>
      </w:tblGrid>
      <w:tr w:rsidR="00BE71E3" w:rsidTr="00186C02">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4000" w:type="pct"/>
          </w:tcPr>
          <w:p w:rsidR="00BE71E3" w:rsidRPr="00AD7FF8" w:rsidRDefault="00BE71E3" w:rsidP="001B02AA">
            <w:pPr>
              <w:keepNext/>
              <w:keepLines/>
              <w:rPr>
                <w:b w:val="0"/>
                <w:color w:val="FFFFFF" w:themeColor="background2"/>
                <w:sz w:val="24"/>
                <w:szCs w:val="24"/>
              </w:rPr>
            </w:pPr>
            <w:r w:rsidRPr="00161C06">
              <w:rPr>
                <w:color w:val="FFFFFF" w:themeColor="background2"/>
                <w:sz w:val="24"/>
                <w:szCs w:val="24"/>
              </w:rPr>
              <w:t>Accommodation</w:t>
            </w:r>
          </w:p>
        </w:tc>
        <w:tc>
          <w:tcPr>
            <w:tcW w:w="1000" w:type="pct"/>
          </w:tcPr>
          <w:p w:rsidR="00BE71E3" w:rsidRPr="00161C06" w:rsidRDefault="00BE71E3" w:rsidP="00342010">
            <w:pPr>
              <w:keepNext/>
              <w:keepLines/>
              <w:spacing w:before="140"/>
              <w:jc w:val="center"/>
              <w:cnfStyle w:val="100000000000" w:firstRow="1" w:lastRow="0" w:firstColumn="0" w:lastColumn="0" w:oddVBand="0" w:evenVBand="0" w:oddHBand="0" w:evenHBand="0" w:firstRowFirstColumn="0" w:firstRowLastColumn="0" w:lastRowFirstColumn="0" w:lastRowLastColumn="0"/>
              <w:rPr>
                <w:color w:val="FFFFFF" w:themeColor="background2"/>
                <w:sz w:val="24"/>
                <w:szCs w:val="24"/>
              </w:rPr>
            </w:pPr>
            <w:r w:rsidRPr="00161C06">
              <w:rPr>
                <w:color w:val="FFFFFF" w:themeColor="background2"/>
                <w:sz w:val="24"/>
                <w:szCs w:val="24"/>
              </w:rPr>
              <w:t>Total</w:t>
            </w:r>
          </w:p>
        </w:tc>
      </w:tr>
      <w:tr w:rsidR="00BE71E3" w:rsidTr="00186C0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000" w:type="pct"/>
          </w:tcPr>
          <w:p w:rsidR="00BE71E3" w:rsidRPr="004A67D7" w:rsidRDefault="005E2601" w:rsidP="001B02AA">
            <w:pPr>
              <w:keepNext/>
              <w:keepLines/>
              <w:rPr>
                <w:b w:val="0"/>
              </w:rPr>
            </w:pPr>
            <w:r w:rsidRPr="004A67D7">
              <w:rPr>
                <w:b w:val="0"/>
              </w:rPr>
              <w:t>R</w:t>
            </w:r>
            <w:r w:rsidR="00BE71E3" w:rsidRPr="004A67D7">
              <w:rPr>
                <w:b w:val="0"/>
              </w:rPr>
              <w:t>elative</w:t>
            </w:r>
            <w:r w:rsidRPr="004A67D7">
              <w:rPr>
                <w:b w:val="0"/>
              </w:rPr>
              <w:t>/other family member</w:t>
            </w:r>
          </w:p>
        </w:tc>
        <w:tc>
          <w:tcPr>
            <w:tcW w:w="1000" w:type="pct"/>
          </w:tcPr>
          <w:p w:rsidR="00BE71E3" w:rsidRDefault="00BE71E3" w:rsidP="00342010">
            <w:pPr>
              <w:keepNext/>
              <w:keepLines/>
              <w:spacing w:before="140"/>
              <w:jc w:val="center"/>
              <w:cnfStyle w:val="000000100000" w:firstRow="0" w:lastRow="0" w:firstColumn="0" w:lastColumn="0" w:oddVBand="0" w:evenVBand="0" w:oddHBand="1" w:evenHBand="0" w:firstRowFirstColumn="0" w:firstRowLastColumn="0" w:lastRowFirstColumn="0" w:lastRowLastColumn="0"/>
            </w:pPr>
            <w:r>
              <w:t>32%</w:t>
            </w:r>
          </w:p>
        </w:tc>
      </w:tr>
      <w:tr w:rsidR="00BE71E3" w:rsidTr="00186C0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000" w:type="pct"/>
          </w:tcPr>
          <w:p w:rsidR="00BE71E3" w:rsidRPr="004A67D7" w:rsidRDefault="00BE71E3" w:rsidP="001B02AA">
            <w:pPr>
              <w:keepNext/>
              <w:keepLines/>
              <w:rPr>
                <w:b w:val="0"/>
              </w:rPr>
            </w:pPr>
            <w:r w:rsidRPr="004A67D7">
              <w:rPr>
                <w:b w:val="0"/>
              </w:rPr>
              <w:t>Boarding school or equivalent</w:t>
            </w:r>
          </w:p>
        </w:tc>
        <w:tc>
          <w:tcPr>
            <w:tcW w:w="1000" w:type="pct"/>
          </w:tcPr>
          <w:p w:rsidR="00BE71E3" w:rsidRDefault="00BE71E3" w:rsidP="00342010">
            <w:pPr>
              <w:keepNext/>
              <w:keepLines/>
              <w:spacing w:before="140"/>
              <w:jc w:val="center"/>
              <w:cnfStyle w:val="000000010000" w:firstRow="0" w:lastRow="0" w:firstColumn="0" w:lastColumn="0" w:oddVBand="0" w:evenVBand="0" w:oddHBand="0" w:evenHBand="1" w:firstRowFirstColumn="0" w:firstRowLastColumn="0" w:lastRowFirstColumn="0" w:lastRowLastColumn="0"/>
            </w:pPr>
            <w:r>
              <w:t>17%</w:t>
            </w:r>
          </w:p>
        </w:tc>
      </w:tr>
      <w:tr w:rsidR="00BE71E3" w:rsidTr="00186C0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000" w:type="pct"/>
          </w:tcPr>
          <w:p w:rsidR="00BE71E3" w:rsidRPr="004A67D7" w:rsidRDefault="00BE71E3" w:rsidP="001B02AA">
            <w:pPr>
              <w:keepNext/>
              <w:keepLines/>
              <w:rPr>
                <w:b w:val="0"/>
              </w:rPr>
            </w:pPr>
            <w:r w:rsidRPr="004A67D7">
              <w:rPr>
                <w:b w:val="0"/>
              </w:rPr>
              <w:t>Staying with host family</w:t>
            </w:r>
          </w:p>
        </w:tc>
        <w:tc>
          <w:tcPr>
            <w:tcW w:w="1000" w:type="pct"/>
          </w:tcPr>
          <w:p w:rsidR="00BE71E3" w:rsidRDefault="00BE71E3" w:rsidP="00342010">
            <w:pPr>
              <w:keepNext/>
              <w:keepLines/>
              <w:spacing w:before="140"/>
              <w:jc w:val="center"/>
              <w:cnfStyle w:val="000000100000" w:firstRow="0" w:lastRow="0" w:firstColumn="0" w:lastColumn="0" w:oddVBand="0" w:evenVBand="0" w:oddHBand="1" w:evenHBand="0" w:firstRowFirstColumn="0" w:firstRowLastColumn="0" w:lastRowFirstColumn="0" w:lastRowLastColumn="0"/>
            </w:pPr>
            <w:r>
              <w:t>39%</w:t>
            </w:r>
          </w:p>
        </w:tc>
      </w:tr>
      <w:tr w:rsidR="005E2601" w:rsidTr="00186C0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000" w:type="pct"/>
          </w:tcPr>
          <w:p w:rsidR="005E2601" w:rsidRPr="004A67D7" w:rsidRDefault="005E2601" w:rsidP="001B02AA">
            <w:pPr>
              <w:keepNext/>
              <w:keepLines/>
              <w:rPr>
                <w:b w:val="0"/>
              </w:rPr>
            </w:pPr>
            <w:r w:rsidRPr="004A67D7">
              <w:rPr>
                <w:b w:val="0"/>
              </w:rPr>
              <w:t>Other</w:t>
            </w:r>
          </w:p>
        </w:tc>
        <w:tc>
          <w:tcPr>
            <w:tcW w:w="1000" w:type="pct"/>
          </w:tcPr>
          <w:p w:rsidR="005E2601" w:rsidRDefault="005E2601" w:rsidP="00342010">
            <w:pPr>
              <w:keepNext/>
              <w:keepLines/>
              <w:spacing w:before="140"/>
              <w:jc w:val="center"/>
              <w:cnfStyle w:val="000000010000" w:firstRow="0" w:lastRow="0" w:firstColumn="0" w:lastColumn="0" w:oddVBand="0" w:evenVBand="0" w:oddHBand="0" w:evenHBand="1" w:firstRowFirstColumn="0" w:firstRowLastColumn="0" w:lastRowFirstColumn="0" w:lastRowLastColumn="0"/>
            </w:pPr>
            <w:r>
              <w:t>12%</w:t>
            </w:r>
          </w:p>
        </w:tc>
      </w:tr>
    </w:tbl>
    <w:p w:rsidR="00BE71E3" w:rsidRPr="00342010" w:rsidRDefault="00C86603" w:rsidP="00342010">
      <w:pPr>
        <w:ind w:left="3600"/>
        <w:rPr>
          <w:i/>
          <w:sz w:val="20"/>
        </w:rPr>
      </w:pPr>
      <w:r w:rsidRPr="00342010">
        <w:rPr>
          <w:i/>
          <w:sz w:val="20"/>
        </w:rPr>
        <w:t>(Base: 1,225 respondents)</w:t>
      </w:r>
    </w:p>
    <w:p w:rsidR="00987815" w:rsidRDefault="00386FCE" w:rsidP="0040764B">
      <w:r w:rsidRPr="002D38E6">
        <w:rPr>
          <w:i/>
          <w:iCs/>
        </w:rPr>
        <w:t>Earning money</w:t>
      </w:r>
      <w:r w:rsidRPr="002D38E6">
        <w:rPr>
          <w:iCs/>
        </w:rPr>
        <w:t xml:space="preserve"> </w:t>
      </w:r>
      <w:r w:rsidR="00A00C97" w:rsidRPr="002D38E6">
        <w:rPr>
          <w:iCs/>
        </w:rPr>
        <w:t xml:space="preserve">in the </w:t>
      </w:r>
      <w:r w:rsidR="00181929">
        <w:rPr>
          <w:iCs/>
        </w:rPr>
        <w:t>higher education s</w:t>
      </w:r>
      <w:r w:rsidR="00181929" w:rsidRPr="002D38E6">
        <w:rPr>
          <w:iCs/>
        </w:rPr>
        <w:t xml:space="preserve">ector </w:t>
      </w:r>
      <w:r w:rsidRPr="002D38E6">
        <w:t xml:space="preserve">was another element where some variation existed between the </w:t>
      </w:r>
      <w:proofErr w:type="spellStart"/>
      <w:r w:rsidRPr="002D38E6">
        <w:t>ISS</w:t>
      </w:r>
      <w:proofErr w:type="spellEnd"/>
      <w:r w:rsidRPr="002D38E6">
        <w:t xml:space="preserve"> and </w:t>
      </w:r>
      <w:proofErr w:type="spellStart"/>
      <w:r w:rsidRPr="002D38E6">
        <w:t>ISB</w:t>
      </w:r>
      <w:proofErr w:type="spellEnd"/>
      <w:r w:rsidRPr="002D38E6">
        <w:t xml:space="preserve"> participants with </w:t>
      </w:r>
      <w:proofErr w:type="spellStart"/>
      <w:r w:rsidRPr="002D38E6">
        <w:t>ISS</w:t>
      </w:r>
      <w:proofErr w:type="spellEnd"/>
      <w:r w:rsidRPr="002D38E6">
        <w:t xml:space="preserve"> respondents </w:t>
      </w:r>
      <w:r w:rsidR="00AB49C0" w:rsidRPr="002D38E6">
        <w:t xml:space="preserve">in 2014 </w:t>
      </w:r>
      <w:r w:rsidRPr="002D38E6">
        <w:t xml:space="preserve">reporting a satisfaction level of </w:t>
      </w:r>
      <w:r w:rsidR="00AB49C0" w:rsidRPr="002D38E6">
        <w:t>5</w:t>
      </w:r>
      <w:r w:rsidR="00C64A39" w:rsidRPr="002D38E6">
        <w:t>3</w:t>
      </w:r>
      <w:r w:rsidR="00AB49C0" w:rsidRPr="002D38E6">
        <w:t xml:space="preserve">% </w:t>
      </w:r>
      <w:r w:rsidR="00987815" w:rsidRPr="002D38E6">
        <w:t xml:space="preserve">which is better than the </w:t>
      </w:r>
      <w:proofErr w:type="spellStart"/>
      <w:r w:rsidR="00987815" w:rsidRPr="002D38E6">
        <w:t>ISB</w:t>
      </w:r>
      <w:proofErr w:type="spellEnd"/>
      <w:r w:rsidR="00987815" w:rsidRPr="002D38E6">
        <w:t xml:space="preserve"> rate of 46%, but less than the satisfaction</w:t>
      </w:r>
      <w:r w:rsidR="00AB49C0" w:rsidRPr="002D38E6">
        <w:t xml:space="preserve"> reported in 2012 (</w:t>
      </w:r>
      <w:r w:rsidR="00987815" w:rsidRPr="002D38E6">
        <w:t>62%) and less than the satisfaction reported in 2010 (59%)</w:t>
      </w:r>
      <w:r w:rsidR="00AB49C0" w:rsidRPr="002D38E6">
        <w:t xml:space="preserve">. </w:t>
      </w:r>
      <w:r w:rsidR="00AB49C0" w:rsidRPr="002D38E6">
        <w:rPr>
          <w:i/>
        </w:rPr>
        <w:t>Financial support</w:t>
      </w:r>
      <w:r w:rsidR="00AB49C0" w:rsidRPr="002D38E6">
        <w:t xml:space="preserve"> as noted above reported relatively low satisfaction ratings in the </w:t>
      </w:r>
      <w:r w:rsidR="00682E9B">
        <w:t>higher education</w:t>
      </w:r>
      <w:r w:rsidR="00AB49C0" w:rsidRPr="002D38E6">
        <w:t xml:space="preserve"> sector of 5</w:t>
      </w:r>
      <w:r w:rsidR="00C64A39" w:rsidRPr="002D38E6">
        <w:t>4</w:t>
      </w:r>
      <w:r w:rsidR="00AB49C0" w:rsidRPr="002D38E6">
        <w:t xml:space="preserve">% compared to 65% in 2012 and 2010. However, Australia’s </w:t>
      </w:r>
      <w:r w:rsidR="004841F8">
        <w:t>respondent</w:t>
      </w:r>
      <w:r w:rsidR="00D2602A" w:rsidRPr="002D38E6">
        <w:t xml:space="preserve"> satisfaction is </w:t>
      </w:r>
      <w:r w:rsidR="00C64A39" w:rsidRPr="002D38E6">
        <w:t>above</w:t>
      </w:r>
      <w:r w:rsidR="00F17E82" w:rsidRPr="002D38E6">
        <w:t xml:space="preserve"> the 2014</w:t>
      </w:r>
      <w:r w:rsidR="00D2602A" w:rsidRPr="002D38E6">
        <w:t xml:space="preserve"> </w:t>
      </w:r>
      <w:proofErr w:type="spellStart"/>
      <w:r w:rsidR="00D2602A" w:rsidRPr="002D38E6">
        <w:t>ISB</w:t>
      </w:r>
      <w:proofErr w:type="spellEnd"/>
      <w:r w:rsidR="00D2602A" w:rsidRPr="002D38E6">
        <w:t xml:space="preserve"> </w:t>
      </w:r>
      <w:r w:rsidR="00AB49C0" w:rsidRPr="002D38E6">
        <w:t>which was just 5</w:t>
      </w:r>
      <w:r w:rsidR="00493C7E" w:rsidRPr="002D38E6">
        <w:t>2</w:t>
      </w:r>
      <w:r w:rsidR="00AB49C0" w:rsidRPr="002D38E6">
        <w:t xml:space="preserve">%. </w:t>
      </w:r>
      <w:r w:rsidR="00C0701B" w:rsidRPr="00D86FE6">
        <w:t xml:space="preserve">Again, language difficulties may make it more challenging for </w:t>
      </w:r>
      <w:r w:rsidR="0061308F">
        <w:t>i</w:t>
      </w:r>
      <w:r w:rsidR="00C0701B" w:rsidRPr="00D86FE6">
        <w:t xml:space="preserve">nternational students to obtain part time work. </w:t>
      </w:r>
    </w:p>
    <w:p w:rsidR="00D2602A" w:rsidRPr="00235137" w:rsidRDefault="00D2602A" w:rsidP="0040764B">
      <w:r w:rsidRPr="002D38E6">
        <w:lastRenderedPageBreak/>
        <w:t xml:space="preserve">For the VET sector the same areas, </w:t>
      </w:r>
      <w:r w:rsidRPr="002D38E6">
        <w:rPr>
          <w:i/>
        </w:rPr>
        <w:t xml:space="preserve">good place to be, campus environment, safety, </w:t>
      </w:r>
      <w:r w:rsidRPr="00342010">
        <w:t xml:space="preserve">and </w:t>
      </w:r>
      <w:r w:rsidR="00DE6DE3" w:rsidRPr="002D38E6">
        <w:rPr>
          <w:i/>
        </w:rPr>
        <w:t>eco-friendly</w:t>
      </w:r>
      <w:r w:rsidRPr="002D38E6">
        <w:rPr>
          <w:i/>
        </w:rPr>
        <w:t xml:space="preserve"> attitude</w:t>
      </w:r>
      <w:r w:rsidRPr="002D38E6">
        <w:t xml:space="preserve"> all scored satisfaction ratings of </w:t>
      </w:r>
      <w:r w:rsidR="005618B0" w:rsidRPr="002D38E6">
        <w:t xml:space="preserve">90% or above. </w:t>
      </w:r>
      <w:r w:rsidRPr="002D38E6">
        <w:t xml:space="preserve">Satisfaction levels for </w:t>
      </w:r>
      <w:r w:rsidRPr="002D38E6">
        <w:rPr>
          <w:i/>
        </w:rPr>
        <w:t xml:space="preserve">living costs, accommodation costs, financial support </w:t>
      </w:r>
      <w:r w:rsidRPr="00922DEB">
        <w:t xml:space="preserve">and </w:t>
      </w:r>
      <w:r w:rsidRPr="002D38E6">
        <w:rPr>
          <w:i/>
        </w:rPr>
        <w:t>earning money</w:t>
      </w:r>
      <w:r w:rsidRPr="002D38E6">
        <w:t xml:space="preserve"> all scored in the </w:t>
      </w:r>
      <w:r w:rsidR="005618B0" w:rsidRPr="002D38E6">
        <w:t>mid</w:t>
      </w:r>
      <w:r w:rsidRPr="002D38E6">
        <w:t xml:space="preserve"> 60</w:t>
      </w:r>
      <w:r w:rsidR="00D11476" w:rsidRPr="002D38E6">
        <w:t>%, which</w:t>
      </w:r>
      <w:r w:rsidRPr="002D38E6">
        <w:t xml:space="preserve"> is higher than the </w:t>
      </w:r>
      <w:r w:rsidR="003D4B4B">
        <w:t xml:space="preserve">higher education </w:t>
      </w:r>
      <w:r w:rsidR="002E5BAF" w:rsidRPr="002D38E6">
        <w:t>cohort</w:t>
      </w:r>
      <w:r w:rsidRPr="002D38E6">
        <w:t xml:space="preserve"> and around the same as the </w:t>
      </w:r>
      <w:proofErr w:type="spellStart"/>
      <w:r w:rsidRPr="002D38E6">
        <w:t>ISB</w:t>
      </w:r>
      <w:proofErr w:type="spellEnd"/>
      <w:r w:rsidR="002770BB">
        <w:t xml:space="preserve"> for VET</w:t>
      </w:r>
      <w:r w:rsidRPr="002D38E6">
        <w:t>.</w:t>
      </w:r>
      <w:r w:rsidR="007C142E" w:rsidRPr="002D38E6">
        <w:t xml:space="preserve"> However satisfaction with </w:t>
      </w:r>
      <w:r w:rsidR="00516B68" w:rsidRPr="002D38E6">
        <w:rPr>
          <w:i/>
        </w:rPr>
        <w:t>financial</w:t>
      </w:r>
      <w:r w:rsidR="007C142E" w:rsidRPr="002D38E6">
        <w:rPr>
          <w:i/>
        </w:rPr>
        <w:t xml:space="preserve"> support</w:t>
      </w:r>
      <w:r w:rsidR="007C142E" w:rsidRPr="002D38E6">
        <w:t xml:space="preserve"> </w:t>
      </w:r>
      <w:r w:rsidR="0038246D" w:rsidRPr="002D38E6">
        <w:t xml:space="preserve">(69%) </w:t>
      </w:r>
      <w:r w:rsidR="007C142E" w:rsidRPr="002D38E6">
        <w:t xml:space="preserve">and </w:t>
      </w:r>
      <w:r w:rsidR="007C142E" w:rsidRPr="002D38E6">
        <w:rPr>
          <w:i/>
        </w:rPr>
        <w:t>earning money</w:t>
      </w:r>
      <w:r w:rsidR="007C142E" w:rsidRPr="002D38E6">
        <w:t xml:space="preserve"> </w:t>
      </w:r>
      <w:r w:rsidR="0038246D" w:rsidRPr="002D38E6">
        <w:t xml:space="preserve">(68%) </w:t>
      </w:r>
      <w:r w:rsidR="00516B68" w:rsidRPr="002D38E6">
        <w:t>were rated lower in 2014 than in the 2012 survey where the satisfaction levels were 77% and 75% respectively</w:t>
      </w:r>
      <w:r w:rsidR="00235137">
        <w:t xml:space="preserve">. </w:t>
      </w:r>
    </w:p>
    <w:p w:rsidR="001B02AA" w:rsidRDefault="005C0B8C" w:rsidP="0040764B">
      <w:r w:rsidRPr="002D38E6">
        <w:t xml:space="preserve">The </w:t>
      </w:r>
      <w:proofErr w:type="spellStart"/>
      <w:r w:rsidRPr="002D38E6">
        <w:t>ELICOS</w:t>
      </w:r>
      <w:proofErr w:type="spellEnd"/>
      <w:r w:rsidRPr="002D38E6">
        <w:t xml:space="preserve"> sector satisfaction ratings were again similar to the other sectors. </w:t>
      </w:r>
      <w:r w:rsidRPr="002D38E6">
        <w:rPr>
          <w:i/>
        </w:rPr>
        <w:t xml:space="preserve">Good place to be, campus environment, safety, </w:t>
      </w:r>
      <w:r w:rsidRPr="00922DEB">
        <w:t>and</w:t>
      </w:r>
      <w:r w:rsidRPr="002D38E6">
        <w:rPr>
          <w:i/>
        </w:rPr>
        <w:t xml:space="preserve"> eco</w:t>
      </w:r>
      <w:r w:rsidR="00772A02">
        <w:rPr>
          <w:i/>
        </w:rPr>
        <w:t>-</w:t>
      </w:r>
      <w:r w:rsidRPr="002D38E6">
        <w:rPr>
          <w:i/>
        </w:rPr>
        <w:t>friendly attitude</w:t>
      </w:r>
      <w:r w:rsidRPr="002D38E6">
        <w:t xml:space="preserve"> all scored satisfaction ratings </w:t>
      </w:r>
      <w:r w:rsidR="004841F8">
        <w:t>around</w:t>
      </w:r>
      <w:r w:rsidRPr="002D38E6">
        <w:t xml:space="preserve"> 90%. The areas with low satisfaction also remained constant with </w:t>
      </w:r>
      <w:r w:rsidR="004841F8">
        <w:rPr>
          <w:i/>
        </w:rPr>
        <w:t>earning money</w:t>
      </w:r>
      <w:r w:rsidR="004841F8" w:rsidRPr="004841F8">
        <w:t xml:space="preserve"> and</w:t>
      </w:r>
      <w:r w:rsidRPr="002D38E6">
        <w:rPr>
          <w:i/>
        </w:rPr>
        <w:t xml:space="preserve"> accommodation costs </w:t>
      </w:r>
      <w:r w:rsidR="004841F8">
        <w:t>scoring 58% and 56% respectively,</w:t>
      </w:r>
      <w:r w:rsidRPr="002D38E6">
        <w:rPr>
          <w:i/>
        </w:rPr>
        <w:t xml:space="preserve"> </w:t>
      </w:r>
      <w:r w:rsidRPr="002D38E6">
        <w:t>whereas</w:t>
      </w:r>
      <w:r w:rsidRPr="002D38E6">
        <w:rPr>
          <w:i/>
        </w:rPr>
        <w:t xml:space="preserve"> living costs</w:t>
      </w:r>
      <w:r w:rsidRPr="002D38E6">
        <w:t xml:space="preserve"> scored 5</w:t>
      </w:r>
      <w:r w:rsidR="008B38E0" w:rsidRPr="002D38E6">
        <w:t>4</w:t>
      </w:r>
      <w:r w:rsidRPr="002D38E6">
        <w:t xml:space="preserve">%. These results are similar to data collected in the 2012 and 2010 surveys. </w:t>
      </w:r>
    </w:p>
    <w:p w:rsidR="00D5327C" w:rsidRDefault="004841F8" w:rsidP="0040764B">
      <w:r>
        <w:t>As shown in Table 4, t</w:t>
      </w:r>
      <w:r w:rsidR="00B20BF8">
        <w:t xml:space="preserve">he </w:t>
      </w:r>
      <w:r>
        <w:t xml:space="preserve">importance of working while studying was high for higher education and VET students and moderate for </w:t>
      </w:r>
      <w:proofErr w:type="spellStart"/>
      <w:r>
        <w:t>ELICOS</w:t>
      </w:r>
      <w:proofErr w:type="spellEnd"/>
      <w:r>
        <w:t xml:space="preserve"> students, who are generally studying intensive short courses and may wish to enhance their English proficiency ahead of seeking work</w:t>
      </w:r>
      <w:r w:rsidR="00B20BF8">
        <w:t xml:space="preserve">. </w:t>
      </w:r>
      <w:r>
        <w:t>The lower proportions of students actually work</w:t>
      </w:r>
      <w:r w:rsidR="00AA4740">
        <w:t xml:space="preserve">ing in higher education and VET, compared with the proportions who value work, </w:t>
      </w:r>
      <w:proofErr w:type="gramStart"/>
      <w:r>
        <w:t>suggests</w:t>
      </w:r>
      <w:proofErr w:type="gramEnd"/>
      <w:r w:rsidR="00DE6DE3">
        <w:t xml:space="preserve"> a degree of unmet demand for work.</w:t>
      </w:r>
      <w:r w:rsidR="00221FEA">
        <w:t xml:space="preserve"> </w:t>
      </w:r>
    </w:p>
    <w:p w:rsidR="00221FEA" w:rsidRDefault="0074542C" w:rsidP="00E02725">
      <w:pPr>
        <w:pStyle w:val="Caption"/>
      </w:pPr>
      <w:bookmarkStart w:id="56" w:name="_Toc417300815"/>
      <w:r>
        <w:t xml:space="preserve">Table </w:t>
      </w:r>
      <w:r w:rsidR="00153FC1">
        <w:fldChar w:fldCharType="begin"/>
      </w:r>
      <w:r w:rsidR="00153FC1">
        <w:instrText xml:space="preserve"> SEQ Table \* ARABIC </w:instrText>
      </w:r>
      <w:r w:rsidR="00153FC1">
        <w:fldChar w:fldCharType="separate"/>
      </w:r>
      <w:r w:rsidR="00153FC1">
        <w:rPr>
          <w:noProof/>
        </w:rPr>
        <w:t>4</w:t>
      </w:r>
      <w:r w:rsidR="00153FC1">
        <w:rPr>
          <w:noProof/>
        </w:rPr>
        <w:fldChar w:fldCharType="end"/>
      </w:r>
      <w:r>
        <w:t xml:space="preserve">: </w:t>
      </w:r>
      <w:r w:rsidR="00785D7E">
        <w:t>Employment Opportunities</w:t>
      </w:r>
      <w:bookmarkEnd w:id="56"/>
    </w:p>
    <w:tbl>
      <w:tblPr>
        <w:tblStyle w:val="MediumShading1-Accent2"/>
        <w:tblW w:w="0" w:type="auto"/>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Look w:val="04A0" w:firstRow="1" w:lastRow="0" w:firstColumn="1" w:lastColumn="0" w:noHBand="0" w:noVBand="1"/>
        <w:tblCaption w:val="Table 4: Employment Opportunities"/>
        <w:tblDescription w:val="The table shows the percentage of respondents in higher education, VET and ELICOS sector about earning money e.g. In paid work directly related to field of study, not directly related to field of study, how important was working while studying a factor when deciding where to study and how important was being able to work in this country following completion of studies."/>
      </w:tblPr>
      <w:tblGrid>
        <w:gridCol w:w="5920"/>
        <w:gridCol w:w="1276"/>
        <w:gridCol w:w="992"/>
        <w:gridCol w:w="992"/>
      </w:tblGrid>
      <w:tr w:rsidR="0067735F" w:rsidRPr="00EE2DB9" w:rsidTr="00274CC9">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tcPr>
          <w:p w:rsidR="0067735F" w:rsidRPr="00EE2DB9" w:rsidRDefault="0067735F" w:rsidP="00EE2DB9">
            <w:pPr>
              <w:rPr>
                <w:b w:val="0"/>
                <w:color w:val="FFFFFF" w:themeColor="background2"/>
                <w:sz w:val="24"/>
                <w:szCs w:val="24"/>
              </w:rPr>
            </w:pPr>
            <w:r w:rsidRPr="00EE2DB9">
              <w:rPr>
                <w:b w:val="0"/>
                <w:color w:val="FFFFFF" w:themeColor="background2"/>
                <w:sz w:val="24"/>
                <w:szCs w:val="24"/>
              </w:rPr>
              <w:t>Earning money</w:t>
            </w:r>
          </w:p>
        </w:tc>
        <w:tc>
          <w:tcPr>
            <w:tcW w:w="1276" w:type="dxa"/>
            <w:tcBorders>
              <w:top w:val="none" w:sz="0" w:space="0" w:color="auto"/>
              <w:left w:val="none" w:sz="0" w:space="0" w:color="auto"/>
              <w:bottom w:val="none" w:sz="0" w:space="0" w:color="auto"/>
              <w:right w:val="none" w:sz="0" w:space="0" w:color="auto"/>
            </w:tcBorders>
          </w:tcPr>
          <w:p w:rsidR="0067735F" w:rsidRDefault="0067735F" w:rsidP="0034201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sz w:val="24"/>
                <w:szCs w:val="24"/>
              </w:rPr>
            </w:pPr>
            <w:r>
              <w:rPr>
                <w:b w:val="0"/>
                <w:color w:val="FFFFFF" w:themeColor="background2"/>
                <w:sz w:val="24"/>
                <w:szCs w:val="24"/>
              </w:rPr>
              <w:t>Higher</w:t>
            </w:r>
          </w:p>
          <w:p w:rsidR="0067735F" w:rsidRPr="00EE2DB9" w:rsidRDefault="0067735F" w:rsidP="0034201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sz w:val="24"/>
                <w:szCs w:val="24"/>
              </w:rPr>
            </w:pPr>
            <w:r>
              <w:rPr>
                <w:b w:val="0"/>
                <w:color w:val="FFFFFF" w:themeColor="background2"/>
                <w:sz w:val="24"/>
                <w:szCs w:val="24"/>
              </w:rPr>
              <w:t>education</w:t>
            </w:r>
          </w:p>
        </w:tc>
        <w:tc>
          <w:tcPr>
            <w:tcW w:w="992" w:type="dxa"/>
            <w:tcBorders>
              <w:top w:val="none" w:sz="0" w:space="0" w:color="auto"/>
              <w:left w:val="none" w:sz="0" w:space="0" w:color="auto"/>
              <w:bottom w:val="none" w:sz="0" w:space="0" w:color="auto"/>
              <w:right w:val="none" w:sz="0" w:space="0" w:color="auto"/>
            </w:tcBorders>
          </w:tcPr>
          <w:p w:rsidR="0067735F" w:rsidRPr="00EE2DB9" w:rsidRDefault="0067735F" w:rsidP="0034201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sz w:val="24"/>
                <w:szCs w:val="24"/>
              </w:rPr>
            </w:pPr>
            <w:r w:rsidRPr="00EE2DB9">
              <w:rPr>
                <w:b w:val="0"/>
                <w:color w:val="FFFFFF" w:themeColor="background2"/>
                <w:sz w:val="24"/>
                <w:szCs w:val="24"/>
              </w:rPr>
              <w:t>VET</w:t>
            </w:r>
          </w:p>
        </w:tc>
        <w:tc>
          <w:tcPr>
            <w:tcW w:w="992" w:type="dxa"/>
            <w:tcBorders>
              <w:top w:val="none" w:sz="0" w:space="0" w:color="auto"/>
              <w:left w:val="none" w:sz="0" w:space="0" w:color="auto"/>
              <w:bottom w:val="none" w:sz="0" w:space="0" w:color="auto"/>
              <w:right w:val="none" w:sz="0" w:space="0" w:color="auto"/>
            </w:tcBorders>
          </w:tcPr>
          <w:p w:rsidR="0067735F" w:rsidRPr="00EE2DB9" w:rsidRDefault="0067735F" w:rsidP="0034201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sz w:val="24"/>
                <w:szCs w:val="24"/>
              </w:rPr>
            </w:pPr>
            <w:proofErr w:type="spellStart"/>
            <w:r w:rsidRPr="00EE2DB9">
              <w:rPr>
                <w:b w:val="0"/>
                <w:color w:val="FFFFFF" w:themeColor="background2"/>
                <w:sz w:val="24"/>
                <w:szCs w:val="24"/>
              </w:rPr>
              <w:t>ELICOS</w:t>
            </w:r>
            <w:proofErr w:type="spellEnd"/>
          </w:p>
        </w:tc>
      </w:tr>
      <w:tr w:rsidR="0067735F" w:rsidTr="00274CC9">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5920" w:type="dxa"/>
            <w:tcBorders>
              <w:right w:val="none" w:sz="0" w:space="0" w:color="auto"/>
            </w:tcBorders>
          </w:tcPr>
          <w:p w:rsidR="0067735F" w:rsidRDefault="0067735F" w:rsidP="00342010">
            <w:pPr>
              <w:spacing w:before="120" w:after="120"/>
            </w:pPr>
            <w:r>
              <w:t>In paid work directly related to field of study</w:t>
            </w:r>
            <w:r w:rsidR="00342010">
              <w:t>*</w:t>
            </w:r>
          </w:p>
          <w:p w:rsidR="00FE6CFF" w:rsidRDefault="00FE6CFF" w:rsidP="002E3268">
            <w:r>
              <w:rPr>
                <w:i/>
                <w:sz w:val="20"/>
              </w:rPr>
              <w:t>(Base: 37,787</w:t>
            </w:r>
            <w:r w:rsidRPr="0001468B">
              <w:rPr>
                <w:i/>
                <w:sz w:val="20"/>
              </w:rPr>
              <w:t xml:space="preserve"> respondents)</w:t>
            </w:r>
          </w:p>
        </w:tc>
        <w:tc>
          <w:tcPr>
            <w:tcW w:w="1276" w:type="dxa"/>
            <w:tcBorders>
              <w:left w:val="none" w:sz="0" w:space="0" w:color="auto"/>
              <w:right w:val="none" w:sz="0" w:space="0" w:color="auto"/>
            </w:tcBorders>
          </w:tcPr>
          <w:p w:rsidR="0067735F" w:rsidRDefault="0067735F">
            <w:pPr>
              <w:jc w:val="center"/>
              <w:cnfStyle w:val="000000100000" w:firstRow="0" w:lastRow="0" w:firstColumn="0" w:lastColumn="0" w:oddVBand="0" w:evenVBand="0" w:oddHBand="1" w:evenHBand="0" w:firstRowFirstColumn="0" w:firstRowLastColumn="0" w:lastRowFirstColumn="0" w:lastRowLastColumn="0"/>
            </w:pPr>
            <w:r>
              <w:t>12%</w:t>
            </w:r>
          </w:p>
        </w:tc>
        <w:tc>
          <w:tcPr>
            <w:tcW w:w="992" w:type="dxa"/>
            <w:tcBorders>
              <w:left w:val="none" w:sz="0" w:space="0" w:color="auto"/>
              <w:right w:val="none" w:sz="0" w:space="0" w:color="auto"/>
            </w:tcBorders>
          </w:tcPr>
          <w:p w:rsidR="0067735F" w:rsidRDefault="0067735F">
            <w:pPr>
              <w:jc w:val="center"/>
              <w:cnfStyle w:val="000000100000" w:firstRow="0" w:lastRow="0" w:firstColumn="0" w:lastColumn="0" w:oddVBand="0" w:evenVBand="0" w:oddHBand="1" w:evenHBand="0" w:firstRowFirstColumn="0" w:firstRowLastColumn="0" w:lastRowFirstColumn="0" w:lastRowLastColumn="0"/>
            </w:pPr>
            <w:r>
              <w:t>37%</w:t>
            </w:r>
          </w:p>
        </w:tc>
        <w:tc>
          <w:tcPr>
            <w:tcW w:w="992" w:type="dxa"/>
            <w:tcBorders>
              <w:left w:val="none" w:sz="0" w:space="0" w:color="auto"/>
            </w:tcBorders>
          </w:tcPr>
          <w:p w:rsidR="0067735F" w:rsidRDefault="0067735F">
            <w:pPr>
              <w:jc w:val="center"/>
              <w:cnfStyle w:val="000000100000" w:firstRow="0" w:lastRow="0" w:firstColumn="0" w:lastColumn="0" w:oddVBand="0" w:evenVBand="0" w:oddHBand="1" w:evenHBand="0" w:firstRowFirstColumn="0" w:firstRowLastColumn="0" w:lastRowFirstColumn="0" w:lastRowLastColumn="0"/>
            </w:pPr>
            <w:r>
              <w:t>N/A</w:t>
            </w:r>
          </w:p>
        </w:tc>
      </w:tr>
      <w:tr w:rsidR="0067735F" w:rsidTr="00274CC9">
        <w:trPr>
          <w:cnfStyle w:val="000000010000" w:firstRow="0" w:lastRow="0" w:firstColumn="0" w:lastColumn="0" w:oddVBand="0" w:evenVBand="0" w:oddHBand="0" w:evenHBand="1"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5920" w:type="dxa"/>
            <w:tcBorders>
              <w:right w:val="none" w:sz="0" w:space="0" w:color="auto"/>
            </w:tcBorders>
          </w:tcPr>
          <w:p w:rsidR="0067735F" w:rsidRDefault="0067735F" w:rsidP="00342010">
            <w:pPr>
              <w:spacing w:before="120" w:after="120"/>
            </w:pPr>
            <w:r>
              <w:t>In paid work NOT directly related to field of study</w:t>
            </w:r>
            <w:r w:rsidR="00342010">
              <w:t>*</w:t>
            </w:r>
          </w:p>
          <w:p w:rsidR="00FE6CFF" w:rsidRDefault="00FE6CFF" w:rsidP="002E3268">
            <w:r>
              <w:rPr>
                <w:i/>
                <w:sz w:val="20"/>
              </w:rPr>
              <w:t>(Base: 37,765</w:t>
            </w:r>
            <w:r w:rsidRPr="0001468B">
              <w:rPr>
                <w:i/>
                <w:sz w:val="20"/>
              </w:rPr>
              <w:t xml:space="preserve"> respondents)</w:t>
            </w:r>
          </w:p>
        </w:tc>
        <w:tc>
          <w:tcPr>
            <w:tcW w:w="1276" w:type="dxa"/>
            <w:tcBorders>
              <w:left w:val="none" w:sz="0" w:space="0" w:color="auto"/>
              <w:right w:val="none" w:sz="0" w:space="0" w:color="auto"/>
            </w:tcBorders>
          </w:tcPr>
          <w:p w:rsidR="0067735F" w:rsidRDefault="0067735F">
            <w:pPr>
              <w:jc w:val="center"/>
              <w:cnfStyle w:val="000000010000" w:firstRow="0" w:lastRow="0" w:firstColumn="0" w:lastColumn="0" w:oddVBand="0" w:evenVBand="0" w:oddHBand="0" w:evenHBand="1" w:firstRowFirstColumn="0" w:firstRowLastColumn="0" w:lastRowFirstColumn="0" w:lastRowLastColumn="0"/>
            </w:pPr>
            <w:r>
              <w:t>24%</w:t>
            </w:r>
          </w:p>
        </w:tc>
        <w:tc>
          <w:tcPr>
            <w:tcW w:w="992" w:type="dxa"/>
            <w:tcBorders>
              <w:left w:val="none" w:sz="0" w:space="0" w:color="auto"/>
              <w:right w:val="none" w:sz="0" w:space="0" w:color="auto"/>
            </w:tcBorders>
          </w:tcPr>
          <w:p w:rsidR="0067735F" w:rsidRDefault="0067735F">
            <w:pPr>
              <w:jc w:val="center"/>
              <w:cnfStyle w:val="000000010000" w:firstRow="0" w:lastRow="0" w:firstColumn="0" w:lastColumn="0" w:oddVBand="0" w:evenVBand="0" w:oddHBand="0" w:evenHBand="1" w:firstRowFirstColumn="0" w:firstRowLastColumn="0" w:lastRowFirstColumn="0" w:lastRowLastColumn="0"/>
            </w:pPr>
            <w:r>
              <w:t>50%</w:t>
            </w:r>
          </w:p>
        </w:tc>
        <w:tc>
          <w:tcPr>
            <w:tcW w:w="992" w:type="dxa"/>
            <w:tcBorders>
              <w:left w:val="none" w:sz="0" w:space="0" w:color="auto"/>
            </w:tcBorders>
          </w:tcPr>
          <w:p w:rsidR="0067735F" w:rsidRDefault="0067735F">
            <w:pPr>
              <w:jc w:val="center"/>
              <w:cnfStyle w:val="000000010000" w:firstRow="0" w:lastRow="0" w:firstColumn="0" w:lastColumn="0" w:oddVBand="0" w:evenVBand="0" w:oddHBand="0" w:evenHBand="1" w:firstRowFirstColumn="0" w:firstRowLastColumn="0" w:lastRowFirstColumn="0" w:lastRowLastColumn="0"/>
            </w:pPr>
            <w:r>
              <w:t>N/A</w:t>
            </w:r>
          </w:p>
        </w:tc>
      </w:tr>
      <w:tr w:rsidR="0067735F" w:rsidTr="00274CC9">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5920" w:type="dxa"/>
            <w:tcBorders>
              <w:right w:val="none" w:sz="0" w:space="0" w:color="auto"/>
            </w:tcBorders>
          </w:tcPr>
          <w:p w:rsidR="0067735F" w:rsidRDefault="0067735F" w:rsidP="00342010">
            <w:pPr>
              <w:spacing w:before="120" w:after="120"/>
            </w:pPr>
            <w:r>
              <w:t>How important was working while studying a factor when deciding where to study*</w:t>
            </w:r>
          </w:p>
          <w:p w:rsidR="00FE6CFF" w:rsidRDefault="00FE6CFF" w:rsidP="002E3268">
            <w:r>
              <w:rPr>
                <w:i/>
                <w:sz w:val="20"/>
              </w:rPr>
              <w:t>(Base: 18,730</w:t>
            </w:r>
            <w:r w:rsidRPr="0001468B">
              <w:rPr>
                <w:i/>
                <w:sz w:val="20"/>
              </w:rPr>
              <w:t xml:space="preserve"> respondents)</w:t>
            </w:r>
          </w:p>
        </w:tc>
        <w:tc>
          <w:tcPr>
            <w:tcW w:w="1276" w:type="dxa"/>
            <w:tcBorders>
              <w:left w:val="none" w:sz="0" w:space="0" w:color="auto"/>
              <w:right w:val="none" w:sz="0" w:space="0" w:color="auto"/>
            </w:tcBorders>
          </w:tcPr>
          <w:p w:rsidR="0067735F" w:rsidRDefault="0067735F" w:rsidP="00342010">
            <w:pPr>
              <w:jc w:val="center"/>
              <w:cnfStyle w:val="000000100000" w:firstRow="0" w:lastRow="0" w:firstColumn="0" w:lastColumn="0" w:oddVBand="0" w:evenVBand="0" w:oddHBand="1" w:evenHBand="0" w:firstRowFirstColumn="0" w:firstRowLastColumn="0" w:lastRowFirstColumn="0" w:lastRowLastColumn="0"/>
            </w:pPr>
            <w:r>
              <w:t>76%</w:t>
            </w:r>
          </w:p>
        </w:tc>
        <w:tc>
          <w:tcPr>
            <w:tcW w:w="992" w:type="dxa"/>
            <w:tcBorders>
              <w:left w:val="none" w:sz="0" w:space="0" w:color="auto"/>
              <w:right w:val="none" w:sz="0" w:space="0" w:color="auto"/>
            </w:tcBorders>
          </w:tcPr>
          <w:p w:rsidR="0067735F" w:rsidRDefault="0067735F" w:rsidP="00342010">
            <w:pPr>
              <w:jc w:val="center"/>
              <w:cnfStyle w:val="000000100000" w:firstRow="0" w:lastRow="0" w:firstColumn="0" w:lastColumn="0" w:oddVBand="0" w:evenVBand="0" w:oddHBand="1" w:evenHBand="0" w:firstRowFirstColumn="0" w:firstRowLastColumn="0" w:lastRowFirstColumn="0" w:lastRowLastColumn="0"/>
            </w:pPr>
            <w:r>
              <w:t>87%</w:t>
            </w:r>
          </w:p>
        </w:tc>
        <w:tc>
          <w:tcPr>
            <w:tcW w:w="992" w:type="dxa"/>
            <w:tcBorders>
              <w:left w:val="none" w:sz="0" w:space="0" w:color="auto"/>
            </w:tcBorders>
          </w:tcPr>
          <w:p w:rsidR="0067735F" w:rsidRDefault="0067735F" w:rsidP="00342010">
            <w:pPr>
              <w:jc w:val="center"/>
              <w:cnfStyle w:val="000000100000" w:firstRow="0" w:lastRow="0" w:firstColumn="0" w:lastColumn="0" w:oddVBand="0" w:evenVBand="0" w:oddHBand="1" w:evenHBand="0" w:firstRowFirstColumn="0" w:firstRowLastColumn="0" w:lastRowFirstColumn="0" w:lastRowLastColumn="0"/>
            </w:pPr>
            <w:r>
              <w:t>N/A</w:t>
            </w:r>
          </w:p>
        </w:tc>
      </w:tr>
      <w:tr w:rsidR="0067735F" w:rsidTr="00274CC9">
        <w:trPr>
          <w:cnfStyle w:val="000000010000" w:firstRow="0" w:lastRow="0" w:firstColumn="0" w:lastColumn="0" w:oddVBand="0" w:evenVBand="0" w:oddHBand="0" w:evenHBand="1"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5920" w:type="dxa"/>
            <w:tcBorders>
              <w:right w:val="none" w:sz="0" w:space="0" w:color="auto"/>
            </w:tcBorders>
          </w:tcPr>
          <w:p w:rsidR="0067735F" w:rsidRDefault="0067735F" w:rsidP="00342010">
            <w:pPr>
              <w:spacing w:before="120" w:after="120"/>
            </w:pPr>
            <w:r>
              <w:t>How important was being able to work in this</w:t>
            </w:r>
            <w:r>
              <w:br/>
              <w:t>country following completion of studies</w:t>
            </w:r>
          </w:p>
          <w:p w:rsidR="00FE6CFF" w:rsidRDefault="00FE6CFF" w:rsidP="00EE2DB9">
            <w:r>
              <w:rPr>
                <w:i/>
                <w:sz w:val="20"/>
              </w:rPr>
              <w:t>(Base: 28,189</w:t>
            </w:r>
            <w:r w:rsidRPr="0001468B">
              <w:rPr>
                <w:i/>
                <w:sz w:val="20"/>
              </w:rPr>
              <w:t xml:space="preserve"> respondents)</w:t>
            </w:r>
          </w:p>
        </w:tc>
        <w:tc>
          <w:tcPr>
            <w:tcW w:w="1276" w:type="dxa"/>
            <w:tcBorders>
              <w:left w:val="none" w:sz="0" w:space="0" w:color="auto"/>
              <w:right w:val="none" w:sz="0" w:space="0" w:color="auto"/>
            </w:tcBorders>
          </w:tcPr>
          <w:p w:rsidR="0067735F" w:rsidRDefault="0067735F" w:rsidP="00342010">
            <w:pPr>
              <w:jc w:val="center"/>
              <w:cnfStyle w:val="000000010000" w:firstRow="0" w:lastRow="0" w:firstColumn="0" w:lastColumn="0" w:oddVBand="0" w:evenVBand="0" w:oddHBand="0" w:evenHBand="1" w:firstRowFirstColumn="0" w:firstRowLastColumn="0" w:lastRowFirstColumn="0" w:lastRowLastColumn="0"/>
            </w:pPr>
            <w:r>
              <w:t>78%</w:t>
            </w:r>
          </w:p>
        </w:tc>
        <w:tc>
          <w:tcPr>
            <w:tcW w:w="992" w:type="dxa"/>
            <w:tcBorders>
              <w:left w:val="none" w:sz="0" w:space="0" w:color="auto"/>
              <w:right w:val="none" w:sz="0" w:space="0" w:color="auto"/>
            </w:tcBorders>
          </w:tcPr>
          <w:p w:rsidR="0067735F" w:rsidRDefault="0067735F" w:rsidP="00342010">
            <w:pPr>
              <w:jc w:val="center"/>
              <w:cnfStyle w:val="000000010000" w:firstRow="0" w:lastRow="0" w:firstColumn="0" w:lastColumn="0" w:oddVBand="0" w:evenVBand="0" w:oddHBand="0" w:evenHBand="1" w:firstRowFirstColumn="0" w:firstRowLastColumn="0" w:lastRowFirstColumn="0" w:lastRowLastColumn="0"/>
            </w:pPr>
            <w:r>
              <w:t>83%</w:t>
            </w:r>
          </w:p>
        </w:tc>
        <w:tc>
          <w:tcPr>
            <w:tcW w:w="992" w:type="dxa"/>
            <w:tcBorders>
              <w:left w:val="none" w:sz="0" w:space="0" w:color="auto"/>
            </w:tcBorders>
          </w:tcPr>
          <w:p w:rsidR="0067735F" w:rsidRDefault="0067735F" w:rsidP="00342010">
            <w:pPr>
              <w:jc w:val="center"/>
              <w:cnfStyle w:val="000000010000" w:firstRow="0" w:lastRow="0" w:firstColumn="0" w:lastColumn="0" w:oddVBand="0" w:evenVBand="0" w:oddHBand="0" w:evenHBand="1" w:firstRowFirstColumn="0" w:firstRowLastColumn="0" w:lastRowFirstColumn="0" w:lastRowLastColumn="0"/>
            </w:pPr>
            <w:r>
              <w:t>67%</w:t>
            </w:r>
          </w:p>
        </w:tc>
      </w:tr>
    </w:tbl>
    <w:p w:rsidR="00221FEA" w:rsidRPr="00922DEB" w:rsidRDefault="004A1052" w:rsidP="0040764B">
      <w:pPr>
        <w:rPr>
          <w:i/>
          <w:sz w:val="20"/>
        </w:rPr>
      </w:pPr>
      <w:r>
        <w:rPr>
          <w:i/>
          <w:sz w:val="20"/>
        </w:rPr>
        <w:t>*</w:t>
      </w:r>
      <w:r w:rsidR="00D04B00" w:rsidRPr="00922DEB">
        <w:rPr>
          <w:i/>
          <w:sz w:val="20"/>
        </w:rPr>
        <w:t xml:space="preserve"> </w:t>
      </w:r>
      <w:proofErr w:type="spellStart"/>
      <w:r w:rsidR="00D04B00" w:rsidRPr="00922DEB">
        <w:rPr>
          <w:i/>
          <w:sz w:val="20"/>
        </w:rPr>
        <w:t>ELICOS</w:t>
      </w:r>
      <w:proofErr w:type="spellEnd"/>
      <w:r w:rsidR="00D04B00" w:rsidRPr="00922DEB">
        <w:rPr>
          <w:i/>
          <w:sz w:val="20"/>
        </w:rPr>
        <w:t xml:space="preserve"> respondents</w:t>
      </w:r>
      <w:r w:rsidR="00342010">
        <w:rPr>
          <w:i/>
          <w:sz w:val="20"/>
        </w:rPr>
        <w:t xml:space="preserve"> were not asked these questions</w:t>
      </w:r>
      <w:r w:rsidR="00D04B00" w:rsidRPr="00922DEB">
        <w:rPr>
          <w:i/>
          <w:sz w:val="20"/>
        </w:rPr>
        <w:t>.</w:t>
      </w:r>
      <w:r w:rsidR="00342010">
        <w:rPr>
          <w:i/>
          <w:sz w:val="20"/>
        </w:rPr>
        <w:t xml:space="preserve"> 16% of </w:t>
      </w:r>
      <w:r w:rsidR="00DE6DE3">
        <w:rPr>
          <w:i/>
          <w:sz w:val="20"/>
        </w:rPr>
        <w:t xml:space="preserve">10,654 </w:t>
      </w:r>
      <w:proofErr w:type="spellStart"/>
      <w:r w:rsidR="00DE6DE3">
        <w:rPr>
          <w:i/>
          <w:sz w:val="20"/>
        </w:rPr>
        <w:t>ELICOS</w:t>
      </w:r>
      <w:proofErr w:type="spellEnd"/>
      <w:r w:rsidR="00342010">
        <w:rPr>
          <w:i/>
          <w:sz w:val="20"/>
        </w:rPr>
        <w:t xml:space="preserve"> respondents reported that they were working part-time during their studies.</w:t>
      </w:r>
    </w:p>
    <w:p w:rsidR="00342010" w:rsidRDefault="00B20BF8" w:rsidP="0040764B">
      <w:r>
        <w:t>As noted</w:t>
      </w:r>
      <w:r w:rsidR="00342010">
        <w:t xml:space="preserve"> above, </w:t>
      </w:r>
      <w:proofErr w:type="spellStart"/>
      <w:r w:rsidR="00342010">
        <w:t>ELICOS</w:t>
      </w:r>
      <w:proofErr w:type="spellEnd"/>
      <w:r w:rsidR="00342010">
        <w:t xml:space="preserve"> students were not asked as many questions about </w:t>
      </w:r>
      <w:r w:rsidR="001E04E4">
        <w:t>employment</w:t>
      </w:r>
      <w:r w:rsidR="00342010">
        <w:t xml:space="preserve"> as students in higher education and VET. However, 16% of </w:t>
      </w:r>
      <w:proofErr w:type="spellStart"/>
      <w:r w:rsidR="00342010">
        <w:t>ELICOS</w:t>
      </w:r>
      <w:proofErr w:type="spellEnd"/>
      <w:r w:rsidR="00342010">
        <w:t xml:space="preserve"> students did report that they were working part-time while they were studying. </w:t>
      </w:r>
    </w:p>
    <w:p w:rsidR="001B02AA" w:rsidRDefault="00E511C0" w:rsidP="0040764B">
      <w:r w:rsidRPr="002D38E6">
        <w:t xml:space="preserve">Another element under the </w:t>
      </w:r>
      <w:r w:rsidR="0061308F">
        <w:rPr>
          <w:i/>
        </w:rPr>
        <w:t>l</w:t>
      </w:r>
      <w:r w:rsidRPr="00342010">
        <w:rPr>
          <w:i/>
        </w:rPr>
        <w:t>iving satisfaction</w:t>
      </w:r>
      <w:r w:rsidRPr="002D38E6">
        <w:t xml:space="preserve"> category that recorded relatively low levels of satisfaction across the sectors was </w:t>
      </w:r>
      <w:r w:rsidR="0061308F">
        <w:t>m</w:t>
      </w:r>
      <w:r w:rsidRPr="002D38E6">
        <w:rPr>
          <w:i/>
        </w:rPr>
        <w:t>aking friends (host country</w:t>
      </w:r>
      <w:r w:rsidRPr="002D38E6">
        <w:t xml:space="preserve">) with the </w:t>
      </w:r>
      <w:r w:rsidR="00682E9B">
        <w:t>higher education</w:t>
      </w:r>
      <w:r w:rsidRPr="002D38E6">
        <w:t xml:space="preserve"> scoring 6</w:t>
      </w:r>
      <w:r w:rsidR="009D3609" w:rsidRPr="002D38E6">
        <w:t>9</w:t>
      </w:r>
      <w:r w:rsidRPr="002D38E6">
        <w:t>% compared to 7</w:t>
      </w:r>
      <w:r w:rsidR="00C64A39" w:rsidRPr="002D38E6">
        <w:t>4</w:t>
      </w:r>
      <w:r w:rsidRPr="002D38E6">
        <w:t xml:space="preserve">% in the </w:t>
      </w:r>
      <w:proofErr w:type="spellStart"/>
      <w:r w:rsidRPr="002D38E6">
        <w:t>ISB</w:t>
      </w:r>
      <w:proofErr w:type="spellEnd"/>
      <w:r w:rsidRPr="002D38E6">
        <w:t xml:space="preserve">, </w:t>
      </w:r>
      <w:r w:rsidR="009D3609" w:rsidRPr="002D38E6">
        <w:t>80</w:t>
      </w:r>
      <w:r w:rsidRPr="002D38E6">
        <w:t xml:space="preserve">% for VET </w:t>
      </w:r>
      <w:r w:rsidR="009D3609" w:rsidRPr="002D38E6">
        <w:t>(</w:t>
      </w:r>
      <w:proofErr w:type="spellStart"/>
      <w:r w:rsidR="009D3609" w:rsidRPr="002D38E6">
        <w:t>ISB</w:t>
      </w:r>
      <w:proofErr w:type="spellEnd"/>
      <w:r w:rsidR="009D3609" w:rsidRPr="002D38E6">
        <w:t xml:space="preserve"> 81%) </w:t>
      </w:r>
      <w:r w:rsidRPr="002D38E6">
        <w:t>and 7</w:t>
      </w:r>
      <w:r w:rsidR="009D3609" w:rsidRPr="002D38E6">
        <w:t>3</w:t>
      </w:r>
      <w:r w:rsidRPr="002D38E6">
        <w:t xml:space="preserve">% for the </w:t>
      </w:r>
      <w:proofErr w:type="spellStart"/>
      <w:r w:rsidRPr="002D38E6">
        <w:t>ELICOS</w:t>
      </w:r>
      <w:proofErr w:type="spellEnd"/>
      <w:r w:rsidRPr="002D38E6">
        <w:t xml:space="preserve"> sector. </w:t>
      </w:r>
    </w:p>
    <w:p w:rsidR="00A91786" w:rsidRPr="002D38E6" w:rsidRDefault="00AF73AE" w:rsidP="0040764B">
      <w:pPr>
        <w:rPr>
          <w:color w:val="FF0000"/>
        </w:rPr>
      </w:pPr>
      <w:r w:rsidRPr="002D38E6">
        <w:lastRenderedPageBreak/>
        <w:t xml:space="preserve">Although satisfied with </w:t>
      </w:r>
      <w:r w:rsidR="0061308F">
        <w:rPr>
          <w:i/>
        </w:rPr>
        <w:t>i</w:t>
      </w:r>
      <w:r w:rsidRPr="002D38E6">
        <w:rPr>
          <w:i/>
        </w:rPr>
        <w:t>nternet access</w:t>
      </w:r>
      <w:r w:rsidRPr="002D38E6">
        <w:t xml:space="preserve"> upon arrival, when this aspect </w:t>
      </w:r>
      <w:r w:rsidR="002C333C" w:rsidRPr="002D38E6">
        <w:t>is viewed</w:t>
      </w:r>
      <w:r w:rsidRPr="002D38E6">
        <w:t xml:space="preserve"> as part of general living satisfaction</w:t>
      </w:r>
      <w:r w:rsidR="00CD1CC2">
        <w:t>,</w:t>
      </w:r>
      <w:r w:rsidRPr="002D38E6">
        <w:t xml:space="preserve"> </w:t>
      </w:r>
      <w:r w:rsidR="00A91786" w:rsidRPr="002D38E6">
        <w:t xml:space="preserve">access </w:t>
      </w:r>
      <w:r w:rsidR="00CD1CC2">
        <w:t>had</w:t>
      </w:r>
      <w:r w:rsidR="00A91786" w:rsidRPr="002D38E6">
        <w:t xml:space="preserve"> relatively low satisfaction scores </w:t>
      </w:r>
      <w:r w:rsidR="00CD1CC2">
        <w:t>for</w:t>
      </w:r>
      <w:r w:rsidR="00A91786" w:rsidRPr="002D38E6">
        <w:t xml:space="preserve"> both </w:t>
      </w:r>
      <w:r w:rsidR="003D4B4B">
        <w:t xml:space="preserve">higher education </w:t>
      </w:r>
      <w:r w:rsidR="00A91786" w:rsidRPr="002D38E6">
        <w:t xml:space="preserve">and </w:t>
      </w:r>
      <w:proofErr w:type="spellStart"/>
      <w:r w:rsidR="00A91786" w:rsidRPr="002D38E6">
        <w:t>ELICOS</w:t>
      </w:r>
      <w:proofErr w:type="spellEnd"/>
      <w:r w:rsidR="00A91786" w:rsidRPr="002D38E6">
        <w:t xml:space="preserve"> s</w:t>
      </w:r>
      <w:r w:rsidR="00CD1CC2">
        <w:t>tudents</w:t>
      </w:r>
      <w:r w:rsidR="00A91786" w:rsidRPr="002D38E6">
        <w:t xml:space="preserve">. </w:t>
      </w:r>
      <w:r w:rsidR="00047057">
        <w:t>H</w:t>
      </w:r>
      <w:r w:rsidR="00682E9B">
        <w:t>igher education</w:t>
      </w:r>
      <w:r w:rsidR="00A91786" w:rsidRPr="00E15451">
        <w:t xml:space="preserve"> sector satisfaction was 76%, </w:t>
      </w:r>
      <w:r w:rsidR="002C333C" w:rsidRPr="00E15451">
        <w:t>(</w:t>
      </w:r>
      <w:proofErr w:type="spellStart"/>
      <w:r w:rsidR="002C333C" w:rsidRPr="00E15451">
        <w:t>ISB</w:t>
      </w:r>
      <w:proofErr w:type="spellEnd"/>
      <w:r w:rsidR="002C333C" w:rsidRPr="00E15451">
        <w:t xml:space="preserve"> 81%)</w:t>
      </w:r>
      <w:r w:rsidR="00093F09" w:rsidRPr="00E15451">
        <w:t xml:space="preserve"> </w:t>
      </w:r>
      <w:r w:rsidR="00A91786" w:rsidRPr="00E15451">
        <w:t xml:space="preserve">which was similar to other survey years of 77% in 2012, and 75% in 2010. The </w:t>
      </w:r>
      <w:proofErr w:type="spellStart"/>
      <w:r w:rsidR="00A91786" w:rsidRPr="00E15451">
        <w:t>ELICOS</w:t>
      </w:r>
      <w:proofErr w:type="spellEnd"/>
      <w:r w:rsidR="00A91786" w:rsidRPr="00E15451">
        <w:t xml:space="preserve"> sector</w:t>
      </w:r>
      <w:r w:rsidR="00A91786" w:rsidRPr="002D38E6">
        <w:t xml:space="preserve"> reported a satisfaction level of 73% in 2014 which was down from 76% in 2012 but up from 67% in 2010. The VET sector satisfaction ratings</w:t>
      </w:r>
      <w:r w:rsidR="002A7848" w:rsidRPr="002D38E6">
        <w:t xml:space="preserve"> for this category continue to be consistent with</w:t>
      </w:r>
      <w:r w:rsidR="00A91786" w:rsidRPr="002D38E6">
        <w:t xml:space="preserve"> the 2014 rating being 8</w:t>
      </w:r>
      <w:r w:rsidR="002A7848" w:rsidRPr="002D38E6">
        <w:t>3</w:t>
      </w:r>
      <w:r w:rsidR="00A91786" w:rsidRPr="002D38E6">
        <w:t xml:space="preserve">% similar to the 2012 rating of 83% and the 2014 </w:t>
      </w:r>
      <w:proofErr w:type="spellStart"/>
      <w:r w:rsidR="00A91786" w:rsidRPr="002D38E6">
        <w:t>ISB</w:t>
      </w:r>
      <w:proofErr w:type="spellEnd"/>
      <w:r w:rsidR="00A91786" w:rsidRPr="002D38E6">
        <w:t xml:space="preserve"> rating of 8</w:t>
      </w:r>
      <w:r w:rsidR="002C333C" w:rsidRPr="002D38E6">
        <w:t>4</w:t>
      </w:r>
      <w:r w:rsidR="00A91786" w:rsidRPr="002D38E6">
        <w:t xml:space="preserve">%. </w:t>
      </w:r>
      <w:r w:rsidR="00FF73F0" w:rsidRPr="002D38E6">
        <w:t>The question related to this satisfaction merely asks for ‘</w:t>
      </w:r>
      <w:r w:rsidR="00FF73F0" w:rsidRPr="009B5F2A">
        <w:rPr>
          <w:i/>
        </w:rPr>
        <w:t xml:space="preserve">satisfaction with </w:t>
      </w:r>
      <w:r w:rsidR="009B5F2A" w:rsidRPr="009B5F2A">
        <w:rPr>
          <w:i/>
        </w:rPr>
        <w:t>Internet</w:t>
      </w:r>
      <w:r w:rsidR="00FF73F0" w:rsidRPr="009B5F2A">
        <w:rPr>
          <w:i/>
        </w:rPr>
        <w:t xml:space="preserve"> access at my </w:t>
      </w:r>
      <w:r w:rsidR="009B5F2A" w:rsidRPr="009B5F2A">
        <w:rPr>
          <w:i/>
        </w:rPr>
        <w:t>accommodation</w:t>
      </w:r>
      <w:r w:rsidR="00FF73F0" w:rsidRPr="009B5F2A">
        <w:rPr>
          <w:i/>
        </w:rPr>
        <w:t>’</w:t>
      </w:r>
      <w:r w:rsidR="00391428">
        <w:rPr>
          <w:i/>
        </w:rPr>
        <w:t>.</w:t>
      </w:r>
      <w:r w:rsidR="00FF73F0" w:rsidRPr="002D38E6">
        <w:t xml:space="preserve"> </w:t>
      </w:r>
      <w:r w:rsidR="00DE6DE3" w:rsidRPr="009B5F2A">
        <w:t xml:space="preserve">Cost may be a factor in satisfaction </w:t>
      </w:r>
      <w:r w:rsidR="00DE6DE3">
        <w:t>with</w:t>
      </w:r>
      <w:r w:rsidR="00DE6DE3" w:rsidRPr="009B5F2A">
        <w:t xml:space="preserve"> </w:t>
      </w:r>
      <w:r w:rsidR="00DE6DE3">
        <w:rPr>
          <w:i/>
        </w:rPr>
        <w:t>i</w:t>
      </w:r>
      <w:r w:rsidR="00DE6DE3" w:rsidRPr="00922DEB">
        <w:rPr>
          <w:i/>
        </w:rPr>
        <w:t>nternet access</w:t>
      </w:r>
      <w:r w:rsidR="00DE6DE3" w:rsidRPr="009B5F2A">
        <w:t xml:space="preserve">, </w:t>
      </w:r>
      <w:r w:rsidR="00DE6DE3">
        <w:t>as well as internet speed</w:t>
      </w:r>
      <w:r w:rsidR="00DE6DE3" w:rsidRPr="009B5F2A">
        <w:t xml:space="preserve">. </w:t>
      </w:r>
      <w:r w:rsidR="009B5F2A">
        <w:t>Without a more thorough question t</w:t>
      </w:r>
      <w:r w:rsidR="00FF73F0" w:rsidRPr="009B5F2A">
        <w:t xml:space="preserve">here is not enough information in the </w:t>
      </w:r>
      <w:proofErr w:type="spellStart"/>
      <w:r w:rsidR="00FF73F0" w:rsidRPr="009B5F2A">
        <w:t>ISS</w:t>
      </w:r>
      <w:proofErr w:type="spellEnd"/>
      <w:r w:rsidR="00FF73F0" w:rsidRPr="009B5F2A">
        <w:t xml:space="preserve"> to delineate why students are not satisfied.</w:t>
      </w:r>
      <w:r w:rsidR="00FF73F0" w:rsidRPr="002D38E6">
        <w:rPr>
          <w:color w:val="FF0000"/>
        </w:rPr>
        <w:t xml:space="preserve"> </w:t>
      </w:r>
    </w:p>
    <w:p w:rsidR="001B02AA" w:rsidRDefault="00435443" w:rsidP="0040764B">
      <w:r w:rsidRPr="002D38E6">
        <w:t>Eighty-one</w:t>
      </w:r>
      <w:r w:rsidR="00386FCE" w:rsidRPr="002D38E6">
        <w:t xml:space="preserve"> per cent of all </w:t>
      </w:r>
      <w:r w:rsidR="00086B4D">
        <w:t>schools</w:t>
      </w:r>
      <w:r w:rsidR="00386FCE" w:rsidRPr="002D38E6">
        <w:t xml:space="preserve"> sector respondents indicated that they were satis</w:t>
      </w:r>
      <w:r w:rsidRPr="002D38E6">
        <w:t xml:space="preserve">fied with living in Australia. As in </w:t>
      </w:r>
      <w:r w:rsidR="00CD1CC2">
        <w:t>the other sectors, satisfaction with</w:t>
      </w:r>
      <w:r w:rsidRPr="002D38E6">
        <w:t xml:space="preserve"> </w:t>
      </w:r>
      <w:r w:rsidR="0061308F">
        <w:rPr>
          <w:i/>
        </w:rPr>
        <w:t>s</w:t>
      </w:r>
      <w:r w:rsidRPr="002D38E6">
        <w:rPr>
          <w:i/>
        </w:rPr>
        <w:t>afety</w:t>
      </w:r>
      <w:r w:rsidRPr="002D38E6">
        <w:t xml:space="preserve"> </w:t>
      </w:r>
      <w:r w:rsidR="00CD1CC2">
        <w:t>was high at 80%. However,</w:t>
      </w:r>
      <w:r w:rsidR="00386FCE" w:rsidRPr="002D38E6">
        <w:t xml:space="preserve"> </w:t>
      </w:r>
      <w:r w:rsidRPr="002D38E6">
        <w:t>only 39%</w:t>
      </w:r>
      <w:r w:rsidR="00386FCE" w:rsidRPr="002D38E6">
        <w:t xml:space="preserve"> were satisfied with </w:t>
      </w:r>
      <w:r w:rsidR="0061308F">
        <w:rPr>
          <w:i/>
          <w:iCs/>
        </w:rPr>
        <w:t>l</w:t>
      </w:r>
      <w:r w:rsidR="00386FCE" w:rsidRPr="002D38E6">
        <w:rPr>
          <w:i/>
          <w:iCs/>
        </w:rPr>
        <w:t>iving cost</w:t>
      </w:r>
      <w:r w:rsidR="00CD1CC2">
        <w:rPr>
          <w:i/>
          <w:iCs/>
        </w:rPr>
        <w:t>s</w:t>
      </w:r>
      <w:r w:rsidR="00386FCE" w:rsidRPr="002D38E6">
        <w:t xml:space="preserve"> and</w:t>
      </w:r>
      <w:r w:rsidRPr="002D38E6">
        <w:t xml:space="preserve"> only 48% were satisfied with</w:t>
      </w:r>
      <w:r w:rsidR="00CD1CC2">
        <w:t xml:space="preserve"> opportunities for</w:t>
      </w:r>
      <w:r w:rsidRPr="002D38E6">
        <w:t xml:space="preserve"> </w:t>
      </w:r>
      <w:r w:rsidR="0061308F" w:rsidRPr="004A67D7">
        <w:rPr>
          <w:i/>
        </w:rPr>
        <w:t>f</w:t>
      </w:r>
      <w:r w:rsidRPr="002D38E6">
        <w:rPr>
          <w:i/>
        </w:rPr>
        <w:t>inding part time or casual work</w:t>
      </w:r>
      <w:r w:rsidR="00CD1CC2">
        <w:t>, with</w:t>
      </w:r>
      <w:r w:rsidR="00441BBC" w:rsidRPr="00511FF4">
        <w:t xml:space="preserve"> 2</w:t>
      </w:r>
      <w:r w:rsidR="004E3E8D">
        <w:t>5</w:t>
      </w:r>
      <w:r w:rsidR="00441BBC" w:rsidRPr="00511FF4">
        <w:t xml:space="preserve">% </w:t>
      </w:r>
      <w:r w:rsidR="00CD1CC2">
        <w:t xml:space="preserve">of the school survey cohort </w:t>
      </w:r>
      <w:r w:rsidR="00441BBC" w:rsidRPr="00511FF4">
        <w:t>report</w:t>
      </w:r>
      <w:r w:rsidR="00CD1CC2">
        <w:t>ing</w:t>
      </w:r>
      <w:r w:rsidR="00441BBC" w:rsidRPr="00511FF4">
        <w:t xml:space="preserve"> </w:t>
      </w:r>
      <w:r w:rsidR="001B02AA">
        <w:t xml:space="preserve">that they </w:t>
      </w:r>
      <w:r w:rsidR="00CD1CC2">
        <w:t>had gained part-time work</w:t>
      </w:r>
      <w:r w:rsidR="001B02AA">
        <w:t>.</w:t>
      </w:r>
    </w:p>
    <w:p w:rsidR="00386FCE" w:rsidRDefault="001B02AA" w:rsidP="0040764B">
      <w:r>
        <w:t>Eight</w:t>
      </w:r>
      <w:r w:rsidR="004A67D7">
        <w:t>y</w:t>
      </w:r>
      <w:r>
        <w:t xml:space="preserve">-six per cent of international school student respondents indicated </w:t>
      </w:r>
      <w:r w:rsidR="002D7E44" w:rsidRPr="002D38E6">
        <w:t>they would like</w:t>
      </w:r>
      <w:r>
        <w:t xml:space="preserve"> to</w:t>
      </w:r>
      <w:r w:rsidR="002D7E44" w:rsidRPr="002D38E6">
        <w:t xml:space="preserve"> </w:t>
      </w:r>
      <w:r w:rsidR="00AA4740">
        <w:t xml:space="preserve">have </w:t>
      </w:r>
      <w:r>
        <w:t>ma</w:t>
      </w:r>
      <w:r w:rsidR="00AA4740">
        <w:t>d</w:t>
      </w:r>
      <w:r>
        <w:t xml:space="preserve">e </w:t>
      </w:r>
      <w:r w:rsidR="002D7E44" w:rsidRPr="002D38E6">
        <w:t xml:space="preserve">more Australian friends. This is </w:t>
      </w:r>
      <w:r>
        <w:t>similar</w:t>
      </w:r>
      <w:r w:rsidR="002D7E44" w:rsidRPr="002D38E6">
        <w:t xml:space="preserve"> to the 2012 </w:t>
      </w:r>
      <w:r>
        <w:t xml:space="preserve">survey </w:t>
      </w:r>
      <w:r w:rsidR="002D7E44" w:rsidRPr="002D38E6">
        <w:t>findings</w:t>
      </w:r>
      <w:r w:rsidR="00F03C4A">
        <w:t xml:space="preserve"> and also similar to the experiences of tertiary students </w:t>
      </w:r>
      <w:r w:rsidR="00CD1CC2">
        <w:t>outlined above</w:t>
      </w:r>
      <w:r w:rsidR="002D7E44" w:rsidRPr="002D38E6">
        <w:t xml:space="preserve">. </w:t>
      </w:r>
      <w:r w:rsidR="00386FCE" w:rsidRPr="002D38E6">
        <w:t xml:space="preserve">While </w:t>
      </w:r>
      <w:r w:rsidR="00640158">
        <w:t>64%</w:t>
      </w:r>
      <w:r w:rsidR="00386FCE" w:rsidRPr="002D38E6">
        <w:t xml:space="preserve"> of all </w:t>
      </w:r>
      <w:r w:rsidR="00086B4D">
        <w:t>schools</w:t>
      </w:r>
      <w:r w:rsidR="00386FCE" w:rsidRPr="002D38E6">
        <w:t xml:space="preserve"> sector respondents indicated that they had made an effort to make friends with Australian students, </w:t>
      </w:r>
      <w:r w:rsidR="002D7E44" w:rsidRPr="002D38E6">
        <w:t>39</w:t>
      </w:r>
      <w:r w:rsidR="00386FCE" w:rsidRPr="002D38E6">
        <w:t>% felt that Australian students were not interested in interacting more with international students</w:t>
      </w:r>
      <w:r>
        <w:t xml:space="preserve"> and 45%</w:t>
      </w:r>
      <w:r w:rsidR="00386FCE" w:rsidRPr="002D38E6">
        <w:t xml:space="preserve"> thought that their English ability was a barrier to making friends with Australian students. </w:t>
      </w:r>
    </w:p>
    <w:p w:rsidR="00386FCE" w:rsidRPr="002D38E6" w:rsidRDefault="004841F8" w:rsidP="00BF310A">
      <w:pPr>
        <w:spacing w:before="1100" w:after="0"/>
        <w:rPr>
          <w:rFonts w:cstheme="minorHAnsi"/>
          <w:b/>
        </w:rPr>
      </w:pPr>
      <w:r>
        <w:rPr>
          <w:noProof/>
          <w:lang w:eastAsia="en-AU"/>
        </w:rPr>
        <w:drawing>
          <wp:inline distT="0" distB="0" distL="0" distR="0" wp14:anchorId="6C2827C3" wp14:editId="5B8A4A44">
            <wp:extent cx="5581650" cy="3496417"/>
            <wp:effectExtent l="0" t="0" r="0" b="8890"/>
            <wp:docPr id="11" name="Picture 11" descr="Students interacting over a written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_000022774447_.jpg"/>
                    <pic:cNvPicPr/>
                  </pic:nvPicPr>
                  <pic:blipFill>
                    <a:blip r:embed="rId33">
                      <a:extLst>
                        <a:ext uri="{28A0092B-C50C-407E-A947-70E740481C1C}">
                          <a14:useLocalDpi xmlns:a14="http://schemas.microsoft.com/office/drawing/2010/main" val="0"/>
                        </a:ext>
                      </a:extLst>
                    </a:blip>
                    <a:stretch>
                      <a:fillRect/>
                    </a:stretch>
                  </pic:blipFill>
                  <pic:spPr>
                    <a:xfrm>
                      <a:off x="0" y="0"/>
                      <a:ext cx="5584532" cy="3498222"/>
                    </a:xfrm>
                    <a:prstGeom prst="rect">
                      <a:avLst/>
                    </a:prstGeom>
                  </pic:spPr>
                </pic:pic>
              </a:graphicData>
            </a:graphic>
          </wp:inline>
        </w:drawing>
      </w:r>
      <w:r w:rsidR="00386FCE" w:rsidRPr="002D38E6">
        <w:br w:type="page"/>
      </w:r>
    </w:p>
    <w:p w:rsidR="00C17AE2" w:rsidRPr="002D38E6" w:rsidRDefault="00386FCE" w:rsidP="00093F09">
      <w:pPr>
        <w:pStyle w:val="Heading2"/>
      </w:pPr>
      <w:bookmarkStart w:id="57" w:name="_Toc278311561"/>
      <w:bookmarkStart w:id="58" w:name="_Toc415743335"/>
      <w:bookmarkStart w:id="59" w:name="_Toc417300808"/>
      <w:r w:rsidRPr="002D38E6">
        <w:lastRenderedPageBreak/>
        <w:t>Satisfaction with support services</w:t>
      </w:r>
      <w:bookmarkEnd w:id="57"/>
      <w:bookmarkEnd w:id="58"/>
      <w:bookmarkEnd w:id="59"/>
    </w:p>
    <w:p w:rsidR="00E502FB" w:rsidRDefault="006B171C" w:rsidP="000E5583">
      <w:pPr>
        <w:pStyle w:val="box"/>
      </w:pPr>
      <w:r>
        <w:t xml:space="preserve">Support services are facilities that make challenging situations better. These include a range of services such as health and disability services, ability to access food outlets on campus to IT support. </w:t>
      </w:r>
    </w:p>
    <w:p w:rsidR="005330E4" w:rsidRPr="002D38E6" w:rsidRDefault="005330E4" w:rsidP="000E5583">
      <w:pPr>
        <w:pStyle w:val="box"/>
      </w:pPr>
      <w:r w:rsidRPr="002D38E6">
        <w:t>As in similar surveys</w:t>
      </w:r>
      <w:r w:rsidR="00B1111D">
        <w:t>,</w:t>
      </w:r>
      <w:r w:rsidRPr="002D38E6">
        <w:t xml:space="preserve"> satisfaction with support services continues to be high across the sectors. In the </w:t>
      </w:r>
      <w:r w:rsidR="003D4B4B">
        <w:t xml:space="preserve">higher education </w:t>
      </w:r>
      <w:r w:rsidRPr="002D38E6">
        <w:t>sector 8</w:t>
      </w:r>
      <w:r w:rsidR="00AF0B9B" w:rsidRPr="002D38E6">
        <w:t>9</w:t>
      </w:r>
      <w:r w:rsidRPr="002D38E6">
        <w:t xml:space="preserve">%, </w:t>
      </w:r>
      <w:proofErr w:type="gramStart"/>
      <w:r w:rsidRPr="002D38E6">
        <w:t>were satisfied or very satisfied with support service</w:t>
      </w:r>
      <w:proofErr w:type="gramEnd"/>
      <w:r w:rsidRPr="002D38E6">
        <w:t xml:space="preserve"> in the 2014 survey </w:t>
      </w:r>
      <w:r w:rsidR="00AF0B9B" w:rsidRPr="002D38E6">
        <w:t xml:space="preserve">similar to the 2012 survey response of 88%. </w:t>
      </w:r>
      <w:r w:rsidRPr="002D38E6">
        <w:t xml:space="preserve">This was up from the 2010 satisfaction of 86%. In the </w:t>
      </w:r>
      <w:r w:rsidR="00682E9B">
        <w:t>higher education</w:t>
      </w:r>
      <w:r w:rsidRPr="002D38E6">
        <w:t xml:space="preserve"> sector Australia was just slightly below the </w:t>
      </w:r>
      <w:proofErr w:type="spellStart"/>
      <w:r w:rsidRPr="002D38E6">
        <w:t>ISB</w:t>
      </w:r>
      <w:proofErr w:type="spellEnd"/>
      <w:r w:rsidRPr="002D38E6">
        <w:t xml:space="preserve"> in 2014, which was </w:t>
      </w:r>
      <w:r w:rsidR="00AF0B9B" w:rsidRPr="002D38E6">
        <w:t>90</w:t>
      </w:r>
      <w:r w:rsidRPr="002D38E6">
        <w:t xml:space="preserve">%. </w:t>
      </w:r>
    </w:p>
    <w:p w:rsidR="00C17AE2" w:rsidRDefault="005330E4" w:rsidP="000E5583">
      <w:pPr>
        <w:pStyle w:val="box"/>
      </w:pPr>
      <w:r w:rsidRPr="002D38E6">
        <w:t>The overall satisfaction in the VET sector was 8</w:t>
      </w:r>
      <w:r w:rsidR="001F6354" w:rsidRPr="002D38E6">
        <w:t>7</w:t>
      </w:r>
      <w:r w:rsidRPr="002D38E6">
        <w:t xml:space="preserve">% with the </w:t>
      </w:r>
      <w:proofErr w:type="spellStart"/>
      <w:r w:rsidRPr="002D38E6">
        <w:t>ISB</w:t>
      </w:r>
      <w:proofErr w:type="spellEnd"/>
      <w:r w:rsidRPr="002D38E6">
        <w:t xml:space="preserve"> benchmark being </w:t>
      </w:r>
      <w:r w:rsidR="003A6B3B" w:rsidRPr="002D38E6">
        <w:t xml:space="preserve">89%. The 2014 satisfaction level in this sector was similar to the 2012 survey finding of 87%. In the </w:t>
      </w:r>
      <w:proofErr w:type="spellStart"/>
      <w:r w:rsidR="003A6B3B" w:rsidRPr="002D38E6">
        <w:t>ELICOS</w:t>
      </w:r>
      <w:proofErr w:type="spellEnd"/>
      <w:r w:rsidR="003A6B3B" w:rsidRPr="002D38E6">
        <w:t xml:space="preserve"> sector satisfaction with overall support is ranked very high at 92%. This is higher than the 2012 survey rating of 83%</w:t>
      </w:r>
      <w:r w:rsidR="00E502FB">
        <w:t>.</w:t>
      </w:r>
    </w:p>
    <w:p w:rsidR="00E502FB" w:rsidRDefault="00E502FB" w:rsidP="000E5583">
      <w:pPr>
        <w:pStyle w:val="box"/>
      </w:pPr>
      <w:r>
        <w:t xml:space="preserve">Throughout Australia support services are normal aspect of our tertiary community. They are well utilised by domestic students, and the satisfaction ratings suggest they are also used by International students. In times of fiscal restraint the satisfaction levels in this category suggest these services should not be seen as a luxury but as a necessary part of assisting students to reach their potential. </w:t>
      </w:r>
    </w:p>
    <w:p w:rsidR="00A62DD6" w:rsidRPr="00922DEB" w:rsidRDefault="0061308F" w:rsidP="000E5583">
      <w:pPr>
        <w:pStyle w:val="box"/>
      </w:pPr>
      <w:r>
        <w:t>[</w:t>
      </w:r>
      <w:r w:rsidR="00A62DD6" w:rsidRPr="00922DEB">
        <w:t xml:space="preserve">Information about how satisfied students were with the various support services offered by education providers was sought from those respondents who had indicated they </w:t>
      </w:r>
      <w:r w:rsidR="00A62DD6">
        <w:t>had</w:t>
      </w:r>
      <w:r w:rsidR="00A62DD6" w:rsidRPr="00922DEB">
        <w:t xml:space="preserve"> used such services.</w:t>
      </w:r>
      <w:r>
        <w:t>]</w:t>
      </w:r>
    </w:p>
    <w:p w:rsidR="00A70FEB" w:rsidRPr="002D38E6" w:rsidRDefault="00A70FEB" w:rsidP="0040764B">
      <w:r w:rsidRPr="002D38E6">
        <w:t xml:space="preserve">The survey findings in this section are similar to the findings in the </w:t>
      </w:r>
      <w:r w:rsidR="0061308F" w:rsidRPr="00072C24">
        <w:rPr>
          <w:i/>
        </w:rPr>
        <w:t>l</w:t>
      </w:r>
      <w:r w:rsidRPr="00072C24">
        <w:rPr>
          <w:i/>
        </w:rPr>
        <w:t>iving in Australia</w:t>
      </w:r>
      <w:r w:rsidRPr="002D38E6">
        <w:t xml:space="preserve"> section as many of the support services related directly to living satisfaction. </w:t>
      </w:r>
      <w:r w:rsidR="001F469D">
        <w:t xml:space="preserve">Where appropriate more analysis of several of these aspects is found in the </w:t>
      </w:r>
      <w:r w:rsidR="001F469D" w:rsidRPr="00072C24">
        <w:rPr>
          <w:i/>
        </w:rPr>
        <w:t>living in Australia</w:t>
      </w:r>
      <w:r w:rsidR="001F469D">
        <w:t xml:space="preserve"> section of this report. </w:t>
      </w:r>
    </w:p>
    <w:p w:rsidR="00E11A3B" w:rsidRPr="002D38E6" w:rsidRDefault="00A70FEB" w:rsidP="0040764B">
      <w:r w:rsidRPr="002D38E6">
        <w:t xml:space="preserve">Support </w:t>
      </w:r>
      <w:r w:rsidR="0061308F">
        <w:t>s</w:t>
      </w:r>
      <w:r w:rsidR="0061308F" w:rsidRPr="002D38E6">
        <w:t xml:space="preserve">ervices </w:t>
      </w:r>
      <w:r w:rsidRPr="002D38E6">
        <w:t xml:space="preserve">included areas such as </w:t>
      </w:r>
      <w:r w:rsidR="0061308F" w:rsidRPr="004A67D7">
        <w:rPr>
          <w:i/>
        </w:rPr>
        <w:t>d</w:t>
      </w:r>
      <w:r w:rsidR="00E11A3B" w:rsidRPr="002D38E6">
        <w:rPr>
          <w:i/>
        </w:rPr>
        <w:t xml:space="preserve">isability support, </w:t>
      </w:r>
      <w:r w:rsidR="0061308F">
        <w:rPr>
          <w:i/>
        </w:rPr>
        <w:t>h</w:t>
      </w:r>
      <w:r w:rsidR="0061308F" w:rsidRPr="002D38E6">
        <w:rPr>
          <w:i/>
        </w:rPr>
        <w:t xml:space="preserve">ealth </w:t>
      </w:r>
      <w:r w:rsidR="0061308F">
        <w:rPr>
          <w:i/>
        </w:rPr>
        <w:t>c</w:t>
      </w:r>
      <w:r w:rsidR="0061308F" w:rsidRPr="002D38E6">
        <w:rPr>
          <w:i/>
        </w:rPr>
        <w:t>entre</w:t>
      </w:r>
      <w:r w:rsidR="00E11A3B" w:rsidRPr="002D38E6">
        <w:rPr>
          <w:i/>
        </w:rPr>
        <w:t xml:space="preserve">, </w:t>
      </w:r>
      <w:r w:rsidR="0061308F">
        <w:rPr>
          <w:i/>
        </w:rPr>
        <w:t>s</w:t>
      </w:r>
      <w:r w:rsidR="0061308F" w:rsidRPr="002D38E6">
        <w:rPr>
          <w:i/>
        </w:rPr>
        <w:t xml:space="preserve">tudent </w:t>
      </w:r>
      <w:r w:rsidR="00E11A3B" w:rsidRPr="002D38E6">
        <w:rPr>
          <w:i/>
        </w:rPr>
        <w:t xml:space="preserve">advisory and </w:t>
      </w:r>
      <w:r w:rsidR="0061308F">
        <w:rPr>
          <w:i/>
        </w:rPr>
        <w:t>f</w:t>
      </w:r>
      <w:r w:rsidR="0061308F" w:rsidRPr="002D38E6">
        <w:rPr>
          <w:i/>
        </w:rPr>
        <w:t xml:space="preserve">aith </w:t>
      </w:r>
      <w:r w:rsidR="00E11A3B" w:rsidRPr="002D38E6">
        <w:rPr>
          <w:i/>
        </w:rPr>
        <w:t>provision</w:t>
      </w:r>
      <w:r w:rsidR="00E11A3B" w:rsidRPr="002D38E6">
        <w:t xml:space="preserve">. All of these services recorded ratings in the mid to low 90% in both the </w:t>
      </w:r>
      <w:r w:rsidR="00682E9B">
        <w:t>higher education</w:t>
      </w:r>
      <w:r w:rsidR="00E11A3B" w:rsidRPr="002D38E6">
        <w:t xml:space="preserve"> and VET sectors. </w:t>
      </w:r>
      <w:r w:rsidR="00C9231B">
        <w:t xml:space="preserve">These </w:t>
      </w:r>
      <w:r w:rsidR="00072C24">
        <w:t xml:space="preserve">high </w:t>
      </w:r>
      <w:r w:rsidR="00C9231B">
        <w:t xml:space="preserve">satisfaction ratings reflect the </w:t>
      </w:r>
      <w:r w:rsidR="00072C24">
        <w:t xml:space="preserve">extent of </w:t>
      </w:r>
      <w:r w:rsidR="00C9231B">
        <w:t xml:space="preserve">services Australia has in place for all students and indicates </w:t>
      </w:r>
      <w:r w:rsidR="00072C24">
        <w:t xml:space="preserve">that </w:t>
      </w:r>
      <w:r w:rsidR="0061308F">
        <w:t>i</w:t>
      </w:r>
      <w:r w:rsidR="00C9231B">
        <w:t xml:space="preserve">nternational </w:t>
      </w:r>
      <w:r w:rsidR="00072C24">
        <w:t>students</w:t>
      </w:r>
      <w:r w:rsidR="00C9231B">
        <w:t xml:space="preserve"> </w:t>
      </w:r>
      <w:r w:rsidR="00072C24">
        <w:t xml:space="preserve">particularly </w:t>
      </w:r>
      <w:r w:rsidR="00C9231B">
        <w:t>value the</w:t>
      </w:r>
      <w:r w:rsidR="00072C24">
        <w:t>m</w:t>
      </w:r>
      <w:r w:rsidR="00C9231B">
        <w:t xml:space="preserve">. In many </w:t>
      </w:r>
      <w:r w:rsidR="00072C24">
        <w:t>Australian institutions</w:t>
      </w:r>
      <w:r w:rsidR="00C9231B">
        <w:t xml:space="preserve"> these services are offered in different </w:t>
      </w:r>
      <w:r w:rsidR="00E670E4">
        <w:t>languages</w:t>
      </w:r>
      <w:r w:rsidR="00072C24">
        <w:t>, to further assist international students</w:t>
      </w:r>
      <w:r w:rsidR="00C9231B">
        <w:t xml:space="preserve">. </w:t>
      </w:r>
    </w:p>
    <w:p w:rsidR="00AD4EAE" w:rsidRPr="002D38E6" w:rsidRDefault="00AD4EAE" w:rsidP="0040764B">
      <w:r w:rsidRPr="002D38E6">
        <w:t xml:space="preserve">The support service </w:t>
      </w:r>
      <w:r w:rsidR="0061308F">
        <w:rPr>
          <w:i/>
        </w:rPr>
        <w:t>c</w:t>
      </w:r>
      <w:r w:rsidR="0061308F" w:rsidRPr="002D38E6">
        <w:rPr>
          <w:i/>
        </w:rPr>
        <w:t xml:space="preserve">areers </w:t>
      </w:r>
      <w:r w:rsidR="003A39C6">
        <w:rPr>
          <w:i/>
        </w:rPr>
        <w:t>service</w:t>
      </w:r>
      <w:r w:rsidRPr="002D38E6">
        <w:t xml:space="preserve"> </w:t>
      </w:r>
      <w:r w:rsidR="007D6327" w:rsidRPr="002D38E6">
        <w:t>was</w:t>
      </w:r>
      <w:r w:rsidRPr="002D38E6">
        <w:t xml:space="preserve"> viewed with lower satisfaction levels across the sectors than other </w:t>
      </w:r>
      <w:r w:rsidR="007D6327" w:rsidRPr="002D38E6">
        <w:t xml:space="preserve">support </w:t>
      </w:r>
      <w:r w:rsidRPr="002D38E6">
        <w:t>categories.</w:t>
      </w:r>
      <w:r w:rsidR="00F51ADF" w:rsidRPr="002D38E6">
        <w:t xml:space="preserve"> In the </w:t>
      </w:r>
      <w:r w:rsidR="00682E9B">
        <w:t>higher education</w:t>
      </w:r>
      <w:r w:rsidR="00F51ADF" w:rsidRPr="002D38E6">
        <w:t xml:space="preserve"> sector 83% respondents reported they were satisfied with the service provided. The </w:t>
      </w:r>
      <w:proofErr w:type="spellStart"/>
      <w:r w:rsidR="00F51ADF" w:rsidRPr="002D38E6">
        <w:t>ISB</w:t>
      </w:r>
      <w:proofErr w:type="spellEnd"/>
      <w:r w:rsidR="00F51ADF" w:rsidRPr="002D38E6">
        <w:t xml:space="preserve"> for this category was 86%. This satisfaction level is down from 2012 in this sector where it was reported at 85%. In the VET sector respondents had satisfaction levels </w:t>
      </w:r>
      <w:r w:rsidR="000F4883" w:rsidRPr="002D38E6">
        <w:t xml:space="preserve">in </w:t>
      </w:r>
      <w:r w:rsidR="00F51ADF" w:rsidRPr="002D38E6">
        <w:t xml:space="preserve">the 2014 survey </w:t>
      </w:r>
      <w:r w:rsidR="000F4883" w:rsidRPr="002D38E6">
        <w:t>of</w:t>
      </w:r>
      <w:r w:rsidR="00F51ADF" w:rsidRPr="002D38E6">
        <w:t xml:space="preserve"> 8</w:t>
      </w:r>
      <w:r w:rsidR="000F4883" w:rsidRPr="002D38E6">
        <w:t>7</w:t>
      </w:r>
      <w:r w:rsidR="00F51ADF" w:rsidRPr="002D38E6">
        <w:t>%</w:t>
      </w:r>
      <w:r w:rsidR="001C628E">
        <w:t xml:space="preserve"> </w:t>
      </w:r>
      <w:r w:rsidR="00F51ADF" w:rsidRPr="002D38E6">
        <w:t>(</w:t>
      </w:r>
      <w:proofErr w:type="spellStart"/>
      <w:r w:rsidR="00F51ADF" w:rsidRPr="002D38E6">
        <w:t>ISB</w:t>
      </w:r>
      <w:proofErr w:type="spellEnd"/>
      <w:r w:rsidR="00F51ADF" w:rsidRPr="002D38E6">
        <w:t xml:space="preserve"> 8</w:t>
      </w:r>
      <w:r w:rsidR="000F4883" w:rsidRPr="002D38E6">
        <w:t>9</w:t>
      </w:r>
      <w:r w:rsidR="00072C24">
        <w:t>%), also a slight decline from 90% in 2012.</w:t>
      </w:r>
    </w:p>
    <w:p w:rsidR="00072C24" w:rsidRDefault="00F51ADF" w:rsidP="0040764B">
      <w:r w:rsidRPr="002D38E6">
        <w:t xml:space="preserve">In the area of </w:t>
      </w:r>
      <w:r w:rsidR="0031723F">
        <w:rPr>
          <w:i/>
        </w:rPr>
        <w:t>c</w:t>
      </w:r>
      <w:r w:rsidRPr="002D38E6">
        <w:rPr>
          <w:i/>
        </w:rPr>
        <w:t>ounselling</w:t>
      </w:r>
      <w:r w:rsidR="003A39C6">
        <w:rPr>
          <w:i/>
        </w:rPr>
        <w:t xml:space="preserve"> services</w:t>
      </w:r>
      <w:r w:rsidRPr="002D38E6">
        <w:t xml:space="preserve"> satisfaction rates were similar to those reported in the 2012 survey with results being </w:t>
      </w:r>
      <w:r w:rsidR="00682E9B">
        <w:t>higher education</w:t>
      </w:r>
      <w:r w:rsidRPr="002D38E6">
        <w:t xml:space="preserve"> 91%</w:t>
      </w:r>
      <w:r w:rsidR="001C628E">
        <w:t xml:space="preserve"> </w:t>
      </w:r>
      <w:r w:rsidRPr="002D38E6">
        <w:t>(same as 2012)</w:t>
      </w:r>
      <w:r w:rsidR="00774066" w:rsidRPr="002D38E6">
        <w:t>, VET 9</w:t>
      </w:r>
      <w:r w:rsidR="0021783C" w:rsidRPr="002D38E6">
        <w:t>4</w:t>
      </w:r>
      <w:r w:rsidR="00774066" w:rsidRPr="002D38E6">
        <w:t>%</w:t>
      </w:r>
      <w:r w:rsidR="00E013D1" w:rsidRPr="002D38E6">
        <w:t xml:space="preserve"> </w:t>
      </w:r>
      <w:r w:rsidR="00774066" w:rsidRPr="002D38E6">
        <w:t>(95% in 20</w:t>
      </w:r>
      <w:r w:rsidR="00D35C4B" w:rsidRPr="002D38E6">
        <w:t xml:space="preserve">12) and </w:t>
      </w:r>
      <w:proofErr w:type="spellStart"/>
      <w:r w:rsidR="00D35C4B" w:rsidRPr="002D38E6">
        <w:t>ELICOS</w:t>
      </w:r>
      <w:proofErr w:type="spellEnd"/>
      <w:r w:rsidR="00D35C4B" w:rsidRPr="002D38E6">
        <w:t xml:space="preserve"> 8</w:t>
      </w:r>
      <w:r w:rsidR="0021783C" w:rsidRPr="002D38E6">
        <w:t>2</w:t>
      </w:r>
      <w:r w:rsidR="00D35C4B" w:rsidRPr="002D38E6">
        <w:t>% (80</w:t>
      </w:r>
      <w:r w:rsidR="00E013D1" w:rsidRPr="002D38E6">
        <w:t xml:space="preserve">% in 2012). These responses indicate a higher satisfaction with </w:t>
      </w:r>
      <w:r w:rsidR="0031723F">
        <w:rPr>
          <w:i/>
        </w:rPr>
        <w:t>c</w:t>
      </w:r>
      <w:r w:rsidR="00E013D1" w:rsidRPr="002D38E6">
        <w:rPr>
          <w:i/>
        </w:rPr>
        <w:t>ounselling</w:t>
      </w:r>
      <w:r w:rsidR="003A39C6">
        <w:rPr>
          <w:i/>
        </w:rPr>
        <w:t xml:space="preserve"> services</w:t>
      </w:r>
      <w:r w:rsidR="00E013D1" w:rsidRPr="002D38E6">
        <w:t xml:space="preserve"> in Australia than </w:t>
      </w:r>
      <w:r w:rsidR="00D35C4B" w:rsidRPr="002D38E6">
        <w:t xml:space="preserve">the </w:t>
      </w:r>
      <w:proofErr w:type="spellStart"/>
      <w:r w:rsidR="00D35C4B" w:rsidRPr="002D38E6">
        <w:t>ISB</w:t>
      </w:r>
      <w:proofErr w:type="spellEnd"/>
      <w:r w:rsidR="00D35C4B" w:rsidRPr="002D38E6">
        <w:t xml:space="preserve"> benchmark of </w:t>
      </w:r>
      <w:r w:rsidR="00E013D1" w:rsidRPr="002D38E6">
        <w:t>90</w:t>
      </w:r>
      <w:r w:rsidR="00D35C4B" w:rsidRPr="002D38E6">
        <w:t xml:space="preserve">% for </w:t>
      </w:r>
      <w:r w:rsidR="00682E9B">
        <w:t>higher education</w:t>
      </w:r>
      <w:r w:rsidR="00D35C4B" w:rsidRPr="002D38E6">
        <w:t xml:space="preserve"> and 92% in VET.</w:t>
      </w:r>
      <w:r w:rsidR="001C1E83">
        <w:t xml:space="preserve"> </w:t>
      </w:r>
    </w:p>
    <w:p w:rsidR="007D6327" w:rsidRPr="002D38E6" w:rsidRDefault="007D6327" w:rsidP="0040764B">
      <w:r w:rsidRPr="002D38E6">
        <w:lastRenderedPageBreak/>
        <w:t xml:space="preserve">All support services were rated at 80% or above in the </w:t>
      </w:r>
      <w:r w:rsidR="00682E9B">
        <w:t>higher education</w:t>
      </w:r>
      <w:r w:rsidRPr="002D38E6">
        <w:t xml:space="preserve"> and VET sector suggesting respondents were satisfied or very satisfied with </w:t>
      </w:r>
      <w:r w:rsidR="00E670E4" w:rsidRPr="002D38E6">
        <w:t>providers’</w:t>
      </w:r>
      <w:r w:rsidRPr="002D38E6">
        <w:t xml:space="preserve"> efforts in these categories.</w:t>
      </w:r>
    </w:p>
    <w:p w:rsidR="00386FCE" w:rsidRPr="001B1D08" w:rsidRDefault="00626F0F" w:rsidP="0040764B">
      <w:r w:rsidRPr="002D38E6">
        <w:t>Seventy-four</w:t>
      </w:r>
      <w:r w:rsidR="00386FCE" w:rsidRPr="002D38E6">
        <w:t xml:space="preserve"> per cent of all </w:t>
      </w:r>
      <w:r w:rsidR="00086B4D">
        <w:t>schools</w:t>
      </w:r>
      <w:r w:rsidR="00386FCE" w:rsidRPr="002D38E6">
        <w:t xml:space="preserve"> sector respondents reported that they were satisfied with the support services available at their schools (with a further </w:t>
      </w:r>
      <w:r w:rsidRPr="002D38E6">
        <w:t>23</w:t>
      </w:r>
      <w:r w:rsidR="00386FCE" w:rsidRPr="002D38E6">
        <w:t xml:space="preserve">% indicating that that they were neither satisfied nor dissatisfied).  </w:t>
      </w:r>
      <w:r w:rsidR="00386FCE" w:rsidRPr="002D38E6">
        <w:rPr>
          <w:i/>
          <w:iCs/>
        </w:rPr>
        <w:t>Library</w:t>
      </w:r>
      <w:r w:rsidR="00386FCE" w:rsidRPr="002D38E6">
        <w:t xml:space="preserve"> (</w:t>
      </w:r>
      <w:r w:rsidRPr="002D38E6">
        <w:t>73</w:t>
      </w:r>
      <w:r w:rsidR="00386FCE" w:rsidRPr="002D38E6">
        <w:t xml:space="preserve">%) and </w:t>
      </w:r>
      <w:r w:rsidR="00386FCE" w:rsidRPr="002D38E6">
        <w:rPr>
          <w:i/>
          <w:iCs/>
        </w:rPr>
        <w:t>English classes</w:t>
      </w:r>
      <w:r w:rsidR="00386FCE" w:rsidRPr="002D38E6">
        <w:t xml:space="preserve"> (6</w:t>
      </w:r>
      <w:r w:rsidRPr="002D38E6">
        <w:t>3</w:t>
      </w:r>
      <w:r w:rsidR="00386FCE" w:rsidRPr="002D38E6">
        <w:t>%) were the two support services of w</w:t>
      </w:r>
      <w:r w:rsidR="00072C24">
        <w:t xml:space="preserve">hich most students were most aware. </w:t>
      </w:r>
      <w:r w:rsidR="00386FCE" w:rsidRPr="002D38E6">
        <w:t xml:space="preserve">The services that were least well known were </w:t>
      </w:r>
      <w:r w:rsidR="0031723F">
        <w:rPr>
          <w:i/>
          <w:iCs/>
        </w:rPr>
        <w:t>r</w:t>
      </w:r>
      <w:r w:rsidR="00386FCE" w:rsidRPr="002D38E6">
        <w:rPr>
          <w:i/>
          <w:iCs/>
        </w:rPr>
        <w:t>eligious support services</w:t>
      </w:r>
      <w:r w:rsidR="00386FCE" w:rsidRPr="002D38E6">
        <w:t xml:space="preserve"> (</w:t>
      </w:r>
      <w:r w:rsidR="00E467CC" w:rsidRPr="002D38E6">
        <w:t>15</w:t>
      </w:r>
      <w:r w:rsidR="00386FCE" w:rsidRPr="002D38E6">
        <w:t xml:space="preserve">%), and </w:t>
      </w:r>
      <w:r w:rsidR="0031723F">
        <w:rPr>
          <w:i/>
          <w:iCs/>
        </w:rPr>
        <w:t>c</w:t>
      </w:r>
      <w:r w:rsidR="00386FCE" w:rsidRPr="002D38E6">
        <w:rPr>
          <w:i/>
          <w:iCs/>
        </w:rPr>
        <w:t>lubs</w:t>
      </w:r>
      <w:r w:rsidR="001C628E">
        <w:rPr>
          <w:i/>
          <w:iCs/>
        </w:rPr>
        <w:t xml:space="preserve"> </w:t>
      </w:r>
      <w:r w:rsidR="007A1B68">
        <w:rPr>
          <w:i/>
          <w:iCs/>
        </w:rPr>
        <w:t xml:space="preserve">and </w:t>
      </w:r>
      <w:r w:rsidR="007A1B68" w:rsidRPr="002D38E6">
        <w:rPr>
          <w:i/>
          <w:iCs/>
        </w:rPr>
        <w:t>societies</w:t>
      </w:r>
      <w:r w:rsidR="00386FCE" w:rsidRPr="002D38E6">
        <w:t xml:space="preserve"> (</w:t>
      </w:r>
      <w:r w:rsidR="00E467CC" w:rsidRPr="002D38E6">
        <w:t xml:space="preserve">24%). </w:t>
      </w:r>
    </w:p>
    <w:p w:rsidR="008F13EF" w:rsidRDefault="00E467CC">
      <w:r w:rsidRPr="00875C39">
        <w:rPr>
          <w:iCs/>
        </w:rPr>
        <w:t>The</w:t>
      </w:r>
      <w:r w:rsidRPr="002D38E6">
        <w:rPr>
          <w:i/>
          <w:iCs/>
        </w:rPr>
        <w:t xml:space="preserve"> </w:t>
      </w:r>
      <w:r w:rsidR="0031723F">
        <w:rPr>
          <w:i/>
          <w:iCs/>
        </w:rPr>
        <w:t>l</w:t>
      </w:r>
      <w:r w:rsidRPr="002D38E6">
        <w:rPr>
          <w:i/>
          <w:iCs/>
        </w:rPr>
        <w:t>ibrary</w:t>
      </w:r>
      <w:r w:rsidR="00386FCE" w:rsidRPr="002D38E6">
        <w:t xml:space="preserve"> (9</w:t>
      </w:r>
      <w:r w:rsidRPr="002D38E6">
        <w:t>8</w:t>
      </w:r>
      <w:r w:rsidR="00386FCE" w:rsidRPr="002D38E6">
        <w:t xml:space="preserve">% of all </w:t>
      </w:r>
      <w:r w:rsidR="00086B4D">
        <w:t>schools</w:t>
      </w:r>
      <w:r w:rsidR="00386FCE" w:rsidRPr="002D38E6">
        <w:t xml:space="preserve"> sector respondents)</w:t>
      </w:r>
      <w:r w:rsidR="000C5E36" w:rsidRPr="002D38E6">
        <w:t>, followed</w:t>
      </w:r>
      <w:r w:rsidRPr="002D38E6">
        <w:t xml:space="preserve"> by</w:t>
      </w:r>
      <w:r w:rsidR="00386FCE" w:rsidRPr="002D38E6">
        <w:t xml:space="preserve"> </w:t>
      </w:r>
      <w:r w:rsidR="0031723F">
        <w:rPr>
          <w:i/>
          <w:iCs/>
        </w:rPr>
        <w:t>s</w:t>
      </w:r>
      <w:r w:rsidRPr="002D38E6">
        <w:rPr>
          <w:i/>
          <w:iCs/>
        </w:rPr>
        <w:t>tudent homework/learning centres</w:t>
      </w:r>
      <w:r w:rsidR="001C628E">
        <w:rPr>
          <w:i/>
          <w:iCs/>
        </w:rPr>
        <w:t xml:space="preserve"> (96%)</w:t>
      </w:r>
      <w:r w:rsidR="00386FCE" w:rsidRPr="002D38E6">
        <w:t xml:space="preserve">, and </w:t>
      </w:r>
      <w:r w:rsidR="0031723F">
        <w:rPr>
          <w:i/>
          <w:iCs/>
        </w:rPr>
        <w:t>i</w:t>
      </w:r>
      <w:r w:rsidR="00386FCE" w:rsidRPr="002D38E6">
        <w:rPr>
          <w:i/>
          <w:iCs/>
        </w:rPr>
        <w:t xml:space="preserve">nternational student </w:t>
      </w:r>
      <w:r w:rsidR="001C628E" w:rsidRPr="00342010">
        <w:rPr>
          <w:i/>
        </w:rPr>
        <w:t>orientation program</w:t>
      </w:r>
      <w:r w:rsidR="001C628E">
        <w:t xml:space="preserve"> </w:t>
      </w:r>
      <w:r w:rsidR="00386FCE" w:rsidRPr="002D38E6">
        <w:t>(</w:t>
      </w:r>
      <w:r w:rsidR="001C628E">
        <w:t>94</w:t>
      </w:r>
      <w:r w:rsidR="00386FCE" w:rsidRPr="002D38E6">
        <w:t xml:space="preserve">%) were considered the most useful services available with </w:t>
      </w:r>
      <w:r w:rsidR="004A67D7">
        <w:rPr>
          <w:i/>
          <w:iCs/>
        </w:rPr>
        <w:t>r</w:t>
      </w:r>
      <w:r w:rsidR="00386FCE" w:rsidRPr="002D38E6">
        <w:rPr>
          <w:i/>
          <w:iCs/>
        </w:rPr>
        <w:t>eligious support services (</w:t>
      </w:r>
      <w:r w:rsidRPr="002D38E6">
        <w:t>78</w:t>
      </w:r>
      <w:r w:rsidR="00386FCE" w:rsidRPr="002D38E6">
        <w:t>%) considered the least useful.  All other support services that were used scored a usefulness rating of between 8</w:t>
      </w:r>
      <w:r w:rsidRPr="002D38E6">
        <w:t>4</w:t>
      </w:r>
      <w:r w:rsidR="00386FCE" w:rsidRPr="002D38E6">
        <w:t>% and 93%.</w:t>
      </w:r>
      <w:r w:rsidRPr="002D38E6">
        <w:t xml:space="preserve"> These were similar to the 2012 survey findings, with an improvement in </w:t>
      </w:r>
      <w:r w:rsidR="0031723F">
        <w:rPr>
          <w:i/>
        </w:rPr>
        <w:t>r</w:t>
      </w:r>
      <w:r w:rsidRPr="00342010">
        <w:rPr>
          <w:i/>
        </w:rPr>
        <w:t>eligious support services</w:t>
      </w:r>
      <w:r w:rsidRPr="002D38E6">
        <w:t xml:space="preserve"> from 65% in 2012 to 78% in 2014.</w:t>
      </w:r>
      <w:r w:rsidR="007C5194">
        <w:t xml:space="preserve"> These support services </w:t>
      </w:r>
      <w:r w:rsidR="007A1B68">
        <w:t>aim to meet specific international student needs and appear to be having a positive impact</w:t>
      </w:r>
      <w:r w:rsidR="007C5194">
        <w:t xml:space="preserve">. </w:t>
      </w:r>
    </w:p>
    <w:p w:rsidR="007A1B68" w:rsidRDefault="00B15457">
      <w:pPr>
        <w:rPr>
          <w:rFonts w:ascii="Calibri" w:eastAsiaTheme="majorEastAsia" w:hAnsi="Calibri" w:cstheme="majorBidi"/>
          <w:b/>
          <w:bCs/>
          <w:sz w:val="28"/>
          <w:szCs w:val="26"/>
        </w:rPr>
      </w:pPr>
      <w:bookmarkStart w:id="60" w:name="_Toc278311562"/>
      <w:bookmarkStart w:id="61" w:name="_Toc415743336"/>
      <w:r>
        <w:rPr>
          <w:noProof/>
          <w:lang w:eastAsia="en-AU"/>
        </w:rPr>
        <w:drawing>
          <wp:inline distT="0" distB="0" distL="0" distR="0" wp14:anchorId="634FF83B" wp14:editId="0DF2CDFF">
            <wp:extent cx="5731510" cy="3820160"/>
            <wp:effectExtent l="0" t="0" r="2540" b="8890"/>
            <wp:docPr id="15" name="Picture 15" descr="Decorati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_000042802888_XXXLarge.jpg"/>
                    <pic:cNvPicPr/>
                  </pic:nvPicPr>
                  <pic:blipFill>
                    <a:blip r:embed="rId34">
                      <a:extLst>
                        <a:ext uri="{28A0092B-C50C-407E-A947-70E740481C1C}">
                          <a14:useLocalDpi xmlns:a14="http://schemas.microsoft.com/office/drawing/2010/main" val="0"/>
                        </a:ext>
                      </a:extLst>
                    </a:blip>
                    <a:stretch>
                      <a:fillRect/>
                    </a:stretch>
                  </pic:blipFill>
                  <pic:spPr>
                    <a:xfrm>
                      <a:off x="0" y="0"/>
                      <a:ext cx="5731510" cy="3820160"/>
                    </a:xfrm>
                    <a:prstGeom prst="rect">
                      <a:avLst/>
                    </a:prstGeom>
                  </pic:spPr>
                </pic:pic>
              </a:graphicData>
            </a:graphic>
          </wp:inline>
        </w:drawing>
      </w:r>
      <w:r w:rsidR="007A1B68">
        <w:br w:type="page"/>
      </w:r>
    </w:p>
    <w:p w:rsidR="00C17AE2" w:rsidRPr="002D38E6" w:rsidRDefault="00386FCE" w:rsidP="00093F09">
      <w:pPr>
        <w:pStyle w:val="Heading2"/>
      </w:pPr>
      <w:bookmarkStart w:id="62" w:name="_Toc417300809"/>
      <w:r w:rsidRPr="002D38E6">
        <w:lastRenderedPageBreak/>
        <w:t>Factors influencing the choice of where to study</w:t>
      </w:r>
      <w:bookmarkEnd w:id="60"/>
      <w:bookmarkEnd w:id="61"/>
      <w:bookmarkEnd w:id="62"/>
      <w:r w:rsidRPr="002D38E6">
        <w:t xml:space="preserve"> </w:t>
      </w:r>
    </w:p>
    <w:p w:rsidR="00E05B12" w:rsidRPr="002D38E6" w:rsidRDefault="007A1B68" w:rsidP="000E5583">
      <w:pPr>
        <w:pStyle w:val="box"/>
      </w:pPr>
      <w:r>
        <w:t>Demand for international education is a growing global phenomenon</w:t>
      </w:r>
      <w:r w:rsidR="00DC32A1">
        <w:t xml:space="preserve">. Presently Australia is </w:t>
      </w:r>
      <w:r>
        <w:t xml:space="preserve">the </w:t>
      </w:r>
      <w:r w:rsidR="00DC32A1">
        <w:t xml:space="preserve">fifth </w:t>
      </w:r>
      <w:r>
        <w:t>most popular international study destination</w:t>
      </w:r>
      <w:r w:rsidR="00DC32A1">
        <w:t xml:space="preserve"> behind </w:t>
      </w:r>
      <w:r>
        <w:t xml:space="preserve">the </w:t>
      </w:r>
      <w:r w:rsidR="00DC32A1">
        <w:t>USA, UK, Germany and France</w:t>
      </w:r>
      <w:r w:rsidR="00153EB7">
        <w:rPr>
          <w:rStyle w:val="FootnoteReference"/>
        </w:rPr>
        <w:footnoteReference w:id="2"/>
      </w:r>
      <w:r w:rsidR="00DC32A1">
        <w:t xml:space="preserve">. </w:t>
      </w:r>
      <w:r w:rsidR="00DE6DE3">
        <w:t>T</w:t>
      </w:r>
      <w:r w:rsidR="00DE6DE3" w:rsidRPr="002D38E6">
        <w:t>he top</w:t>
      </w:r>
      <w:r w:rsidR="00DE6DE3">
        <w:t xml:space="preserve"> reasons for choosing Australia, identified as </w:t>
      </w:r>
      <w:r w:rsidR="00DE6DE3" w:rsidRPr="002D38E6">
        <w:t xml:space="preserve">important </w:t>
      </w:r>
      <w:r w:rsidR="00DE6DE3">
        <w:t>or</w:t>
      </w:r>
      <w:r w:rsidR="00DE6DE3" w:rsidRPr="002D38E6">
        <w:t xml:space="preserve"> very important </w:t>
      </w:r>
      <w:r w:rsidR="00DE6DE3">
        <w:t xml:space="preserve">by over 90% of higher education student respondents, </w:t>
      </w:r>
      <w:r w:rsidR="00DE6DE3" w:rsidRPr="002D38E6">
        <w:t>were:</w:t>
      </w:r>
    </w:p>
    <w:p w:rsidR="007A1B68" w:rsidRPr="00323BF7" w:rsidRDefault="00DE6DE3" w:rsidP="00323BF7">
      <w:pPr>
        <w:pStyle w:val="box"/>
        <w:numPr>
          <w:ilvl w:val="0"/>
          <w:numId w:val="47"/>
        </w:numPr>
        <w:spacing w:after="0"/>
        <w:ind w:left="357" w:hanging="357"/>
        <w:contextualSpacing/>
      </w:pPr>
      <w:proofErr w:type="gramStart"/>
      <w:r w:rsidRPr="00323BF7">
        <w:t>r</w:t>
      </w:r>
      <w:r w:rsidR="007A1B68" w:rsidRPr="00323BF7">
        <w:t>eputation</w:t>
      </w:r>
      <w:proofErr w:type="gramEnd"/>
      <w:r w:rsidR="007A1B68" w:rsidRPr="00323BF7">
        <w:t xml:space="preserve"> of chosen qualification (95%)</w:t>
      </w:r>
    </w:p>
    <w:p w:rsidR="007A1B68" w:rsidRPr="00323BF7" w:rsidRDefault="00DE6DE3" w:rsidP="00323BF7">
      <w:pPr>
        <w:pStyle w:val="box"/>
        <w:numPr>
          <w:ilvl w:val="0"/>
          <w:numId w:val="47"/>
        </w:numPr>
        <w:spacing w:after="0"/>
        <w:ind w:left="357" w:hanging="357"/>
        <w:contextualSpacing/>
      </w:pPr>
      <w:proofErr w:type="gramStart"/>
      <w:r w:rsidRPr="00323BF7">
        <w:t>r</w:t>
      </w:r>
      <w:r w:rsidR="007A1B68" w:rsidRPr="00323BF7">
        <w:t>eputation</w:t>
      </w:r>
      <w:proofErr w:type="gramEnd"/>
      <w:r w:rsidR="007A1B68" w:rsidRPr="00323BF7">
        <w:t xml:space="preserve"> of chosen institution (94%)</w:t>
      </w:r>
    </w:p>
    <w:p w:rsidR="007A1B68" w:rsidRPr="00323BF7" w:rsidRDefault="00DE6DE3" w:rsidP="00323BF7">
      <w:pPr>
        <w:pStyle w:val="box"/>
        <w:numPr>
          <w:ilvl w:val="0"/>
          <w:numId w:val="47"/>
        </w:numPr>
        <w:spacing w:after="0"/>
        <w:ind w:left="357" w:hanging="357"/>
        <w:contextualSpacing/>
      </w:pPr>
      <w:proofErr w:type="gramStart"/>
      <w:r w:rsidRPr="00323BF7">
        <w:t>r</w:t>
      </w:r>
      <w:r w:rsidR="007A1B68" w:rsidRPr="00323BF7">
        <w:t>eputation</w:t>
      </w:r>
      <w:proofErr w:type="gramEnd"/>
      <w:r w:rsidR="007A1B68" w:rsidRPr="00323BF7">
        <w:t xml:space="preserve"> of Australia’s education system (93%)</w:t>
      </w:r>
    </w:p>
    <w:p w:rsidR="007A1B68" w:rsidRPr="00323BF7" w:rsidRDefault="00DE6DE3" w:rsidP="00323BF7">
      <w:pPr>
        <w:pStyle w:val="box"/>
        <w:numPr>
          <w:ilvl w:val="0"/>
          <w:numId w:val="47"/>
        </w:numPr>
        <w:spacing w:after="0"/>
        <w:ind w:left="357" w:hanging="357"/>
        <w:contextualSpacing/>
      </w:pPr>
      <w:r w:rsidRPr="00323BF7">
        <w:t>p</w:t>
      </w:r>
      <w:r w:rsidR="007A1B68" w:rsidRPr="00323BF7">
        <w:t>ersonal safety (92%); and</w:t>
      </w:r>
    </w:p>
    <w:p w:rsidR="007A1B68" w:rsidRPr="00323BF7" w:rsidRDefault="00DE6DE3" w:rsidP="00323BF7">
      <w:pPr>
        <w:pStyle w:val="box"/>
        <w:numPr>
          <w:ilvl w:val="0"/>
          <w:numId w:val="47"/>
        </w:numPr>
        <w:spacing w:after="0"/>
        <w:ind w:left="357" w:hanging="357"/>
        <w:contextualSpacing/>
      </w:pPr>
      <w:proofErr w:type="gramStart"/>
      <w:r w:rsidRPr="00323BF7">
        <w:t>q</w:t>
      </w:r>
      <w:r w:rsidR="007A1B68" w:rsidRPr="00323BF7">
        <w:t>uality</w:t>
      </w:r>
      <w:proofErr w:type="gramEnd"/>
      <w:r w:rsidR="007A1B68" w:rsidRPr="00323BF7">
        <w:t xml:space="preserve"> of research and teaching at chosen institution (91%).</w:t>
      </w:r>
    </w:p>
    <w:p w:rsidR="00316B0A" w:rsidRPr="002D38E6" w:rsidRDefault="00316B0A" w:rsidP="000E5583">
      <w:pPr>
        <w:pStyle w:val="box"/>
      </w:pPr>
      <w:r w:rsidRPr="002D38E6">
        <w:t>In the VET sector the top factors were similar</w:t>
      </w:r>
      <w:r w:rsidR="00B36817" w:rsidRPr="002D38E6">
        <w:t>, with</w:t>
      </w:r>
      <w:r w:rsidR="00C412F6">
        <w:t xml:space="preserve"> </w:t>
      </w:r>
      <w:r w:rsidR="003D0024">
        <w:t>r</w:t>
      </w:r>
      <w:r w:rsidR="00B36817" w:rsidRPr="00922DEB">
        <w:t xml:space="preserve">eputation of the </w:t>
      </w:r>
      <w:r w:rsidR="00A32D07">
        <w:t>i</w:t>
      </w:r>
      <w:r w:rsidR="00B36817" w:rsidRPr="00922DEB">
        <w:t>nstitution</w:t>
      </w:r>
      <w:r w:rsidR="00B36817" w:rsidRPr="002D38E6">
        <w:t xml:space="preserve">, </w:t>
      </w:r>
      <w:r w:rsidR="003D0024">
        <w:t>p</w:t>
      </w:r>
      <w:r w:rsidR="00B36817" w:rsidRPr="00922DEB">
        <w:t xml:space="preserve">ersonal </w:t>
      </w:r>
      <w:r w:rsidR="00A32D07">
        <w:t>s</w:t>
      </w:r>
      <w:r w:rsidR="00B36817" w:rsidRPr="00922DEB">
        <w:t>afety</w:t>
      </w:r>
      <w:r w:rsidR="00A32D07">
        <w:t xml:space="preserve"> and security</w:t>
      </w:r>
      <w:r w:rsidR="00B36817" w:rsidRPr="002D38E6">
        <w:t xml:space="preserve">, </w:t>
      </w:r>
      <w:r w:rsidR="000C3552">
        <w:t>r</w:t>
      </w:r>
      <w:r w:rsidR="00B36817" w:rsidRPr="00922DEB">
        <w:t>eputation of the qualification</w:t>
      </w:r>
      <w:r w:rsidR="00B36817" w:rsidRPr="002D38E6">
        <w:t xml:space="preserve">, </w:t>
      </w:r>
      <w:r w:rsidR="000C3552">
        <w:t>r</w:t>
      </w:r>
      <w:r w:rsidR="00B36817" w:rsidRPr="00922DEB">
        <w:t xml:space="preserve">eputation of </w:t>
      </w:r>
      <w:r w:rsidR="003657F1">
        <w:t>Australia’s</w:t>
      </w:r>
      <w:r w:rsidR="00B36817" w:rsidRPr="00922DEB">
        <w:t xml:space="preserve"> education system</w:t>
      </w:r>
      <w:r w:rsidR="00B36817" w:rsidRPr="002D38E6">
        <w:t xml:space="preserve"> all scoring 93% in the important to very important scale. </w:t>
      </w:r>
    </w:p>
    <w:p w:rsidR="00397CE9" w:rsidRDefault="002F7AEF" w:rsidP="000E5583">
      <w:pPr>
        <w:pStyle w:val="box"/>
      </w:pPr>
      <w:r w:rsidRPr="002D38E6">
        <w:t xml:space="preserve">For the </w:t>
      </w:r>
      <w:proofErr w:type="spellStart"/>
      <w:r w:rsidRPr="002D38E6">
        <w:t>EL</w:t>
      </w:r>
      <w:r w:rsidR="00C412F6">
        <w:t>I</w:t>
      </w:r>
      <w:r w:rsidRPr="002D38E6">
        <w:t>COS</w:t>
      </w:r>
      <w:proofErr w:type="spellEnd"/>
      <w:r w:rsidRPr="002D38E6">
        <w:t xml:space="preserve"> sector </w:t>
      </w:r>
      <w:r w:rsidR="000C3552">
        <w:rPr>
          <w:i/>
        </w:rPr>
        <w:t>q</w:t>
      </w:r>
      <w:r w:rsidRPr="00922DEB">
        <w:rPr>
          <w:i/>
        </w:rPr>
        <w:t xml:space="preserve">uality </w:t>
      </w:r>
      <w:r w:rsidR="00A32D07">
        <w:rPr>
          <w:i/>
        </w:rPr>
        <w:t xml:space="preserve">of teaching </w:t>
      </w:r>
      <w:r w:rsidRPr="002D38E6">
        <w:t>(97%)</w:t>
      </w:r>
      <w:r w:rsidR="004C17C3">
        <w:t>,</w:t>
      </w:r>
      <w:r w:rsidRPr="002D38E6">
        <w:t xml:space="preserve"> </w:t>
      </w:r>
      <w:r w:rsidR="000C3552">
        <w:rPr>
          <w:i/>
        </w:rPr>
        <w:t>p</w:t>
      </w:r>
      <w:r w:rsidRPr="00922DEB">
        <w:rPr>
          <w:i/>
        </w:rPr>
        <w:t>ersonal safety</w:t>
      </w:r>
      <w:r w:rsidRPr="002D38E6">
        <w:t xml:space="preserve"> </w:t>
      </w:r>
      <w:r w:rsidR="00A32D07">
        <w:t xml:space="preserve">and security </w:t>
      </w:r>
      <w:r w:rsidRPr="002D38E6">
        <w:t xml:space="preserve">(95%) and </w:t>
      </w:r>
      <w:r w:rsidR="000C3552">
        <w:rPr>
          <w:i/>
        </w:rPr>
        <w:t>r</w:t>
      </w:r>
      <w:r w:rsidRPr="00922DEB">
        <w:rPr>
          <w:i/>
        </w:rPr>
        <w:t xml:space="preserve">eputation of the </w:t>
      </w:r>
      <w:r w:rsidR="00A32D07">
        <w:rPr>
          <w:i/>
        </w:rPr>
        <w:t>i</w:t>
      </w:r>
      <w:r w:rsidRPr="00922DEB">
        <w:rPr>
          <w:i/>
        </w:rPr>
        <w:t>nstitution</w:t>
      </w:r>
      <w:r w:rsidRPr="002D38E6">
        <w:t xml:space="preserve"> (92%) were all important or very important in study decision choice. </w:t>
      </w:r>
    </w:p>
    <w:p w:rsidR="00E569C0" w:rsidRPr="007C367E" w:rsidRDefault="00DF42D2" w:rsidP="000E5583">
      <w:pPr>
        <w:pStyle w:val="box"/>
      </w:pPr>
      <w:r>
        <w:t>Overall,</w:t>
      </w:r>
      <w:r w:rsidR="00E569C0" w:rsidRPr="00B55DA4">
        <w:t xml:space="preserve"> </w:t>
      </w:r>
      <w:r w:rsidRPr="00922DEB">
        <w:rPr>
          <w:i/>
        </w:rPr>
        <w:t>Agents</w:t>
      </w:r>
      <w:r w:rsidRPr="00B55DA4">
        <w:t xml:space="preserve">, </w:t>
      </w:r>
      <w:r>
        <w:rPr>
          <w:i/>
        </w:rPr>
        <w:t>i</w:t>
      </w:r>
      <w:r w:rsidRPr="00922DEB">
        <w:rPr>
          <w:i/>
        </w:rPr>
        <w:t>nstitutional websites</w:t>
      </w:r>
      <w:r w:rsidRPr="00B55DA4">
        <w:t xml:space="preserve"> and </w:t>
      </w:r>
      <w:r>
        <w:rPr>
          <w:i/>
        </w:rPr>
        <w:t>p</w:t>
      </w:r>
      <w:r w:rsidRPr="00922DEB">
        <w:rPr>
          <w:i/>
        </w:rPr>
        <w:t xml:space="preserve">arents </w:t>
      </w:r>
      <w:r w:rsidRPr="00B55DA4">
        <w:t xml:space="preserve">were identified as </w:t>
      </w:r>
      <w:r>
        <w:t xml:space="preserve">the most important influences that guided student decisions of </w:t>
      </w:r>
      <w:r w:rsidRPr="00B55DA4">
        <w:t>where to study.</w:t>
      </w:r>
    </w:p>
    <w:p w:rsidR="00C17AE2" w:rsidRPr="007C367E" w:rsidRDefault="00386FCE" w:rsidP="000E5583">
      <w:pPr>
        <w:pStyle w:val="box"/>
      </w:pPr>
      <w:r w:rsidRPr="00922DEB">
        <w:t xml:space="preserve">[Only those students who had started their </w:t>
      </w:r>
      <w:r w:rsidR="008207A2" w:rsidRPr="00922DEB">
        <w:t xml:space="preserve">first year or short program </w:t>
      </w:r>
      <w:r w:rsidR="00682E9B">
        <w:t>higher education</w:t>
      </w:r>
      <w:r w:rsidRPr="00922DEB">
        <w:t xml:space="preserve"> or VET course were asked to complete the questions relating to factors influencing, and helping with, their choice of where to study.]</w:t>
      </w:r>
    </w:p>
    <w:p w:rsidR="00151C51" w:rsidRDefault="002A13C3" w:rsidP="0040764B">
      <w:r w:rsidRPr="002D38E6">
        <w:t>As noted</w:t>
      </w:r>
      <w:r w:rsidR="008F526B" w:rsidRPr="002D38E6">
        <w:t>,</w:t>
      </w:r>
      <w:r w:rsidRPr="002D38E6">
        <w:t xml:space="preserve"> </w:t>
      </w:r>
      <w:r w:rsidR="000C3552">
        <w:rPr>
          <w:i/>
        </w:rPr>
        <w:t>p</w:t>
      </w:r>
      <w:r w:rsidRPr="00922DEB">
        <w:rPr>
          <w:i/>
        </w:rPr>
        <w:t xml:space="preserve">ersonal </w:t>
      </w:r>
      <w:r w:rsidR="00A81531">
        <w:rPr>
          <w:i/>
        </w:rPr>
        <w:t>s</w:t>
      </w:r>
      <w:r w:rsidR="00A81531" w:rsidRPr="00922DEB">
        <w:rPr>
          <w:i/>
        </w:rPr>
        <w:t>afety</w:t>
      </w:r>
      <w:r w:rsidR="00A32D07">
        <w:rPr>
          <w:i/>
        </w:rPr>
        <w:t xml:space="preserve"> and security </w:t>
      </w:r>
      <w:r w:rsidRPr="002D38E6">
        <w:t>as a factor influencing where to study ranked very high</w:t>
      </w:r>
      <w:r w:rsidR="00DF42D2">
        <w:t>ly</w:t>
      </w:r>
      <w:r w:rsidRPr="002D38E6">
        <w:t xml:space="preserve"> by all three sectors (</w:t>
      </w:r>
      <w:r w:rsidR="00682E9B">
        <w:t>higher education</w:t>
      </w:r>
      <w:r w:rsidRPr="002D38E6">
        <w:t xml:space="preserve"> 92%, VET</w:t>
      </w:r>
      <w:r w:rsidR="00A32D07">
        <w:t xml:space="preserve"> 93%</w:t>
      </w:r>
      <w:r w:rsidRPr="002D38E6">
        <w:t xml:space="preserve">, and </w:t>
      </w:r>
      <w:proofErr w:type="spellStart"/>
      <w:r w:rsidRPr="002D38E6">
        <w:t>ELICOS</w:t>
      </w:r>
      <w:proofErr w:type="spellEnd"/>
      <w:r w:rsidR="00A32D07">
        <w:t xml:space="preserve"> 95%</w:t>
      </w:r>
      <w:r w:rsidRPr="002D38E6">
        <w:t xml:space="preserve">). This compares with the </w:t>
      </w:r>
      <w:proofErr w:type="spellStart"/>
      <w:r w:rsidRPr="002D38E6">
        <w:t>ISB</w:t>
      </w:r>
      <w:proofErr w:type="spellEnd"/>
      <w:r w:rsidRPr="002D38E6">
        <w:t xml:space="preserve"> benchmark of </w:t>
      </w:r>
      <w:r w:rsidR="001F7089">
        <w:t>87</w:t>
      </w:r>
      <w:r w:rsidRPr="002D38E6">
        <w:t xml:space="preserve">% for </w:t>
      </w:r>
      <w:r w:rsidR="00682E9B">
        <w:t>higher education</w:t>
      </w:r>
      <w:r w:rsidRPr="002D38E6">
        <w:t xml:space="preserve"> and </w:t>
      </w:r>
      <w:r w:rsidR="003E51C4" w:rsidRPr="002D38E6">
        <w:t>9</w:t>
      </w:r>
      <w:r w:rsidR="001F7089">
        <w:t>3</w:t>
      </w:r>
      <w:r w:rsidRPr="002D38E6">
        <w:t xml:space="preserve">% for VET. </w:t>
      </w:r>
    </w:p>
    <w:p w:rsidR="007C4BF2" w:rsidRDefault="00151C51" w:rsidP="0040764B">
      <w:r>
        <w:t xml:space="preserve">The high satisfaction with </w:t>
      </w:r>
      <w:r w:rsidR="000C3552">
        <w:rPr>
          <w:i/>
        </w:rPr>
        <w:t>p</w:t>
      </w:r>
      <w:r w:rsidR="00A81531" w:rsidRPr="00922DEB">
        <w:rPr>
          <w:i/>
        </w:rPr>
        <w:t xml:space="preserve">ersonal </w:t>
      </w:r>
      <w:r w:rsidR="00A81531">
        <w:rPr>
          <w:i/>
        </w:rPr>
        <w:t>s</w:t>
      </w:r>
      <w:r w:rsidR="00A81531" w:rsidRPr="00922DEB">
        <w:rPr>
          <w:i/>
        </w:rPr>
        <w:t>afety</w:t>
      </w:r>
      <w:r w:rsidR="00A81531">
        <w:t xml:space="preserve"> </w:t>
      </w:r>
      <w:r w:rsidR="00A32D07">
        <w:t xml:space="preserve">and </w:t>
      </w:r>
      <w:r w:rsidR="00A32D07" w:rsidRPr="00DF42D2">
        <w:rPr>
          <w:i/>
        </w:rPr>
        <w:t>security</w:t>
      </w:r>
      <w:r w:rsidR="00A32D07">
        <w:t xml:space="preserve"> </w:t>
      </w:r>
      <w:r w:rsidR="004C5718">
        <w:t>follows the efforts of many</w:t>
      </w:r>
      <w:r>
        <w:t xml:space="preserve"> Australia</w:t>
      </w:r>
      <w:r w:rsidR="004C5718">
        <w:t>n stakeholders</w:t>
      </w:r>
      <w:r>
        <w:t xml:space="preserve"> </w:t>
      </w:r>
      <w:r w:rsidR="004C5718">
        <w:t>to ensure that</w:t>
      </w:r>
      <w:r>
        <w:t xml:space="preserve"> international students feel safe</w:t>
      </w:r>
      <w:r w:rsidR="004C5718">
        <w:t xml:space="preserve"> and are welcomed into the Australian community</w:t>
      </w:r>
      <w:r>
        <w:t>.</w:t>
      </w:r>
    </w:p>
    <w:p w:rsidR="007A1B68" w:rsidRPr="00B55DA4" w:rsidRDefault="00DF42D2" w:rsidP="00DF42D2">
      <w:r>
        <w:t>Over</w:t>
      </w:r>
      <w:r w:rsidR="00686264">
        <w:t xml:space="preserve"> the period 2009</w:t>
      </w:r>
      <w:r w:rsidRPr="005F7B11">
        <w:rPr>
          <w:rFonts w:eastAsia="Times New Roman" w:cs="Times New Roman"/>
        </w:rPr>
        <w:t>-</w:t>
      </w:r>
      <w:r w:rsidR="00686264">
        <w:t>201</w:t>
      </w:r>
      <w:r w:rsidR="00151C51">
        <w:t>0</w:t>
      </w:r>
      <w:r>
        <w:t xml:space="preserve">, national and international </w:t>
      </w:r>
      <w:r w:rsidR="00A32D07">
        <w:t>media</w:t>
      </w:r>
      <w:r w:rsidR="00686264">
        <w:t xml:space="preserve"> reported a number of attacks on </w:t>
      </w:r>
      <w:r w:rsidR="000C3552">
        <w:t>s</w:t>
      </w:r>
      <w:r w:rsidR="00686264">
        <w:t>tudents</w:t>
      </w:r>
      <w:r>
        <w:t xml:space="preserve"> from India</w:t>
      </w:r>
      <w:r w:rsidR="00686264">
        <w:t xml:space="preserve">. </w:t>
      </w:r>
      <w:r w:rsidR="00686264" w:rsidRPr="005F7B11">
        <w:t xml:space="preserve">This led to an Australian </w:t>
      </w:r>
      <w:r w:rsidR="00151C51" w:rsidRPr="005F7B11">
        <w:t>Institute</w:t>
      </w:r>
      <w:r w:rsidR="00686264" w:rsidRPr="005F7B11">
        <w:t xml:space="preserve"> of Criminology </w:t>
      </w:r>
      <w:r w:rsidR="000C3552">
        <w:t>r</w:t>
      </w:r>
      <w:r w:rsidR="00686264" w:rsidRPr="005F7B11">
        <w:t xml:space="preserve">eport on violence </w:t>
      </w:r>
      <w:r w:rsidR="00151C51" w:rsidRPr="005F7B11">
        <w:t>against international students</w:t>
      </w:r>
      <w:r w:rsidR="007C4BF2">
        <w:t xml:space="preserve"> </w:t>
      </w:r>
      <w:r w:rsidR="00151C51" w:rsidRPr="005F7B11">
        <w:rPr>
          <w:rFonts w:eastAsia="Times New Roman" w:cs="Times New Roman"/>
        </w:rPr>
        <w:t xml:space="preserve">entitled </w:t>
      </w:r>
      <w:r w:rsidR="00151C51" w:rsidRPr="005F7B11">
        <w:rPr>
          <w:rFonts w:eastAsia="Times New Roman" w:cs="Times New Roman"/>
          <w:i/>
          <w:iCs/>
        </w:rPr>
        <w:t xml:space="preserve">Crimes </w:t>
      </w:r>
      <w:proofErr w:type="gramStart"/>
      <w:r w:rsidR="00151C51" w:rsidRPr="005F7B11">
        <w:rPr>
          <w:rFonts w:eastAsia="Times New Roman" w:cs="Times New Roman"/>
          <w:i/>
          <w:iCs/>
        </w:rPr>
        <w:t>Against</w:t>
      </w:r>
      <w:proofErr w:type="gramEnd"/>
      <w:r w:rsidR="00151C51" w:rsidRPr="005F7B11">
        <w:rPr>
          <w:rFonts w:eastAsia="Times New Roman" w:cs="Times New Roman"/>
          <w:i/>
          <w:iCs/>
        </w:rPr>
        <w:t xml:space="preserve"> International Students:</w:t>
      </w:r>
      <w:r w:rsidR="00B55DA4" w:rsidRPr="005F7B11">
        <w:rPr>
          <w:rFonts w:eastAsia="Times New Roman" w:cs="Times New Roman"/>
          <w:i/>
          <w:iCs/>
        </w:rPr>
        <w:t xml:space="preserve"> </w:t>
      </w:r>
      <w:r w:rsidR="00151C51" w:rsidRPr="005F7B11">
        <w:rPr>
          <w:rFonts w:eastAsia="Times New Roman" w:cs="Times New Roman"/>
          <w:i/>
          <w:iCs/>
        </w:rPr>
        <w:t>2005-2009</w:t>
      </w:r>
      <w:r>
        <w:rPr>
          <w:rFonts w:eastAsia="Times New Roman" w:cs="Times New Roman"/>
        </w:rPr>
        <w:t>.  The report</w:t>
      </w:r>
      <w:r w:rsidR="00151C51" w:rsidRPr="005F7B11">
        <w:rPr>
          <w:rFonts w:eastAsia="Times New Roman" w:cs="Times New Roman"/>
        </w:rPr>
        <w:t xml:space="preserve"> found that over the period 2005-2009, international students were </w:t>
      </w:r>
      <w:r>
        <w:rPr>
          <w:rFonts w:eastAsia="Times New Roman" w:cs="Times New Roman"/>
        </w:rPr>
        <w:t>no more likely</w:t>
      </w:r>
      <w:r w:rsidR="00151C51" w:rsidRPr="005F7B11">
        <w:rPr>
          <w:rFonts w:eastAsia="Times New Roman" w:cs="Times New Roman"/>
        </w:rPr>
        <w:t xml:space="preserve"> to be assaulted than the average person in Australia. </w:t>
      </w:r>
      <w:r w:rsidR="007C4BF2">
        <w:rPr>
          <w:rFonts w:eastAsia="Times New Roman" w:cs="Times New Roman"/>
        </w:rPr>
        <w:t xml:space="preserve">This </w:t>
      </w:r>
      <w:r>
        <w:rPr>
          <w:rFonts w:eastAsia="Times New Roman" w:cs="Times New Roman"/>
        </w:rPr>
        <w:t xml:space="preserve">investigation </w:t>
      </w:r>
      <w:r w:rsidR="007C4BF2">
        <w:rPr>
          <w:rFonts w:eastAsia="Times New Roman" w:cs="Times New Roman"/>
        </w:rPr>
        <w:t xml:space="preserve">was widely publicised to indicate how serious Australia considered this problem. </w:t>
      </w:r>
      <w:r w:rsidR="00151C51" w:rsidRPr="005F7B11">
        <w:rPr>
          <w:rFonts w:eastAsia="Times New Roman" w:cs="Times New Roman"/>
        </w:rPr>
        <w:t xml:space="preserve">Institutions and providers have </w:t>
      </w:r>
      <w:r>
        <w:rPr>
          <w:rFonts w:eastAsia="Times New Roman" w:cs="Times New Roman"/>
        </w:rPr>
        <w:t xml:space="preserve">also </w:t>
      </w:r>
      <w:r w:rsidR="00151C51" w:rsidRPr="005F7B11">
        <w:rPr>
          <w:rFonts w:eastAsia="Times New Roman" w:cs="Times New Roman"/>
        </w:rPr>
        <w:t xml:space="preserve">been able to </w:t>
      </w:r>
      <w:r>
        <w:rPr>
          <w:rFonts w:eastAsia="Times New Roman" w:cs="Times New Roman"/>
        </w:rPr>
        <w:t>use previous student survey results</w:t>
      </w:r>
      <w:r w:rsidR="00151C51" w:rsidRPr="005F7B11">
        <w:rPr>
          <w:rFonts w:eastAsia="Times New Roman" w:cs="Times New Roman"/>
        </w:rPr>
        <w:t xml:space="preserve"> to </w:t>
      </w:r>
      <w:r>
        <w:rPr>
          <w:rFonts w:eastAsia="Times New Roman" w:cs="Times New Roman"/>
        </w:rPr>
        <w:t>reassure the world that</w:t>
      </w:r>
      <w:r w:rsidR="00151C51" w:rsidRPr="005F7B11">
        <w:rPr>
          <w:rFonts w:eastAsia="Times New Roman" w:cs="Times New Roman"/>
        </w:rPr>
        <w:t xml:space="preserve"> Australia </w:t>
      </w:r>
      <w:r>
        <w:rPr>
          <w:rFonts w:eastAsia="Times New Roman" w:cs="Times New Roman"/>
        </w:rPr>
        <w:t>remains</w:t>
      </w:r>
      <w:r w:rsidR="00151C51" w:rsidRPr="005F7B11">
        <w:rPr>
          <w:rFonts w:eastAsia="Times New Roman" w:cs="Times New Roman"/>
        </w:rPr>
        <w:t xml:space="preserve"> a safe place to study and the 2014 </w:t>
      </w:r>
      <w:r>
        <w:rPr>
          <w:rFonts w:eastAsia="Times New Roman" w:cs="Times New Roman"/>
        </w:rPr>
        <w:t>survey findings</w:t>
      </w:r>
      <w:r w:rsidR="00151C51" w:rsidRPr="005F7B11">
        <w:rPr>
          <w:rFonts w:eastAsia="Times New Roman" w:cs="Times New Roman"/>
        </w:rPr>
        <w:t xml:space="preserve"> suggests this </w:t>
      </w:r>
      <w:r>
        <w:rPr>
          <w:rFonts w:eastAsia="Times New Roman" w:cs="Times New Roman"/>
        </w:rPr>
        <w:t>approach</w:t>
      </w:r>
      <w:r w:rsidR="00151C51" w:rsidRPr="005F7B11">
        <w:rPr>
          <w:rFonts w:eastAsia="Times New Roman" w:cs="Times New Roman"/>
        </w:rPr>
        <w:t xml:space="preserve"> has been successful. </w:t>
      </w:r>
    </w:p>
    <w:p w:rsidR="00C4223C" w:rsidRDefault="00467FF9" w:rsidP="00C4223C">
      <w:pPr>
        <w:pStyle w:val="PlainText"/>
      </w:pPr>
      <w:r w:rsidRPr="00467FF9">
        <w:rPr>
          <w:rFonts w:asciiTheme="minorHAnsi" w:eastAsiaTheme="minorEastAsia" w:hAnsiTheme="minorHAnsi" w:cstheme="minorBidi"/>
          <w:szCs w:val="22"/>
        </w:rPr>
        <w:lastRenderedPageBreak/>
        <w:t>In 2014, 50% of higher education respondents reported agents as the major influence on their decision about where to study</w:t>
      </w:r>
      <w:r w:rsidR="00E464BF">
        <w:rPr>
          <w:rFonts w:asciiTheme="minorHAnsi" w:eastAsiaTheme="minorEastAsia" w:hAnsiTheme="minorHAnsi" w:cstheme="minorBidi"/>
          <w:szCs w:val="22"/>
        </w:rPr>
        <w:t xml:space="preserve"> in Australia</w:t>
      </w:r>
      <w:r w:rsidRPr="00467FF9">
        <w:rPr>
          <w:rFonts w:asciiTheme="minorHAnsi" w:eastAsiaTheme="minorEastAsia" w:hAnsiTheme="minorHAnsi" w:cstheme="minorBidi"/>
          <w:szCs w:val="22"/>
        </w:rPr>
        <w:t>. This is higher than previous surveys (was 44% in 2012 and 28% in 2010).</w:t>
      </w:r>
      <w:r>
        <w:rPr>
          <w:rFonts w:asciiTheme="minorHAnsi" w:eastAsiaTheme="minorEastAsia" w:hAnsiTheme="minorHAnsi" w:cstheme="minorBidi"/>
          <w:szCs w:val="22"/>
        </w:rPr>
        <w:t xml:space="preserve"> </w:t>
      </w:r>
      <w:r w:rsidR="00A023BF" w:rsidRPr="005F7B11">
        <w:t xml:space="preserve">This trend suggests </w:t>
      </w:r>
      <w:r w:rsidR="004C17C3">
        <w:t>e</w:t>
      </w:r>
      <w:r w:rsidR="00FC1A40" w:rsidRPr="005F7B11">
        <w:t xml:space="preserve">ducation agents </w:t>
      </w:r>
      <w:r>
        <w:t>have more influence on students who choose to study in Australia than elsewhere and that influence is growing</w:t>
      </w:r>
      <w:r w:rsidR="00441BBC" w:rsidRPr="005F7B11">
        <w:t xml:space="preserve">. </w:t>
      </w:r>
      <w:r w:rsidR="00C4223C">
        <w:t>When asked about</w:t>
      </w:r>
      <w:r w:rsidR="00C4223C" w:rsidRPr="00C4223C">
        <w:t xml:space="preserve"> the quality of service provided by agents</w:t>
      </w:r>
      <w:r w:rsidR="00C4223C">
        <w:t>,</w:t>
      </w:r>
      <w:r w:rsidR="00C4223C" w:rsidRPr="00C4223C">
        <w:t xml:space="preserve"> higher education student responses </w:t>
      </w:r>
      <w:r w:rsidR="00C4223C">
        <w:t>showed that</w:t>
      </w:r>
      <w:r w:rsidR="00C4223C" w:rsidRPr="00C4223C">
        <w:t>:</w:t>
      </w:r>
    </w:p>
    <w:p w:rsidR="00C4223C" w:rsidRPr="00C4223C" w:rsidRDefault="00C4223C" w:rsidP="00323BF7">
      <w:pPr>
        <w:pStyle w:val="ListParagraph"/>
        <w:numPr>
          <w:ilvl w:val="0"/>
          <w:numId w:val="44"/>
        </w:numPr>
        <w:spacing w:after="120" w:line="240" w:lineRule="auto"/>
        <w:ind w:left="714" w:hanging="357"/>
        <w:rPr>
          <w:rFonts w:ascii="Calibri" w:eastAsia="Times New Roman" w:hAnsi="Calibri" w:cs="Consolas"/>
          <w:szCs w:val="21"/>
        </w:rPr>
      </w:pPr>
      <w:r w:rsidRPr="00C4223C">
        <w:rPr>
          <w:rFonts w:ascii="Calibri" w:eastAsia="Times New Roman" w:hAnsi="Calibri" w:cs="Consolas"/>
          <w:szCs w:val="21"/>
        </w:rPr>
        <w:t>90% rated the service they received as good (55%) or very good (35%)</w:t>
      </w:r>
    </w:p>
    <w:p w:rsidR="00C4223C" w:rsidRPr="00C4223C" w:rsidRDefault="00C4223C" w:rsidP="00323BF7">
      <w:pPr>
        <w:pStyle w:val="ListParagraph"/>
        <w:numPr>
          <w:ilvl w:val="0"/>
          <w:numId w:val="44"/>
        </w:numPr>
        <w:spacing w:after="120" w:line="240" w:lineRule="auto"/>
        <w:ind w:left="714" w:hanging="357"/>
        <w:rPr>
          <w:rFonts w:ascii="Calibri" w:eastAsia="Times New Roman" w:hAnsi="Calibri" w:cs="Consolas"/>
          <w:szCs w:val="21"/>
        </w:rPr>
      </w:pPr>
      <w:r w:rsidRPr="00C4223C">
        <w:rPr>
          <w:rFonts w:ascii="Calibri" w:eastAsia="Times New Roman" w:hAnsi="Calibri" w:cs="Consolas"/>
          <w:szCs w:val="21"/>
        </w:rPr>
        <w:t>93% agreed that the agent provided helpful services for a  visa application</w:t>
      </w:r>
    </w:p>
    <w:p w:rsidR="00C4223C" w:rsidRPr="00C4223C" w:rsidRDefault="00C4223C" w:rsidP="00323BF7">
      <w:pPr>
        <w:pStyle w:val="ListParagraph"/>
        <w:numPr>
          <w:ilvl w:val="0"/>
          <w:numId w:val="44"/>
        </w:numPr>
        <w:spacing w:after="120" w:line="240" w:lineRule="auto"/>
        <w:ind w:left="714" w:hanging="357"/>
        <w:rPr>
          <w:rFonts w:ascii="Calibri" w:eastAsia="Times New Roman" w:hAnsi="Calibri" w:cs="Consolas"/>
          <w:szCs w:val="21"/>
        </w:rPr>
      </w:pPr>
      <w:r w:rsidRPr="00C4223C">
        <w:rPr>
          <w:rFonts w:ascii="Calibri" w:eastAsia="Times New Roman" w:hAnsi="Calibri" w:cs="Consolas"/>
          <w:szCs w:val="21"/>
        </w:rPr>
        <w:t>90% agreed that the agent was well informed about higher education in Australia</w:t>
      </w:r>
    </w:p>
    <w:p w:rsidR="00C4223C" w:rsidRPr="00C4223C" w:rsidRDefault="00C4223C" w:rsidP="00323BF7">
      <w:pPr>
        <w:pStyle w:val="ListParagraph"/>
        <w:numPr>
          <w:ilvl w:val="0"/>
          <w:numId w:val="44"/>
        </w:numPr>
        <w:spacing w:after="120" w:line="240" w:lineRule="auto"/>
        <w:ind w:left="714" w:hanging="357"/>
        <w:rPr>
          <w:rFonts w:ascii="Calibri" w:eastAsia="Times New Roman" w:hAnsi="Calibri" w:cs="Consolas"/>
          <w:szCs w:val="21"/>
        </w:rPr>
      </w:pPr>
      <w:r w:rsidRPr="00C4223C">
        <w:rPr>
          <w:rFonts w:ascii="Calibri" w:eastAsia="Times New Roman" w:hAnsi="Calibri" w:cs="Consolas"/>
          <w:szCs w:val="21"/>
        </w:rPr>
        <w:t>88% agreed that the agent reduced time and effort needed to complete an application</w:t>
      </w:r>
    </w:p>
    <w:p w:rsidR="00C4223C" w:rsidRPr="00C4223C" w:rsidRDefault="00C4223C" w:rsidP="00323BF7">
      <w:pPr>
        <w:pStyle w:val="ListParagraph"/>
        <w:numPr>
          <w:ilvl w:val="0"/>
          <w:numId w:val="44"/>
        </w:numPr>
        <w:spacing w:after="120" w:line="240" w:lineRule="auto"/>
        <w:ind w:left="714" w:hanging="357"/>
        <w:rPr>
          <w:rFonts w:ascii="Calibri" w:eastAsia="Times New Roman" w:hAnsi="Calibri" w:cs="Consolas"/>
          <w:szCs w:val="21"/>
        </w:rPr>
      </w:pPr>
      <w:r w:rsidRPr="00C4223C">
        <w:rPr>
          <w:rFonts w:ascii="Calibri" w:eastAsia="Times New Roman" w:hAnsi="Calibri" w:cs="Consolas"/>
          <w:szCs w:val="21"/>
        </w:rPr>
        <w:t>80% agreed that the agent provided helpful pre-departure orientation services.</w:t>
      </w:r>
    </w:p>
    <w:p w:rsidR="00BE5D3E" w:rsidRDefault="00C4223C" w:rsidP="007C367E">
      <w:pPr>
        <w:spacing w:before="120"/>
      </w:pPr>
      <w:r>
        <w:t>T</w:t>
      </w:r>
      <w:r w:rsidR="005A4C48" w:rsidRPr="002D38E6">
        <w:t xml:space="preserve">he top </w:t>
      </w:r>
      <w:r w:rsidR="00885F30" w:rsidRPr="002D38E6">
        <w:t>three</w:t>
      </w:r>
      <w:r w:rsidR="005A4C48" w:rsidRPr="002D38E6">
        <w:t xml:space="preserve"> reasons</w:t>
      </w:r>
      <w:r w:rsidR="00B75774" w:rsidRPr="002D38E6">
        <w:t xml:space="preserve"> </w:t>
      </w:r>
      <w:proofErr w:type="spellStart"/>
      <w:r w:rsidR="00B75774" w:rsidRPr="002D38E6">
        <w:t>ELICOS</w:t>
      </w:r>
      <w:proofErr w:type="spellEnd"/>
      <w:r w:rsidR="005A4C48" w:rsidRPr="002D38E6">
        <w:t xml:space="preserve"> respondents identified </w:t>
      </w:r>
      <w:r w:rsidR="00875753">
        <w:t>for choosing to study in Australia</w:t>
      </w:r>
      <w:r w:rsidR="00885F30" w:rsidRPr="002D38E6">
        <w:t xml:space="preserve"> were</w:t>
      </w:r>
      <w:r w:rsidR="00875753">
        <w:t>:</w:t>
      </w:r>
      <w:r w:rsidR="005A4C48" w:rsidRPr="002D38E6">
        <w:t xml:space="preserve"> </w:t>
      </w:r>
      <w:r w:rsidR="005A4C48" w:rsidRPr="00922DEB">
        <w:rPr>
          <w:i/>
        </w:rPr>
        <w:t>Teaching quality</w:t>
      </w:r>
      <w:r w:rsidR="005A4C48" w:rsidRPr="002D38E6">
        <w:t xml:space="preserve"> (97%)</w:t>
      </w:r>
      <w:r w:rsidR="00885F30" w:rsidRPr="002D38E6">
        <w:t>,</w:t>
      </w:r>
      <w:r w:rsidR="005A4C48" w:rsidRPr="002D38E6">
        <w:t xml:space="preserve"> </w:t>
      </w:r>
      <w:r w:rsidR="000C3552">
        <w:rPr>
          <w:i/>
        </w:rPr>
        <w:t>p</w:t>
      </w:r>
      <w:r w:rsidR="005A4C48" w:rsidRPr="00922DEB">
        <w:rPr>
          <w:i/>
        </w:rPr>
        <w:t>ersonal safety</w:t>
      </w:r>
      <w:r w:rsidR="005A4C48" w:rsidRPr="002D38E6">
        <w:t xml:space="preserve"> </w:t>
      </w:r>
      <w:r w:rsidR="00A32D07">
        <w:t xml:space="preserve">and </w:t>
      </w:r>
      <w:r w:rsidR="00A32D07" w:rsidRPr="00467FF9">
        <w:rPr>
          <w:i/>
        </w:rPr>
        <w:t>security</w:t>
      </w:r>
      <w:r w:rsidR="00A32D07">
        <w:t xml:space="preserve"> </w:t>
      </w:r>
      <w:r w:rsidR="005A4C48" w:rsidRPr="002D38E6">
        <w:t xml:space="preserve">(95%) and </w:t>
      </w:r>
      <w:r w:rsidR="000C3552">
        <w:rPr>
          <w:i/>
        </w:rPr>
        <w:t>r</w:t>
      </w:r>
      <w:r w:rsidR="005A4C48" w:rsidRPr="00922DEB">
        <w:rPr>
          <w:i/>
        </w:rPr>
        <w:t xml:space="preserve">eputation of the </w:t>
      </w:r>
      <w:r w:rsidR="00A32D07">
        <w:rPr>
          <w:i/>
        </w:rPr>
        <w:t>i</w:t>
      </w:r>
      <w:r w:rsidR="005A4C48" w:rsidRPr="00922DEB">
        <w:rPr>
          <w:i/>
        </w:rPr>
        <w:t>nstitution</w:t>
      </w:r>
      <w:r w:rsidR="005A4C48" w:rsidRPr="002D38E6">
        <w:t xml:space="preserve"> (92%). </w:t>
      </w:r>
      <w:r w:rsidR="00885F30" w:rsidRPr="002D38E6">
        <w:t xml:space="preserve"> </w:t>
      </w:r>
      <w:r>
        <w:t>T</w:t>
      </w:r>
      <w:r w:rsidR="00AB0FDA">
        <w:t xml:space="preserve">he </w:t>
      </w:r>
      <w:proofErr w:type="spellStart"/>
      <w:r w:rsidR="00AB0FDA">
        <w:t>ELICOS</w:t>
      </w:r>
      <w:proofErr w:type="spellEnd"/>
      <w:r w:rsidR="00AB0FDA">
        <w:t xml:space="preserve"> respondents were</w:t>
      </w:r>
      <w:r w:rsidR="005A4C48" w:rsidRPr="002D38E6">
        <w:t xml:space="preserve"> influenc</w:t>
      </w:r>
      <w:r w:rsidR="00AB0FDA">
        <w:t>ed by</w:t>
      </w:r>
      <w:r w:rsidR="005A4C48" w:rsidRPr="002D38E6">
        <w:t xml:space="preserve"> </w:t>
      </w:r>
      <w:r w:rsidR="000C3552">
        <w:rPr>
          <w:i/>
        </w:rPr>
        <w:t>a</w:t>
      </w:r>
      <w:r w:rsidR="005A4C48" w:rsidRPr="00922DEB">
        <w:rPr>
          <w:i/>
        </w:rPr>
        <w:t>gent</w:t>
      </w:r>
      <w:r>
        <w:rPr>
          <w:i/>
        </w:rPr>
        <w:t>s</w:t>
      </w:r>
      <w:r w:rsidR="00875753">
        <w:t xml:space="preserve"> (</w:t>
      </w:r>
      <w:r w:rsidR="00A32D07" w:rsidRPr="002D38E6">
        <w:t>6</w:t>
      </w:r>
      <w:r w:rsidR="00A32D07">
        <w:t>3</w:t>
      </w:r>
      <w:r w:rsidR="005A4C48" w:rsidRPr="002D38E6">
        <w:t>%</w:t>
      </w:r>
      <w:r w:rsidR="00875753">
        <w:t>)</w:t>
      </w:r>
      <w:r>
        <w:t xml:space="preserve"> and </w:t>
      </w:r>
      <w:r w:rsidR="000C3552">
        <w:rPr>
          <w:i/>
        </w:rPr>
        <w:t>p</w:t>
      </w:r>
      <w:r w:rsidR="005A4C48" w:rsidRPr="00922DEB">
        <w:rPr>
          <w:i/>
        </w:rPr>
        <w:t>arents</w:t>
      </w:r>
      <w:r w:rsidR="005A4C48" w:rsidRPr="002D38E6">
        <w:t xml:space="preserve"> </w:t>
      </w:r>
      <w:r w:rsidR="00875753">
        <w:t>(</w:t>
      </w:r>
      <w:r w:rsidR="00A32D07" w:rsidRPr="002D38E6">
        <w:t>2</w:t>
      </w:r>
      <w:r w:rsidR="00A32D07">
        <w:t>5</w:t>
      </w:r>
      <w:r w:rsidR="005A4C48" w:rsidRPr="002D38E6">
        <w:t>%</w:t>
      </w:r>
      <w:r w:rsidR="00875753">
        <w:t>)</w:t>
      </w:r>
      <w:r w:rsidR="00926209" w:rsidRPr="002D38E6">
        <w:t xml:space="preserve"> followed by </w:t>
      </w:r>
      <w:r w:rsidR="000C3552">
        <w:rPr>
          <w:i/>
        </w:rPr>
        <w:t>f</w:t>
      </w:r>
      <w:r w:rsidR="00926209" w:rsidRPr="00922DEB">
        <w:rPr>
          <w:i/>
        </w:rPr>
        <w:t>riends</w:t>
      </w:r>
      <w:r w:rsidR="00AB0FDA">
        <w:rPr>
          <w:i/>
        </w:rPr>
        <w:t xml:space="preserve"> (23%)</w:t>
      </w:r>
      <w:r w:rsidR="00926209" w:rsidRPr="00AA2F5C">
        <w:t xml:space="preserve"> and</w:t>
      </w:r>
      <w:r w:rsidR="00926209" w:rsidRPr="00922DEB">
        <w:rPr>
          <w:i/>
        </w:rPr>
        <w:t xml:space="preserve"> </w:t>
      </w:r>
      <w:r w:rsidR="000C3552">
        <w:rPr>
          <w:i/>
        </w:rPr>
        <w:t>a</w:t>
      </w:r>
      <w:r w:rsidR="00926209" w:rsidRPr="00922DEB">
        <w:rPr>
          <w:i/>
        </w:rPr>
        <w:t>lumni</w:t>
      </w:r>
      <w:r w:rsidR="00926209" w:rsidRPr="002D38E6">
        <w:t xml:space="preserve"> </w:t>
      </w:r>
      <w:r w:rsidR="00AB0FDA">
        <w:t>(</w:t>
      </w:r>
      <w:r w:rsidR="00A32D07" w:rsidRPr="002D38E6">
        <w:t>2</w:t>
      </w:r>
      <w:r w:rsidR="00A32D07">
        <w:t>2</w:t>
      </w:r>
      <w:r w:rsidR="00926209" w:rsidRPr="002D38E6">
        <w:t>%</w:t>
      </w:r>
      <w:r w:rsidR="00AB0FDA">
        <w:t>)</w:t>
      </w:r>
      <w:r w:rsidR="00926209" w:rsidRPr="002D38E6">
        <w:t xml:space="preserve">. </w:t>
      </w:r>
      <w:r w:rsidR="00AD139A" w:rsidRPr="002D38E6">
        <w:t xml:space="preserve">These percentages closely align with the findings in the 2012 </w:t>
      </w:r>
      <w:r w:rsidR="00AD139A">
        <w:t xml:space="preserve">survey </w:t>
      </w:r>
      <w:r w:rsidR="00AD139A" w:rsidRPr="002D38E6">
        <w:t>(</w:t>
      </w:r>
      <w:r w:rsidR="00AD139A">
        <w:rPr>
          <w:i/>
        </w:rPr>
        <w:t>a</w:t>
      </w:r>
      <w:r w:rsidR="00AD139A" w:rsidRPr="00922DEB">
        <w:rPr>
          <w:i/>
        </w:rPr>
        <w:t>gents</w:t>
      </w:r>
      <w:r w:rsidR="00AD139A" w:rsidRPr="002D38E6">
        <w:t xml:space="preserve"> 52%, </w:t>
      </w:r>
      <w:r w:rsidR="00AD139A">
        <w:rPr>
          <w:i/>
        </w:rPr>
        <w:t>f</w:t>
      </w:r>
      <w:r w:rsidR="00AD139A" w:rsidRPr="00922DEB">
        <w:rPr>
          <w:i/>
        </w:rPr>
        <w:t>riends</w:t>
      </w:r>
      <w:r w:rsidR="00AD139A">
        <w:t xml:space="preserve"> 25% and</w:t>
      </w:r>
      <w:r w:rsidR="00AD139A" w:rsidRPr="002D38E6">
        <w:t xml:space="preserve"> </w:t>
      </w:r>
      <w:r w:rsidR="00AD139A">
        <w:rPr>
          <w:i/>
        </w:rPr>
        <w:t>a</w:t>
      </w:r>
      <w:r w:rsidR="00AD139A" w:rsidRPr="00922DEB">
        <w:rPr>
          <w:i/>
        </w:rPr>
        <w:t xml:space="preserve">lumni </w:t>
      </w:r>
      <w:r w:rsidR="00AD139A" w:rsidRPr="002D38E6">
        <w:t>21%</w:t>
      </w:r>
      <w:r w:rsidR="00AD139A">
        <w:t>)</w:t>
      </w:r>
      <w:r w:rsidR="00AD139A" w:rsidRPr="002D38E6">
        <w:t xml:space="preserve">. </w:t>
      </w:r>
      <w:r w:rsidR="00926209" w:rsidRPr="002D38E6">
        <w:t xml:space="preserve">These figures also closely align with the 2010 survey responses of </w:t>
      </w:r>
      <w:r w:rsidR="000C3552">
        <w:rPr>
          <w:i/>
        </w:rPr>
        <w:t>a</w:t>
      </w:r>
      <w:r w:rsidR="00926209" w:rsidRPr="00922DEB">
        <w:rPr>
          <w:i/>
        </w:rPr>
        <w:t>gents</w:t>
      </w:r>
      <w:r w:rsidR="00926209" w:rsidRPr="002D38E6">
        <w:t xml:space="preserve"> 53%, </w:t>
      </w:r>
      <w:r w:rsidR="000C3552">
        <w:rPr>
          <w:i/>
        </w:rPr>
        <w:t>f</w:t>
      </w:r>
      <w:r w:rsidR="00926209" w:rsidRPr="00922DEB">
        <w:rPr>
          <w:i/>
        </w:rPr>
        <w:t>riends</w:t>
      </w:r>
      <w:r w:rsidR="00926209" w:rsidRPr="002D38E6">
        <w:t xml:space="preserve"> 24% and </w:t>
      </w:r>
      <w:r w:rsidR="000C3552">
        <w:rPr>
          <w:i/>
        </w:rPr>
        <w:t>a</w:t>
      </w:r>
      <w:r w:rsidR="00926209" w:rsidRPr="00922DEB">
        <w:rPr>
          <w:i/>
        </w:rPr>
        <w:t>lumni</w:t>
      </w:r>
      <w:r w:rsidR="00926209" w:rsidRPr="002D38E6">
        <w:t xml:space="preserve"> 21%. </w:t>
      </w:r>
      <w:r>
        <w:t xml:space="preserve">For the </w:t>
      </w:r>
      <w:r w:rsidRPr="005F7B11">
        <w:t>VET sector</w:t>
      </w:r>
      <w:r>
        <w:t xml:space="preserve"> in 2014, </w:t>
      </w:r>
      <w:r w:rsidRPr="005F7B11">
        <w:t>61% of respondents report</w:t>
      </w:r>
      <w:r>
        <w:t>ed</w:t>
      </w:r>
      <w:r w:rsidRPr="005F7B11">
        <w:t xml:space="preserve"> </w:t>
      </w:r>
      <w:r>
        <w:t xml:space="preserve">that </w:t>
      </w:r>
      <w:r>
        <w:rPr>
          <w:i/>
        </w:rPr>
        <w:t>a</w:t>
      </w:r>
      <w:r w:rsidRPr="00922DEB">
        <w:rPr>
          <w:i/>
        </w:rPr>
        <w:t>gents</w:t>
      </w:r>
      <w:r w:rsidRPr="005F7B11">
        <w:t xml:space="preserve"> </w:t>
      </w:r>
      <w:r>
        <w:t xml:space="preserve">helped them choose a study destination. Comparable data from earlier surveys was not available. </w:t>
      </w:r>
      <w:r w:rsidR="00926209" w:rsidRPr="002D38E6">
        <w:t xml:space="preserve"> </w:t>
      </w:r>
    </w:p>
    <w:p w:rsidR="00386FCE" w:rsidRPr="002D38E6" w:rsidRDefault="00386FCE" w:rsidP="00774B33">
      <w:pPr>
        <w:keepNext/>
        <w:keepLines/>
      </w:pPr>
      <w:r w:rsidRPr="002D38E6">
        <w:t xml:space="preserve">The five most important factors influencing decisions of all respondents in the </w:t>
      </w:r>
      <w:r w:rsidR="00086B4D">
        <w:t>schools</w:t>
      </w:r>
      <w:r w:rsidRPr="002D38E6">
        <w:t xml:space="preserve"> sector in choosing to study overseas were to:</w:t>
      </w:r>
    </w:p>
    <w:p w:rsidR="00386FCE" w:rsidRPr="002D38E6" w:rsidRDefault="00386FCE" w:rsidP="00774B33">
      <w:pPr>
        <w:pStyle w:val="ListBullet"/>
        <w:keepNext/>
        <w:keepLines/>
      </w:pPr>
      <w:proofErr w:type="gramStart"/>
      <w:r w:rsidRPr="002D38E6">
        <w:t>improve</w:t>
      </w:r>
      <w:proofErr w:type="gramEnd"/>
      <w:r w:rsidRPr="002D38E6">
        <w:t xml:space="preserve"> English (</w:t>
      </w:r>
      <w:r w:rsidR="007259BD" w:rsidRPr="002D38E6">
        <w:t>65</w:t>
      </w:r>
      <w:r w:rsidRPr="002D38E6">
        <w:t>%);</w:t>
      </w:r>
    </w:p>
    <w:p w:rsidR="00386FCE" w:rsidRPr="002D38E6" w:rsidRDefault="00386FCE" w:rsidP="00774B33">
      <w:pPr>
        <w:pStyle w:val="ListBullet"/>
        <w:keepNext/>
        <w:keepLines/>
      </w:pPr>
      <w:proofErr w:type="gramStart"/>
      <w:r w:rsidRPr="002D38E6">
        <w:t>gain</w:t>
      </w:r>
      <w:proofErr w:type="gramEnd"/>
      <w:r w:rsidRPr="002D38E6">
        <w:t xml:space="preserve"> experience living and studying in another country and/or culture (</w:t>
      </w:r>
      <w:r w:rsidR="007259BD" w:rsidRPr="002D38E6">
        <w:t>62</w:t>
      </w:r>
      <w:r w:rsidRPr="002D38E6">
        <w:t>%);</w:t>
      </w:r>
    </w:p>
    <w:p w:rsidR="00386FCE" w:rsidRPr="002D38E6" w:rsidRDefault="00386FCE" w:rsidP="00774B33">
      <w:pPr>
        <w:pStyle w:val="ListBullet"/>
        <w:keepNext/>
        <w:keepLines/>
      </w:pPr>
      <w:proofErr w:type="gramStart"/>
      <w:r w:rsidRPr="002D38E6">
        <w:t>improve</w:t>
      </w:r>
      <w:proofErr w:type="gramEnd"/>
      <w:r w:rsidRPr="002D38E6">
        <w:t xml:space="preserve"> chances of entering a good university in Australia (5</w:t>
      </w:r>
      <w:r w:rsidR="007259BD" w:rsidRPr="002D38E6">
        <w:t>3</w:t>
      </w:r>
      <w:r w:rsidRPr="002D38E6">
        <w:t xml:space="preserve">%); </w:t>
      </w:r>
    </w:p>
    <w:p w:rsidR="007259BD" w:rsidRPr="002D38E6" w:rsidRDefault="007259BD" w:rsidP="00774B33">
      <w:pPr>
        <w:pStyle w:val="ListBullet"/>
        <w:keepNext/>
        <w:keepLines/>
      </w:pPr>
      <w:r w:rsidRPr="002D38E6">
        <w:t>improve overall studies (43%)</w:t>
      </w:r>
      <w:r w:rsidR="00467FF9">
        <w:t>; and</w:t>
      </w:r>
    </w:p>
    <w:p w:rsidR="00383CD8" w:rsidRPr="002D38E6" w:rsidRDefault="00386FCE" w:rsidP="00467FF9">
      <w:pPr>
        <w:pStyle w:val="ListBullet"/>
        <w:keepNext/>
        <w:keepLines/>
        <w:spacing w:after="200"/>
      </w:pPr>
      <w:proofErr w:type="gramStart"/>
      <w:r w:rsidRPr="002D38E6">
        <w:t>obtain</w:t>
      </w:r>
      <w:proofErr w:type="gramEnd"/>
      <w:r w:rsidRPr="002D38E6">
        <w:t xml:space="preserve"> a better quality education than is available at home (</w:t>
      </w:r>
      <w:r w:rsidR="0073124C" w:rsidRPr="002D38E6">
        <w:t>40</w:t>
      </w:r>
      <w:r w:rsidR="00467FF9">
        <w:t>%).</w:t>
      </w:r>
    </w:p>
    <w:p w:rsidR="00386FCE" w:rsidRPr="002D38E6" w:rsidRDefault="00AA2F5C" w:rsidP="0040764B">
      <w:r>
        <w:t>Seventy-one per cent</w:t>
      </w:r>
      <w:r w:rsidR="00383CD8" w:rsidRPr="002D38E6">
        <w:t xml:space="preserve"> of respondents compared to 70% in the 2012 survey reported that Australia was their first choice for overseas schooling</w:t>
      </w:r>
      <w:r w:rsidR="00386FCE" w:rsidRPr="002D38E6">
        <w:t xml:space="preserve">.  The top </w:t>
      </w:r>
      <w:r w:rsidR="00383CD8" w:rsidRPr="002D38E6">
        <w:t xml:space="preserve">three </w:t>
      </w:r>
      <w:r w:rsidR="00386FCE" w:rsidRPr="002D38E6">
        <w:t xml:space="preserve">factors that influenced the choice of country were: </w:t>
      </w:r>
      <w:r w:rsidR="00386FCE" w:rsidRPr="002D38E6">
        <w:rPr>
          <w:i/>
          <w:iCs/>
        </w:rPr>
        <w:t>High quality of education</w:t>
      </w:r>
      <w:r w:rsidR="00386FCE" w:rsidRPr="002D38E6">
        <w:t xml:space="preserve"> (</w:t>
      </w:r>
      <w:r w:rsidR="00383CD8" w:rsidRPr="002D38E6">
        <w:t>61</w:t>
      </w:r>
      <w:r w:rsidR="00386FCE" w:rsidRPr="002D38E6">
        <w:t xml:space="preserve">%), </w:t>
      </w:r>
      <w:r w:rsidR="000C3552">
        <w:rPr>
          <w:i/>
          <w:iCs/>
        </w:rPr>
        <w:t>s</w:t>
      </w:r>
      <w:r w:rsidR="00386FCE" w:rsidRPr="002D38E6">
        <w:rPr>
          <w:i/>
          <w:iCs/>
        </w:rPr>
        <w:t>afe place to live</w:t>
      </w:r>
      <w:r w:rsidR="00386FCE" w:rsidRPr="002D38E6">
        <w:t xml:space="preserve"> (</w:t>
      </w:r>
      <w:r w:rsidR="00383CD8" w:rsidRPr="002D38E6">
        <w:t>51</w:t>
      </w:r>
      <w:r w:rsidR="00386FCE" w:rsidRPr="002D38E6">
        <w:t xml:space="preserve">%), and </w:t>
      </w:r>
      <w:r w:rsidR="000C3552">
        <w:rPr>
          <w:i/>
          <w:iCs/>
        </w:rPr>
        <w:t>l</w:t>
      </w:r>
      <w:r w:rsidR="00DB170F">
        <w:rPr>
          <w:i/>
          <w:iCs/>
        </w:rPr>
        <w:t>ive close to b</w:t>
      </w:r>
      <w:r w:rsidR="00383CD8" w:rsidRPr="002D38E6">
        <w:rPr>
          <w:i/>
          <w:iCs/>
        </w:rPr>
        <w:t>eautiful, natural environment</w:t>
      </w:r>
      <w:r w:rsidR="00383CD8" w:rsidRPr="002D38E6">
        <w:t xml:space="preserve"> (49%). These factors were consistent with those reported in the 2012 survey.</w:t>
      </w:r>
    </w:p>
    <w:p w:rsidR="00182C40" w:rsidRDefault="00AA2F5C" w:rsidP="0040764B">
      <w:pPr>
        <w:rPr>
          <w:iCs/>
        </w:rPr>
      </w:pPr>
      <w:r>
        <w:t>Forty-five per cent</w:t>
      </w:r>
      <w:r w:rsidR="00383CD8" w:rsidRPr="002D38E6">
        <w:t xml:space="preserve"> of respondents</w:t>
      </w:r>
      <w:r w:rsidR="00386FCE" w:rsidRPr="002D38E6">
        <w:t xml:space="preserve"> were influenced in their choice of school by </w:t>
      </w:r>
      <w:r w:rsidR="000C3552">
        <w:rPr>
          <w:i/>
          <w:iCs/>
        </w:rPr>
        <w:t>e</w:t>
      </w:r>
      <w:r w:rsidR="00386FCE" w:rsidRPr="002D38E6">
        <w:rPr>
          <w:i/>
          <w:iCs/>
        </w:rPr>
        <w:t xml:space="preserve">ducation agents </w:t>
      </w:r>
      <w:r w:rsidR="00383CD8" w:rsidRPr="002D38E6">
        <w:t>closely followed by</w:t>
      </w:r>
      <w:r w:rsidR="00386FCE" w:rsidRPr="002D38E6">
        <w:t xml:space="preserve"> 4</w:t>
      </w:r>
      <w:r w:rsidR="00383CD8" w:rsidRPr="002D38E6">
        <w:t>3</w:t>
      </w:r>
      <w:r w:rsidR="00386FCE" w:rsidRPr="002D38E6">
        <w:t xml:space="preserve">% indicating that they had been influenced by the recommendation of a </w:t>
      </w:r>
      <w:r w:rsidR="000C3552">
        <w:rPr>
          <w:i/>
          <w:iCs/>
        </w:rPr>
        <w:t>f</w:t>
      </w:r>
      <w:r w:rsidR="00386FCE" w:rsidRPr="002D38E6">
        <w:rPr>
          <w:i/>
          <w:iCs/>
        </w:rPr>
        <w:t xml:space="preserve">riend or relative. </w:t>
      </w:r>
      <w:r w:rsidR="00015692" w:rsidRPr="00015692">
        <w:rPr>
          <w:iCs/>
        </w:rPr>
        <w:t>As noted elsewhere</w:t>
      </w:r>
      <w:r w:rsidR="00015692">
        <w:rPr>
          <w:iCs/>
        </w:rPr>
        <w:t xml:space="preserve"> in this report, 80% of </w:t>
      </w:r>
      <w:proofErr w:type="gramStart"/>
      <w:r w:rsidR="00467FF9">
        <w:rPr>
          <w:iCs/>
        </w:rPr>
        <w:t>this cohort want</w:t>
      </w:r>
      <w:proofErr w:type="gramEnd"/>
      <w:r w:rsidR="00015692">
        <w:rPr>
          <w:iCs/>
        </w:rPr>
        <w:t xml:space="preserve"> to continue to study which one would expect after completion of </w:t>
      </w:r>
      <w:r w:rsidR="00C9424B">
        <w:rPr>
          <w:iCs/>
        </w:rPr>
        <w:t>Y</w:t>
      </w:r>
      <w:r w:rsidR="00015692">
        <w:rPr>
          <w:iCs/>
        </w:rPr>
        <w:t>ear 12. Given the positive experience in school, it is predictable a large portion of this population will go onto terti</w:t>
      </w:r>
      <w:r w:rsidR="00323BF7">
        <w:rPr>
          <w:iCs/>
        </w:rPr>
        <w:t>ary studies here in Australia.</w:t>
      </w:r>
    </w:p>
    <w:p w:rsidR="00182C40" w:rsidRDefault="00182C40" w:rsidP="0040764B">
      <w:pPr>
        <w:rPr>
          <w:iCs/>
        </w:rPr>
      </w:pPr>
      <w:r>
        <w:rPr>
          <w:iCs/>
        </w:rPr>
        <w:t xml:space="preserve">Table </w:t>
      </w:r>
      <w:r w:rsidR="00DB170F">
        <w:rPr>
          <w:iCs/>
        </w:rPr>
        <w:t xml:space="preserve">5 </w:t>
      </w:r>
      <w:r>
        <w:rPr>
          <w:iCs/>
        </w:rPr>
        <w:t>indicates what students plan to do on completion of their study</w:t>
      </w:r>
      <w:r w:rsidR="00467FF9">
        <w:rPr>
          <w:iCs/>
        </w:rPr>
        <w:t>. It</w:t>
      </w:r>
      <w:r>
        <w:rPr>
          <w:iCs/>
        </w:rPr>
        <w:t xml:space="preserve"> </w:t>
      </w:r>
      <w:r w:rsidR="00FA4679">
        <w:rPr>
          <w:iCs/>
        </w:rPr>
        <w:t>indicates</w:t>
      </w:r>
      <w:r>
        <w:rPr>
          <w:iCs/>
        </w:rPr>
        <w:t xml:space="preserve"> </w:t>
      </w:r>
      <w:r w:rsidR="00FA4679">
        <w:rPr>
          <w:iCs/>
        </w:rPr>
        <w:t xml:space="preserve">over 40% of VET and </w:t>
      </w:r>
      <w:proofErr w:type="spellStart"/>
      <w:r w:rsidR="00FA4679">
        <w:rPr>
          <w:iCs/>
        </w:rPr>
        <w:t>ELICOS</w:t>
      </w:r>
      <w:proofErr w:type="spellEnd"/>
      <w:r w:rsidR="00FA4679">
        <w:rPr>
          <w:iCs/>
        </w:rPr>
        <w:t xml:space="preserve"> students</w:t>
      </w:r>
      <w:r>
        <w:rPr>
          <w:iCs/>
        </w:rPr>
        <w:t xml:space="preserve"> want t</w:t>
      </w:r>
      <w:r w:rsidR="00D3423F">
        <w:rPr>
          <w:iCs/>
        </w:rPr>
        <w:t xml:space="preserve">o continue studies in Australia, whereas almost a quarter of </w:t>
      </w:r>
      <w:r w:rsidR="00682E9B">
        <w:rPr>
          <w:iCs/>
        </w:rPr>
        <w:t>higher education</w:t>
      </w:r>
      <w:r w:rsidR="00D3423F">
        <w:rPr>
          <w:iCs/>
        </w:rPr>
        <w:t xml:space="preserve"> graduates would like t</w:t>
      </w:r>
      <w:r w:rsidR="00FA4679">
        <w:rPr>
          <w:iCs/>
        </w:rPr>
        <w:t>o work in Australia. The table shows</w:t>
      </w:r>
      <w:r w:rsidR="00D3423F">
        <w:rPr>
          <w:iCs/>
        </w:rPr>
        <w:t xml:space="preserve"> that the </w:t>
      </w:r>
      <w:r w:rsidR="000C3552">
        <w:rPr>
          <w:i/>
          <w:iCs/>
        </w:rPr>
        <w:t>o</w:t>
      </w:r>
      <w:r w:rsidR="00D3423F" w:rsidRPr="00C87432">
        <w:rPr>
          <w:i/>
          <w:iCs/>
        </w:rPr>
        <w:t xml:space="preserve">ther </w:t>
      </w:r>
      <w:r w:rsidR="00D3423F" w:rsidRPr="00342010">
        <w:rPr>
          <w:iCs/>
        </w:rPr>
        <w:t>category</w:t>
      </w:r>
      <w:r w:rsidR="00D3423F" w:rsidRPr="00553724">
        <w:rPr>
          <w:iCs/>
        </w:rPr>
        <w:t xml:space="preserve"> </w:t>
      </w:r>
      <w:r w:rsidR="00D3423F">
        <w:rPr>
          <w:iCs/>
        </w:rPr>
        <w:t>received</w:t>
      </w:r>
      <w:r w:rsidR="00C87432">
        <w:rPr>
          <w:iCs/>
        </w:rPr>
        <w:t xml:space="preserve"> almost 30% and above responses</w:t>
      </w:r>
      <w:r w:rsidR="00467FF9">
        <w:rPr>
          <w:iCs/>
        </w:rPr>
        <w:t xml:space="preserve">. The </w:t>
      </w:r>
      <w:proofErr w:type="gramStart"/>
      <w:r w:rsidR="00467FF9">
        <w:rPr>
          <w:iCs/>
        </w:rPr>
        <w:t>addition of more answer</w:t>
      </w:r>
      <w:proofErr w:type="gramEnd"/>
      <w:r w:rsidR="00467FF9">
        <w:rPr>
          <w:iCs/>
        </w:rPr>
        <w:t xml:space="preserve"> options in future surveys may help to gain more useful information from this question</w:t>
      </w:r>
      <w:r w:rsidR="00D3423F">
        <w:rPr>
          <w:iCs/>
        </w:rPr>
        <w:t xml:space="preserve">. </w:t>
      </w:r>
    </w:p>
    <w:p w:rsidR="00182C40" w:rsidRPr="00B8404B" w:rsidRDefault="0074542C" w:rsidP="00E02725">
      <w:pPr>
        <w:pStyle w:val="Caption"/>
      </w:pPr>
      <w:bookmarkStart w:id="63" w:name="_Toc417300816"/>
      <w:r>
        <w:lastRenderedPageBreak/>
        <w:t xml:space="preserve">Table </w:t>
      </w:r>
      <w:r w:rsidR="00153FC1">
        <w:fldChar w:fldCharType="begin"/>
      </w:r>
      <w:r w:rsidR="00153FC1">
        <w:instrText xml:space="preserve"> SEQ Table \* ARABIC </w:instrText>
      </w:r>
      <w:r w:rsidR="00153FC1">
        <w:fldChar w:fldCharType="separate"/>
      </w:r>
      <w:r w:rsidR="00153FC1">
        <w:rPr>
          <w:noProof/>
        </w:rPr>
        <w:t>5</w:t>
      </w:r>
      <w:r w:rsidR="00153FC1">
        <w:rPr>
          <w:noProof/>
        </w:rPr>
        <w:fldChar w:fldCharType="end"/>
      </w:r>
      <w:r>
        <w:t>:</w:t>
      </w:r>
      <w:r w:rsidR="00FA4679">
        <w:t xml:space="preserve"> </w:t>
      </w:r>
      <w:r w:rsidR="00FA4679" w:rsidRPr="00B8404B">
        <w:t xml:space="preserve">Future </w:t>
      </w:r>
      <w:r w:rsidR="00D06F36">
        <w:t>P</w:t>
      </w:r>
      <w:r w:rsidR="00FA4679" w:rsidRPr="00B8404B">
        <w:t>lans</w:t>
      </w:r>
      <w:bookmarkEnd w:id="63"/>
      <w:r w:rsidR="00182C40" w:rsidRPr="00B8404B">
        <w:t xml:space="preserve"> </w:t>
      </w:r>
    </w:p>
    <w:tbl>
      <w:tblPr>
        <w:tblStyle w:val="MediumShading1-Accent2"/>
        <w:tblW w:w="9180" w:type="dxa"/>
        <w:tblBorders>
          <w:top w:val="single" w:sz="8" w:space="0" w:color="B2B2B2" w:themeColor="background1" w:themeTint="99"/>
          <w:left w:val="single" w:sz="8" w:space="0" w:color="B2B2B2" w:themeColor="background1" w:themeTint="99"/>
          <w:bottom w:val="single" w:sz="8" w:space="0" w:color="B2B2B2" w:themeColor="background1" w:themeTint="99"/>
          <w:right w:val="single" w:sz="8" w:space="0" w:color="B2B2B2" w:themeColor="background1" w:themeTint="99"/>
          <w:insideH w:val="single" w:sz="8" w:space="0" w:color="B2B2B2" w:themeColor="background1" w:themeTint="99"/>
          <w:insideV w:val="single" w:sz="8" w:space="0" w:color="B2B2B2" w:themeColor="background1" w:themeTint="99"/>
        </w:tblBorders>
        <w:tblLook w:val="0420" w:firstRow="1" w:lastRow="0" w:firstColumn="0" w:lastColumn="0" w:noHBand="0" w:noVBand="1"/>
        <w:tblCaption w:val="Table 5: Future Plans"/>
        <w:tblDescription w:val="The table shows the percentage of responses from international students of higher education, VET and ELICOS sector about their plan after their current program of study: Employment in Australia,further study, employmet in home country or other country, migration, self employed and other "/>
      </w:tblPr>
      <w:tblGrid>
        <w:gridCol w:w="5353"/>
        <w:gridCol w:w="1418"/>
        <w:gridCol w:w="1275"/>
        <w:gridCol w:w="1134"/>
      </w:tblGrid>
      <w:tr w:rsidR="00323BF7" w:rsidRPr="00323BF7" w:rsidTr="00274CC9">
        <w:trPr>
          <w:cnfStyle w:val="100000000000" w:firstRow="1" w:lastRow="0" w:firstColumn="0" w:lastColumn="0" w:oddVBand="0" w:evenVBand="0" w:oddHBand="0" w:evenHBand="0" w:firstRowFirstColumn="0" w:firstRowLastColumn="0" w:lastRowFirstColumn="0" w:lastRowLastColumn="0"/>
          <w:cantSplit/>
          <w:trHeight w:val="546"/>
          <w:tblHeader/>
        </w:trPr>
        <w:tc>
          <w:tcPr>
            <w:tcW w:w="5353" w:type="dxa"/>
            <w:tcBorders>
              <w:top w:val="none" w:sz="0" w:space="0" w:color="auto"/>
              <w:left w:val="none" w:sz="0" w:space="0" w:color="auto"/>
              <w:bottom w:val="none" w:sz="0" w:space="0" w:color="auto"/>
              <w:right w:val="none" w:sz="0" w:space="0" w:color="auto"/>
            </w:tcBorders>
          </w:tcPr>
          <w:p w:rsidR="00182C40" w:rsidRPr="00323BF7" w:rsidRDefault="00182C40" w:rsidP="00310176">
            <w:pPr>
              <w:rPr>
                <w:color w:val="FFFFFF" w:themeColor="background2"/>
              </w:rPr>
            </w:pPr>
            <w:r w:rsidRPr="00323BF7">
              <w:rPr>
                <w:color w:val="FFFFFF" w:themeColor="background2"/>
              </w:rPr>
              <w:t>What do you plan to do after your</w:t>
            </w:r>
            <w:r w:rsidR="00EE2DB9" w:rsidRPr="00323BF7">
              <w:rPr>
                <w:color w:val="FFFFFF" w:themeColor="background2"/>
              </w:rPr>
              <w:br/>
            </w:r>
            <w:r w:rsidRPr="00323BF7">
              <w:rPr>
                <w:color w:val="FFFFFF" w:themeColor="background2"/>
              </w:rPr>
              <w:t>current program of study</w:t>
            </w:r>
          </w:p>
        </w:tc>
        <w:tc>
          <w:tcPr>
            <w:tcW w:w="1418" w:type="dxa"/>
            <w:tcBorders>
              <w:top w:val="none" w:sz="0" w:space="0" w:color="auto"/>
              <w:left w:val="none" w:sz="0" w:space="0" w:color="auto"/>
              <w:bottom w:val="none" w:sz="0" w:space="0" w:color="auto"/>
              <w:right w:val="none" w:sz="0" w:space="0" w:color="auto"/>
            </w:tcBorders>
          </w:tcPr>
          <w:p w:rsidR="00682E9B" w:rsidRPr="00323BF7" w:rsidRDefault="00682E9B" w:rsidP="00310176">
            <w:pPr>
              <w:rPr>
                <w:color w:val="FFFFFF" w:themeColor="background2"/>
              </w:rPr>
            </w:pPr>
            <w:r w:rsidRPr="00323BF7">
              <w:rPr>
                <w:color w:val="FFFFFF" w:themeColor="background2"/>
              </w:rPr>
              <w:t>Higher</w:t>
            </w:r>
          </w:p>
          <w:p w:rsidR="00182C40" w:rsidRPr="00323BF7" w:rsidRDefault="00682E9B" w:rsidP="00310176">
            <w:pPr>
              <w:rPr>
                <w:color w:val="FFFFFF" w:themeColor="background2"/>
              </w:rPr>
            </w:pPr>
            <w:r w:rsidRPr="00323BF7">
              <w:rPr>
                <w:color w:val="FFFFFF" w:themeColor="background2"/>
              </w:rPr>
              <w:t>education</w:t>
            </w:r>
          </w:p>
        </w:tc>
        <w:tc>
          <w:tcPr>
            <w:tcW w:w="1275" w:type="dxa"/>
            <w:tcBorders>
              <w:top w:val="none" w:sz="0" w:space="0" w:color="auto"/>
              <w:left w:val="none" w:sz="0" w:space="0" w:color="auto"/>
              <w:bottom w:val="none" w:sz="0" w:space="0" w:color="auto"/>
              <w:right w:val="none" w:sz="0" w:space="0" w:color="auto"/>
            </w:tcBorders>
          </w:tcPr>
          <w:p w:rsidR="00182C40" w:rsidRPr="00323BF7" w:rsidRDefault="00182C40" w:rsidP="00310176">
            <w:pPr>
              <w:rPr>
                <w:color w:val="FFFFFF" w:themeColor="background2"/>
              </w:rPr>
            </w:pPr>
            <w:r w:rsidRPr="00323BF7">
              <w:rPr>
                <w:color w:val="FFFFFF" w:themeColor="background2"/>
              </w:rPr>
              <w:t>VET</w:t>
            </w:r>
          </w:p>
        </w:tc>
        <w:tc>
          <w:tcPr>
            <w:tcW w:w="1134" w:type="dxa"/>
            <w:tcBorders>
              <w:top w:val="none" w:sz="0" w:space="0" w:color="auto"/>
              <w:left w:val="none" w:sz="0" w:space="0" w:color="auto"/>
              <w:bottom w:val="none" w:sz="0" w:space="0" w:color="auto"/>
              <w:right w:val="none" w:sz="0" w:space="0" w:color="auto"/>
            </w:tcBorders>
          </w:tcPr>
          <w:p w:rsidR="00182C40" w:rsidRPr="00323BF7" w:rsidRDefault="00182C40" w:rsidP="00310176">
            <w:pPr>
              <w:rPr>
                <w:color w:val="FFFFFF" w:themeColor="background2"/>
              </w:rPr>
            </w:pPr>
            <w:proofErr w:type="spellStart"/>
            <w:r w:rsidRPr="00323BF7">
              <w:rPr>
                <w:color w:val="FFFFFF" w:themeColor="background2"/>
              </w:rPr>
              <w:t>ELICOS</w:t>
            </w:r>
            <w:proofErr w:type="spellEnd"/>
          </w:p>
        </w:tc>
      </w:tr>
      <w:tr w:rsidR="00182C40" w:rsidRPr="00310176" w:rsidTr="00274CC9">
        <w:trPr>
          <w:cnfStyle w:val="000000100000" w:firstRow="0" w:lastRow="0" w:firstColumn="0" w:lastColumn="0" w:oddVBand="0" w:evenVBand="0" w:oddHBand="1" w:evenHBand="0" w:firstRowFirstColumn="0" w:firstRowLastColumn="0" w:lastRowFirstColumn="0" w:lastRowLastColumn="0"/>
          <w:trHeight w:val="529"/>
        </w:trPr>
        <w:tc>
          <w:tcPr>
            <w:tcW w:w="5353" w:type="dxa"/>
            <w:tcBorders>
              <w:right w:val="none" w:sz="0" w:space="0" w:color="auto"/>
            </w:tcBorders>
          </w:tcPr>
          <w:p w:rsidR="00182C40" w:rsidRPr="00310176" w:rsidRDefault="00182C40" w:rsidP="00310176">
            <w:r w:rsidRPr="00310176">
              <w:t>Employment in Australia</w:t>
            </w:r>
          </w:p>
        </w:tc>
        <w:tc>
          <w:tcPr>
            <w:tcW w:w="1418" w:type="dxa"/>
            <w:tcBorders>
              <w:left w:val="none" w:sz="0" w:space="0" w:color="auto"/>
              <w:right w:val="none" w:sz="0" w:space="0" w:color="auto"/>
            </w:tcBorders>
          </w:tcPr>
          <w:p w:rsidR="00182C40" w:rsidRPr="00310176" w:rsidRDefault="00D3423F" w:rsidP="00310176">
            <w:r w:rsidRPr="00310176">
              <w:t>24%</w:t>
            </w:r>
          </w:p>
        </w:tc>
        <w:tc>
          <w:tcPr>
            <w:tcW w:w="1275" w:type="dxa"/>
            <w:tcBorders>
              <w:left w:val="none" w:sz="0" w:space="0" w:color="auto"/>
              <w:right w:val="none" w:sz="0" w:space="0" w:color="auto"/>
            </w:tcBorders>
          </w:tcPr>
          <w:p w:rsidR="00182C40" w:rsidRPr="00310176" w:rsidRDefault="00D3423F" w:rsidP="00310176">
            <w:r w:rsidRPr="00310176">
              <w:t>11%</w:t>
            </w:r>
          </w:p>
        </w:tc>
        <w:tc>
          <w:tcPr>
            <w:tcW w:w="1134" w:type="dxa"/>
            <w:tcBorders>
              <w:left w:val="none" w:sz="0" w:space="0" w:color="auto"/>
            </w:tcBorders>
          </w:tcPr>
          <w:p w:rsidR="00182C40" w:rsidRPr="00310176" w:rsidRDefault="00D3423F" w:rsidP="00310176">
            <w:r w:rsidRPr="00310176">
              <w:t>7%</w:t>
            </w:r>
          </w:p>
        </w:tc>
      </w:tr>
      <w:tr w:rsidR="00182C40" w:rsidRPr="00310176" w:rsidTr="00274CC9">
        <w:trPr>
          <w:cnfStyle w:val="000000010000" w:firstRow="0" w:lastRow="0" w:firstColumn="0" w:lastColumn="0" w:oddVBand="0" w:evenVBand="0" w:oddHBand="0" w:evenHBand="1" w:firstRowFirstColumn="0" w:firstRowLastColumn="0" w:lastRowFirstColumn="0" w:lastRowLastColumn="0"/>
          <w:trHeight w:val="529"/>
        </w:trPr>
        <w:tc>
          <w:tcPr>
            <w:tcW w:w="5353" w:type="dxa"/>
            <w:tcBorders>
              <w:right w:val="none" w:sz="0" w:space="0" w:color="auto"/>
            </w:tcBorders>
          </w:tcPr>
          <w:p w:rsidR="00182C40" w:rsidRPr="00310176" w:rsidRDefault="00182C40" w:rsidP="00310176">
            <w:r w:rsidRPr="00310176">
              <w:t xml:space="preserve">Further </w:t>
            </w:r>
            <w:r w:rsidR="000C3552" w:rsidRPr="00310176">
              <w:t>s</w:t>
            </w:r>
            <w:r w:rsidRPr="00310176">
              <w:t>tudy</w:t>
            </w:r>
          </w:p>
        </w:tc>
        <w:tc>
          <w:tcPr>
            <w:tcW w:w="1418" w:type="dxa"/>
            <w:tcBorders>
              <w:left w:val="none" w:sz="0" w:space="0" w:color="auto"/>
              <w:right w:val="none" w:sz="0" w:space="0" w:color="auto"/>
            </w:tcBorders>
          </w:tcPr>
          <w:p w:rsidR="00182C40" w:rsidRPr="00310176" w:rsidRDefault="00D3423F" w:rsidP="00310176">
            <w:r w:rsidRPr="00310176">
              <w:t>24%</w:t>
            </w:r>
          </w:p>
        </w:tc>
        <w:tc>
          <w:tcPr>
            <w:tcW w:w="1275" w:type="dxa"/>
            <w:tcBorders>
              <w:left w:val="none" w:sz="0" w:space="0" w:color="auto"/>
              <w:right w:val="none" w:sz="0" w:space="0" w:color="auto"/>
            </w:tcBorders>
          </w:tcPr>
          <w:p w:rsidR="00182C40" w:rsidRPr="00310176" w:rsidRDefault="00D3423F" w:rsidP="00310176">
            <w:r w:rsidRPr="00310176">
              <w:t>41%</w:t>
            </w:r>
          </w:p>
        </w:tc>
        <w:tc>
          <w:tcPr>
            <w:tcW w:w="1134" w:type="dxa"/>
            <w:tcBorders>
              <w:left w:val="none" w:sz="0" w:space="0" w:color="auto"/>
            </w:tcBorders>
          </w:tcPr>
          <w:p w:rsidR="00182C40" w:rsidRPr="00310176" w:rsidRDefault="00D3423F" w:rsidP="00310176">
            <w:r w:rsidRPr="00310176">
              <w:t>47%</w:t>
            </w:r>
          </w:p>
        </w:tc>
      </w:tr>
      <w:tr w:rsidR="00182C40" w:rsidRPr="00310176" w:rsidTr="00274CC9">
        <w:trPr>
          <w:cnfStyle w:val="000000100000" w:firstRow="0" w:lastRow="0" w:firstColumn="0" w:lastColumn="0" w:oddVBand="0" w:evenVBand="0" w:oddHBand="1" w:evenHBand="0" w:firstRowFirstColumn="0" w:firstRowLastColumn="0" w:lastRowFirstColumn="0" w:lastRowLastColumn="0"/>
          <w:trHeight w:val="529"/>
        </w:trPr>
        <w:tc>
          <w:tcPr>
            <w:tcW w:w="5353" w:type="dxa"/>
            <w:tcBorders>
              <w:right w:val="none" w:sz="0" w:space="0" w:color="auto"/>
            </w:tcBorders>
          </w:tcPr>
          <w:p w:rsidR="00182C40" w:rsidRPr="00310176" w:rsidRDefault="00182C40" w:rsidP="00310176">
            <w:r w:rsidRPr="00310176">
              <w:t>Employment in home country or other country</w:t>
            </w:r>
          </w:p>
        </w:tc>
        <w:tc>
          <w:tcPr>
            <w:tcW w:w="1418" w:type="dxa"/>
            <w:tcBorders>
              <w:left w:val="none" w:sz="0" w:space="0" w:color="auto"/>
              <w:right w:val="none" w:sz="0" w:space="0" w:color="auto"/>
            </w:tcBorders>
          </w:tcPr>
          <w:p w:rsidR="00182C40" w:rsidRPr="00310176" w:rsidRDefault="00D3423F" w:rsidP="00310176">
            <w:r w:rsidRPr="00310176">
              <w:t>14%</w:t>
            </w:r>
          </w:p>
        </w:tc>
        <w:tc>
          <w:tcPr>
            <w:tcW w:w="1275" w:type="dxa"/>
            <w:tcBorders>
              <w:left w:val="none" w:sz="0" w:space="0" w:color="auto"/>
              <w:right w:val="none" w:sz="0" w:space="0" w:color="auto"/>
            </w:tcBorders>
          </w:tcPr>
          <w:p w:rsidR="00182C40" w:rsidRPr="00310176" w:rsidRDefault="00D3423F" w:rsidP="00310176">
            <w:r w:rsidRPr="00310176">
              <w:t>3%</w:t>
            </w:r>
          </w:p>
        </w:tc>
        <w:tc>
          <w:tcPr>
            <w:tcW w:w="1134" w:type="dxa"/>
            <w:tcBorders>
              <w:left w:val="none" w:sz="0" w:space="0" w:color="auto"/>
            </w:tcBorders>
          </w:tcPr>
          <w:p w:rsidR="00182C40" w:rsidRPr="00310176" w:rsidRDefault="00FA4679" w:rsidP="00310176">
            <w:r w:rsidRPr="00310176">
              <w:t>7</w:t>
            </w:r>
            <w:r w:rsidR="00D3423F" w:rsidRPr="00310176">
              <w:t>%</w:t>
            </w:r>
          </w:p>
        </w:tc>
      </w:tr>
      <w:tr w:rsidR="00182C40" w:rsidRPr="00310176" w:rsidTr="00274CC9">
        <w:trPr>
          <w:cnfStyle w:val="000000010000" w:firstRow="0" w:lastRow="0" w:firstColumn="0" w:lastColumn="0" w:oddVBand="0" w:evenVBand="0" w:oddHBand="0" w:evenHBand="1" w:firstRowFirstColumn="0" w:firstRowLastColumn="0" w:lastRowFirstColumn="0" w:lastRowLastColumn="0"/>
          <w:trHeight w:val="529"/>
        </w:trPr>
        <w:tc>
          <w:tcPr>
            <w:tcW w:w="5353" w:type="dxa"/>
            <w:tcBorders>
              <w:right w:val="none" w:sz="0" w:space="0" w:color="auto"/>
            </w:tcBorders>
          </w:tcPr>
          <w:p w:rsidR="00182C40" w:rsidRPr="00310176" w:rsidRDefault="00182C40" w:rsidP="00310176">
            <w:r w:rsidRPr="00310176">
              <w:t>Migration</w:t>
            </w:r>
          </w:p>
        </w:tc>
        <w:tc>
          <w:tcPr>
            <w:tcW w:w="1418" w:type="dxa"/>
            <w:tcBorders>
              <w:left w:val="none" w:sz="0" w:space="0" w:color="auto"/>
              <w:right w:val="none" w:sz="0" w:space="0" w:color="auto"/>
            </w:tcBorders>
          </w:tcPr>
          <w:p w:rsidR="00182C40" w:rsidRPr="00310176" w:rsidRDefault="00D3423F" w:rsidP="00310176">
            <w:r w:rsidRPr="00310176">
              <w:t>10%</w:t>
            </w:r>
          </w:p>
        </w:tc>
        <w:tc>
          <w:tcPr>
            <w:tcW w:w="1275" w:type="dxa"/>
            <w:tcBorders>
              <w:left w:val="none" w:sz="0" w:space="0" w:color="auto"/>
              <w:right w:val="none" w:sz="0" w:space="0" w:color="auto"/>
            </w:tcBorders>
          </w:tcPr>
          <w:p w:rsidR="00182C40" w:rsidRPr="00310176" w:rsidRDefault="00D3423F" w:rsidP="00310176">
            <w:r w:rsidRPr="00310176">
              <w:t>8%</w:t>
            </w:r>
          </w:p>
        </w:tc>
        <w:tc>
          <w:tcPr>
            <w:tcW w:w="1134" w:type="dxa"/>
            <w:tcBorders>
              <w:left w:val="none" w:sz="0" w:space="0" w:color="auto"/>
            </w:tcBorders>
          </w:tcPr>
          <w:p w:rsidR="00182C40" w:rsidRPr="00310176" w:rsidRDefault="00D3423F" w:rsidP="00310176">
            <w:r w:rsidRPr="00310176">
              <w:t>2%</w:t>
            </w:r>
          </w:p>
        </w:tc>
      </w:tr>
      <w:tr w:rsidR="00182C40" w:rsidRPr="00310176" w:rsidTr="00274CC9">
        <w:trPr>
          <w:cnfStyle w:val="000000100000" w:firstRow="0" w:lastRow="0" w:firstColumn="0" w:lastColumn="0" w:oddVBand="0" w:evenVBand="0" w:oddHBand="1" w:evenHBand="0" w:firstRowFirstColumn="0" w:firstRowLastColumn="0" w:lastRowFirstColumn="0" w:lastRowLastColumn="0"/>
          <w:trHeight w:val="529"/>
        </w:trPr>
        <w:tc>
          <w:tcPr>
            <w:tcW w:w="5353" w:type="dxa"/>
            <w:tcBorders>
              <w:right w:val="none" w:sz="0" w:space="0" w:color="auto"/>
            </w:tcBorders>
          </w:tcPr>
          <w:p w:rsidR="00182C40" w:rsidRPr="00310176" w:rsidRDefault="00AD139A" w:rsidP="00310176">
            <w:r w:rsidRPr="00310176">
              <w:t>Self-employed</w:t>
            </w:r>
            <w:r w:rsidR="00E018C2" w:rsidRPr="00310176">
              <w:t>*</w:t>
            </w:r>
          </w:p>
        </w:tc>
        <w:tc>
          <w:tcPr>
            <w:tcW w:w="1418" w:type="dxa"/>
            <w:tcBorders>
              <w:left w:val="none" w:sz="0" w:space="0" w:color="auto"/>
              <w:right w:val="none" w:sz="0" w:space="0" w:color="auto"/>
            </w:tcBorders>
          </w:tcPr>
          <w:p w:rsidR="00182C40" w:rsidRPr="00310176" w:rsidRDefault="00D3423F" w:rsidP="00310176">
            <w:r w:rsidRPr="00310176">
              <w:t>1%</w:t>
            </w:r>
          </w:p>
        </w:tc>
        <w:tc>
          <w:tcPr>
            <w:tcW w:w="1275" w:type="dxa"/>
            <w:tcBorders>
              <w:left w:val="none" w:sz="0" w:space="0" w:color="auto"/>
              <w:right w:val="none" w:sz="0" w:space="0" w:color="auto"/>
            </w:tcBorders>
          </w:tcPr>
          <w:p w:rsidR="00182C40" w:rsidRPr="00310176" w:rsidRDefault="00D3423F" w:rsidP="00310176">
            <w:r w:rsidRPr="00310176">
              <w:t>1%</w:t>
            </w:r>
          </w:p>
        </w:tc>
        <w:tc>
          <w:tcPr>
            <w:tcW w:w="1134" w:type="dxa"/>
            <w:tcBorders>
              <w:left w:val="none" w:sz="0" w:space="0" w:color="auto"/>
            </w:tcBorders>
          </w:tcPr>
          <w:p w:rsidR="00182C40" w:rsidRPr="00310176" w:rsidRDefault="00E018C2" w:rsidP="00310176">
            <w:r w:rsidRPr="00310176">
              <w:t>N/A</w:t>
            </w:r>
          </w:p>
        </w:tc>
      </w:tr>
      <w:tr w:rsidR="00182C40" w:rsidRPr="00310176" w:rsidTr="00274CC9">
        <w:trPr>
          <w:cnfStyle w:val="000000010000" w:firstRow="0" w:lastRow="0" w:firstColumn="0" w:lastColumn="0" w:oddVBand="0" w:evenVBand="0" w:oddHBand="0" w:evenHBand="1" w:firstRowFirstColumn="0" w:firstRowLastColumn="0" w:lastRowFirstColumn="0" w:lastRowLastColumn="0"/>
          <w:trHeight w:val="529"/>
        </w:trPr>
        <w:tc>
          <w:tcPr>
            <w:tcW w:w="5353" w:type="dxa"/>
            <w:tcBorders>
              <w:right w:val="none" w:sz="0" w:space="0" w:color="auto"/>
            </w:tcBorders>
          </w:tcPr>
          <w:p w:rsidR="00182C40" w:rsidRPr="00310176" w:rsidRDefault="00182C40" w:rsidP="00310176">
            <w:r w:rsidRPr="00310176">
              <w:t>Other</w:t>
            </w:r>
          </w:p>
        </w:tc>
        <w:tc>
          <w:tcPr>
            <w:tcW w:w="1418" w:type="dxa"/>
            <w:tcBorders>
              <w:left w:val="none" w:sz="0" w:space="0" w:color="auto"/>
              <w:right w:val="none" w:sz="0" w:space="0" w:color="auto"/>
            </w:tcBorders>
          </w:tcPr>
          <w:p w:rsidR="00182C40" w:rsidRPr="00310176" w:rsidRDefault="00D3423F" w:rsidP="00310176">
            <w:r w:rsidRPr="00310176">
              <w:t>27%</w:t>
            </w:r>
          </w:p>
        </w:tc>
        <w:tc>
          <w:tcPr>
            <w:tcW w:w="1275" w:type="dxa"/>
            <w:tcBorders>
              <w:left w:val="none" w:sz="0" w:space="0" w:color="auto"/>
              <w:right w:val="none" w:sz="0" w:space="0" w:color="auto"/>
            </w:tcBorders>
          </w:tcPr>
          <w:p w:rsidR="00182C40" w:rsidRPr="00310176" w:rsidRDefault="00D3423F" w:rsidP="00310176">
            <w:r w:rsidRPr="00310176">
              <w:t>36%</w:t>
            </w:r>
          </w:p>
        </w:tc>
        <w:tc>
          <w:tcPr>
            <w:tcW w:w="1134" w:type="dxa"/>
            <w:tcBorders>
              <w:left w:val="none" w:sz="0" w:space="0" w:color="auto"/>
            </w:tcBorders>
          </w:tcPr>
          <w:p w:rsidR="00182C40" w:rsidRPr="00310176" w:rsidRDefault="00DB170F" w:rsidP="00310176">
            <w:r w:rsidRPr="00310176">
              <w:t>38</w:t>
            </w:r>
            <w:r w:rsidR="00D3423F" w:rsidRPr="00310176">
              <w:t>%</w:t>
            </w:r>
          </w:p>
        </w:tc>
      </w:tr>
    </w:tbl>
    <w:p w:rsidR="00182C40" w:rsidRDefault="00E018C2" w:rsidP="007C367E">
      <w:pPr>
        <w:tabs>
          <w:tab w:val="left" w:pos="6663"/>
        </w:tabs>
        <w:rPr>
          <w:i/>
          <w:sz w:val="20"/>
        </w:rPr>
      </w:pPr>
      <w:r>
        <w:rPr>
          <w:i/>
          <w:sz w:val="20"/>
        </w:rPr>
        <w:t>*</w:t>
      </w:r>
      <w:r w:rsidRPr="0092138C">
        <w:rPr>
          <w:i/>
          <w:sz w:val="20"/>
        </w:rPr>
        <w:t>This element was not measured for th</w:t>
      </w:r>
      <w:r w:rsidR="007C367E">
        <w:rPr>
          <w:i/>
          <w:sz w:val="20"/>
        </w:rPr>
        <w:t xml:space="preserve">e </w:t>
      </w:r>
      <w:proofErr w:type="spellStart"/>
      <w:r w:rsidR="007C367E">
        <w:rPr>
          <w:i/>
          <w:sz w:val="20"/>
        </w:rPr>
        <w:t>ELICOS</w:t>
      </w:r>
      <w:proofErr w:type="spellEnd"/>
      <w:r w:rsidR="007C367E">
        <w:rPr>
          <w:i/>
          <w:sz w:val="20"/>
        </w:rPr>
        <w:t xml:space="preserve"> respondents</w:t>
      </w:r>
      <w:r w:rsidR="007C367E">
        <w:rPr>
          <w:i/>
          <w:sz w:val="20"/>
        </w:rPr>
        <w:tab/>
      </w:r>
      <w:r w:rsidR="00FF7821">
        <w:rPr>
          <w:i/>
          <w:sz w:val="20"/>
        </w:rPr>
        <w:t>(Base: 48,569 respondents)</w:t>
      </w:r>
    </w:p>
    <w:p w:rsidR="00BE45C0" w:rsidRPr="007C367E" w:rsidRDefault="00BE45C0" w:rsidP="007C367E">
      <w:bookmarkStart w:id="64" w:name="_Toc278311563"/>
      <w:r>
        <w:rPr>
          <w:noProof/>
          <w:lang w:eastAsia="en-AU"/>
        </w:rPr>
        <w:drawing>
          <wp:inline distT="0" distB="0" distL="0" distR="0" wp14:anchorId="12472BD0" wp14:editId="4F6893FE">
            <wp:extent cx="5731510" cy="3886200"/>
            <wp:effectExtent l="0" t="0" r="2540" b="0"/>
            <wp:docPr id="12" name="Picture 1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_000022334200_Double.jpg"/>
                    <pic:cNvPicPr/>
                  </pic:nvPicPr>
                  <pic:blipFill>
                    <a:blip r:embed="rId35">
                      <a:extLst>
                        <a:ext uri="{28A0092B-C50C-407E-A947-70E740481C1C}">
                          <a14:useLocalDpi xmlns:a14="http://schemas.microsoft.com/office/drawing/2010/main" val="0"/>
                        </a:ext>
                      </a:extLst>
                    </a:blip>
                    <a:stretch>
                      <a:fillRect/>
                    </a:stretch>
                  </pic:blipFill>
                  <pic:spPr>
                    <a:xfrm>
                      <a:off x="0" y="0"/>
                      <a:ext cx="5731510" cy="3886200"/>
                    </a:xfrm>
                    <a:prstGeom prst="rect">
                      <a:avLst/>
                    </a:prstGeom>
                  </pic:spPr>
                </pic:pic>
              </a:graphicData>
            </a:graphic>
          </wp:inline>
        </w:drawing>
      </w:r>
      <w:bookmarkStart w:id="65" w:name="_Toc415743337"/>
      <w:r w:rsidRPr="007C367E">
        <w:br w:type="page"/>
      </w:r>
    </w:p>
    <w:p w:rsidR="00386FCE" w:rsidRPr="001E2ECE" w:rsidRDefault="00386FCE" w:rsidP="00774B33">
      <w:pPr>
        <w:pStyle w:val="Heading1"/>
      </w:pPr>
      <w:bookmarkStart w:id="66" w:name="_Toc417300810"/>
      <w:r w:rsidRPr="001E2ECE">
        <w:lastRenderedPageBreak/>
        <w:t>Explanatory Notes</w:t>
      </w:r>
      <w:r w:rsidR="00AB75EB" w:rsidRPr="001E2ECE">
        <w:t xml:space="preserve"> for 2014 </w:t>
      </w:r>
      <w:proofErr w:type="spellStart"/>
      <w:r w:rsidR="00AB75EB" w:rsidRPr="001E2ECE">
        <w:t>ISS</w:t>
      </w:r>
      <w:bookmarkEnd w:id="64"/>
      <w:bookmarkEnd w:id="65"/>
      <w:bookmarkEnd w:id="66"/>
      <w:proofErr w:type="spellEnd"/>
    </w:p>
    <w:p w:rsidR="00386FCE" w:rsidRPr="002D38E6" w:rsidRDefault="00386FCE" w:rsidP="0040764B">
      <w:pPr>
        <w:pStyle w:val="Heading2"/>
      </w:pPr>
      <w:bookmarkStart w:id="67" w:name="_Toc278311564"/>
      <w:bookmarkStart w:id="68" w:name="_Toc415743338"/>
      <w:bookmarkStart w:id="69" w:name="_Toc417300811"/>
      <w:r w:rsidRPr="002D38E6">
        <w:t>Comparisons over time and between surveys</w:t>
      </w:r>
      <w:bookmarkEnd w:id="67"/>
      <w:bookmarkEnd w:id="68"/>
      <w:bookmarkEnd w:id="69"/>
    </w:p>
    <w:p w:rsidR="00284BC2" w:rsidRPr="002D38E6" w:rsidRDefault="00386FCE" w:rsidP="0040764B">
      <w:r w:rsidRPr="002D38E6">
        <w:t xml:space="preserve">The focus of this consolidated report is on </w:t>
      </w:r>
      <w:r w:rsidR="00E7081C" w:rsidRPr="002D38E6">
        <w:t>high-level</w:t>
      </w:r>
      <w:r w:rsidRPr="002D38E6">
        <w:t xml:space="preserve"> indicators.  Where survey response rates</w:t>
      </w:r>
      <w:r w:rsidR="000C3552">
        <w:t xml:space="preserve"> and </w:t>
      </w:r>
      <w:r w:rsidRPr="002D38E6">
        <w:t>scope considerations allow, some comparisons have been made with data collected i</w:t>
      </w:r>
      <w:r w:rsidR="00AB75EB" w:rsidRPr="002D38E6">
        <w:t xml:space="preserve">n the </w:t>
      </w:r>
      <w:r w:rsidR="00DB170F" w:rsidRPr="002D38E6">
        <w:t>201</w:t>
      </w:r>
      <w:r w:rsidR="00DB170F">
        <w:t>2</w:t>
      </w:r>
      <w:r w:rsidR="00DB170F" w:rsidRPr="002D38E6">
        <w:t xml:space="preserve"> </w:t>
      </w:r>
      <w:r w:rsidR="00A620D3">
        <w:t>International Student Survey (</w:t>
      </w:r>
      <w:proofErr w:type="spellStart"/>
      <w:r w:rsidR="00AB75EB" w:rsidRPr="002D38E6">
        <w:t>ISS</w:t>
      </w:r>
      <w:proofErr w:type="spellEnd"/>
      <w:r w:rsidR="00A620D3">
        <w:t>)</w:t>
      </w:r>
      <w:r w:rsidR="00AB75EB" w:rsidRPr="002D38E6">
        <w:t xml:space="preserve"> and the </w:t>
      </w:r>
      <w:r w:rsidR="00DB170F" w:rsidRPr="002D38E6">
        <w:t>201</w:t>
      </w:r>
      <w:r w:rsidR="00DB170F">
        <w:t>0</w:t>
      </w:r>
      <w:r w:rsidR="00DB170F" w:rsidRPr="002D38E6">
        <w:t xml:space="preserve"> </w:t>
      </w:r>
      <w:proofErr w:type="spellStart"/>
      <w:r w:rsidR="00AB75EB" w:rsidRPr="002D38E6">
        <w:t>ISS</w:t>
      </w:r>
      <w:proofErr w:type="spellEnd"/>
      <w:r w:rsidRPr="002D38E6">
        <w:t xml:space="preserve">. </w:t>
      </w:r>
      <w:r w:rsidR="00284BC2">
        <w:t xml:space="preserve"> For </w:t>
      </w:r>
      <w:r w:rsidR="00682E9B">
        <w:t>higher education</w:t>
      </w:r>
      <w:r w:rsidR="00284BC2">
        <w:t xml:space="preserve"> and </w:t>
      </w:r>
      <w:r w:rsidR="00A620D3">
        <w:t>vocational education and training (</w:t>
      </w:r>
      <w:r w:rsidR="00284BC2">
        <w:t>VET</w:t>
      </w:r>
      <w:r w:rsidR="00A620D3">
        <w:t>)</w:t>
      </w:r>
      <w:r w:rsidR="00284BC2">
        <w:t xml:space="preserve">, 2014 international benchmarks were available from the </w:t>
      </w:r>
      <w:proofErr w:type="spellStart"/>
      <w:r w:rsidR="00284572">
        <w:t>ISB</w:t>
      </w:r>
      <w:proofErr w:type="spellEnd"/>
      <w:r w:rsidR="00284BC2">
        <w:t xml:space="preserve"> conducted in other countries</w:t>
      </w:r>
      <w:r w:rsidR="007A7CAD">
        <w:t xml:space="preserve">. The </w:t>
      </w:r>
      <w:proofErr w:type="spellStart"/>
      <w:r w:rsidR="007A7CAD">
        <w:t>ISB</w:t>
      </w:r>
      <w:proofErr w:type="spellEnd"/>
      <w:r w:rsidR="007A7CAD">
        <w:t xml:space="preserve"> for </w:t>
      </w:r>
      <w:r w:rsidR="00682E9B">
        <w:t>higher education</w:t>
      </w:r>
      <w:r w:rsidR="007A7CAD">
        <w:t xml:space="preserve"> contains</w:t>
      </w:r>
      <w:r w:rsidR="00C52ACA">
        <w:t xml:space="preserve"> </w:t>
      </w:r>
      <w:r w:rsidR="007A14E1">
        <w:t>150,388</w:t>
      </w:r>
      <w:r w:rsidR="007A7CAD">
        <w:t xml:space="preserve"> </w:t>
      </w:r>
      <w:r w:rsidR="00C52ACA">
        <w:t xml:space="preserve">student </w:t>
      </w:r>
      <w:r w:rsidR="007A7CAD">
        <w:t xml:space="preserve">responses </w:t>
      </w:r>
      <w:r w:rsidR="00C52ACA">
        <w:t>from participating universities</w:t>
      </w:r>
      <w:r w:rsidR="007A7CAD">
        <w:t xml:space="preserve">. The </w:t>
      </w:r>
      <w:proofErr w:type="spellStart"/>
      <w:r w:rsidR="007A7CAD">
        <w:t>ISB</w:t>
      </w:r>
      <w:proofErr w:type="spellEnd"/>
      <w:r w:rsidR="007A7CAD">
        <w:t xml:space="preserve"> for VET </w:t>
      </w:r>
      <w:r w:rsidR="00284572">
        <w:t>contains</w:t>
      </w:r>
      <w:r w:rsidR="007A7CAD">
        <w:t xml:space="preserve"> </w:t>
      </w:r>
      <w:r w:rsidR="00E7081C">
        <w:t>19</w:t>
      </w:r>
      <w:r w:rsidR="00D45B97">
        <w:t>,</w:t>
      </w:r>
      <w:r w:rsidR="00E7081C">
        <w:t xml:space="preserve">588 </w:t>
      </w:r>
      <w:r w:rsidR="00C52ACA">
        <w:t>student re</w:t>
      </w:r>
      <w:r w:rsidR="007A7CAD">
        <w:t>s</w:t>
      </w:r>
      <w:r w:rsidR="00C52ACA">
        <w:t>po</w:t>
      </w:r>
      <w:r w:rsidR="007A7CAD">
        <w:t xml:space="preserve">nses from participating institutions. </w:t>
      </w:r>
    </w:p>
    <w:p w:rsidR="00E02725" w:rsidRDefault="00E02725" w:rsidP="00E02725">
      <w:pPr>
        <w:pStyle w:val="Caption"/>
      </w:pPr>
      <w:bookmarkStart w:id="70" w:name="_Toc417300817"/>
      <w:r>
        <w:t xml:space="preserve">Table </w:t>
      </w:r>
      <w:r w:rsidR="00153FC1">
        <w:fldChar w:fldCharType="begin"/>
      </w:r>
      <w:r w:rsidR="00153FC1">
        <w:instrText xml:space="preserve"> SEQ Table \* ARABIC </w:instrText>
      </w:r>
      <w:r w:rsidR="00153FC1">
        <w:fldChar w:fldCharType="separate"/>
      </w:r>
      <w:r w:rsidR="00153FC1">
        <w:rPr>
          <w:noProof/>
        </w:rPr>
        <w:t>6</w:t>
      </w:r>
      <w:r w:rsidR="00153FC1">
        <w:rPr>
          <w:noProof/>
        </w:rPr>
        <w:fldChar w:fldCharType="end"/>
      </w:r>
      <w:r w:rsidRPr="00AD5460">
        <w:t>: Timeframe for the 2014 International Student Survey</w:t>
      </w:r>
      <w:bookmarkEnd w:id="70"/>
    </w:p>
    <w:tbl>
      <w:tblPr>
        <w:tblStyle w:val="MediumShading1-Accent2"/>
        <w:tblW w:w="5000" w:type="pct"/>
        <w:tblBorders>
          <w:top w:val="single" w:sz="8" w:space="0" w:color="B2B2B2" w:themeColor="background1" w:themeTint="99"/>
          <w:left w:val="single" w:sz="8" w:space="0" w:color="B2B2B2" w:themeColor="background1" w:themeTint="99"/>
          <w:bottom w:val="single" w:sz="8" w:space="0" w:color="B2B2B2" w:themeColor="background1" w:themeTint="99"/>
          <w:right w:val="single" w:sz="8" w:space="0" w:color="B2B2B2" w:themeColor="background1" w:themeTint="99"/>
          <w:insideH w:val="single" w:sz="8" w:space="0" w:color="B2B2B2" w:themeColor="background1" w:themeTint="99"/>
          <w:insideV w:val="single" w:sz="8" w:space="0" w:color="B2B2B2" w:themeColor="background1" w:themeTint="99"/>
        </w:tblBorders>
        <w:tblLook w:val="0420" w:firstRow="1" w:lastRow="0" w:firstColumn="0" w:lastColumn="0" w:noHBand="0" w:noVBand="1"/>
      </w:tblPr>
      <w:tblGrid>
        <w:gridCol w:w="3436"/>
        <w:gridCol w:w="5806"/>
      </w:tblGrid>
      <w:tr w:rsidR="00323BF7" w:rsidRPr="00323BF7" w:rsidTr="00274CC9">
        <w:trPr>
          <w:cnfStyle w:val="100000000000" w:firstRow="1" w:lastRow="0" w:firstColumn="0" w:lastColumn="0" w:oddVBand="0" w:evenVBand="0" w:oddHBand="0" w:evenHBand="0" w:firstRowFirstColumn="0" w:firstRowLastColumn="0" w:lastRowFirstColumn="0" w:lastRowLastColumn="0"/>
          <w:cantSplit/>
          <w:tblHeader/>
        </w:trPr>
        <w:tc>
          <w:tcPr>
            <w:tcW w:w="1859" w:type="pct"/>
            <w:tcBorders>
              <w:top w:val="none" w:sz="0" w:space="0" w:color="auto"/>
              <w:left w:val="none" w:sz="0" w:space="0" w:color="auto"/>
              <w:bottom w:val="none" w:sz="0" w:space="0" w:color="auto"/>
              <w:right w:val="none" w:sz="0" w:space="0" w:color="auto"/>
            </w:tcBorders>
          </w:tcPr>
          <w:p w:rsidR="00386FCE" w:rsidRPr="00323BF7" w:rsidRDefault="00386FCE" w:rsidP="00323BF7">
            <w:pPr>
              <w:rPr>
                <w:color w:val="FFFFFF" w:themeColor="background2"/>
              </w:rPr>
            </w:pPr>
            <w:r w:rsidRPr="00323BF7">
              <w:rPr>
                <w:color w:val="FFFFFF" w:themeColor="background2"/>
              </w:rPr>
              <w:t>Sector</w:t>
            </w:r>
          </w:p>
        </w:tc>
        <w:tc>
          <w:tcPr>
            <w:tcW w:w="3141" w:type="pct"/>
            <w:tcBorders>
              <w:top w:val="none" w:sz="0" w:space="0" w:color="auto"/>
              <w:left w:val="none" w:sz="0" w:space="0" w:color="auto"/>
              <w:bottom w:val="none" w:sz="0" w:space="0" w:color="auto"/>
              <w:right w:val="none" w:sz="0" w:space="0" w:color="auto"/>
            </w:tcBorders>
          </w:tcPr>
          <w:p w:rsidR="00386FCE" w:rsidRPr="00323BF7" w:rsidRDefault="00386FCE" w:rsidP="00323BF7">
            <w:pPr>
              <w:rPr>
                <w:color w:val="FFFFFF" w:themeColor="background2"/>
              </w:rPr>
            </w:pPr>
            <w:r w:rsidRPr="00323BF7">
              <w:rPr>
                <w:color w:val="FFFFFF" w:themeColor="background2"/>
              </w:rPr>
              <w:t>Timeline</w:t>
            </w:r>
          </w:p>
        </w:tc>
      </w:tr>
      <w:tr w:rsidR="00386FCE" w:rsidRPr="00323BF7" w:rsidTr="00274CC9">
        <w:trPr>
          <w:cnfStyle w:val="000000100000" w:firstRow="0" w:lastRow="0" w:firstColumn="0" w:lastColumn="0" w:oddVBand="0" w:evenVBand="0" w:oddHBand="1" w:evenHBand="0" w:firstRowFirstColumn="0" w:firstRowLastColumn="0" w:lastRowFirstColumn="0" w:lastRowLastColumn="0"/>
          <w:trHeight w:val="394"/>
        </w:trPr>
        <w:tc>
          <w:tcPr>
            <w:tcW w:w="1859" w:type="pct"/>
            <w:tcBorders>
              <w:right w:val="none" w:sz="0" w:space="0" w:color="auto"/>
            </w:tcBorders>
          </w:tcPr>
          <w:p w:rsidR="00386FCE" w:rsidRPr="00323BF7" w:rsidRDefault="00386FCE" w:rsidP="00323BF7">
            <w:r w:rsidRPr="00323BF7">
              <w:t>Higher Education</w:t>
            </w:r>
          </w:p>
        </w:tc>
        <w:tc>
          <w:tcPr>
            <w:tcW w:w="3141" w:type="pct"/>
            <w:tcBorders>
              <w:left w:val="none" w:sz="0" w:space="0" w:color="auto"/>
            </w:tcBorders>
          </w:tcPr>
          <w:p w:rsidR="00386FCE" w:rsidRPr="00323BF7" w:rsidRDefault="00386FCE" w:rsidP="00323BF7">
            <w:r w:rsidRPr="00323BF7">
              <w:t>April to June 201</w:t>
            </w:r>
            <w:r w:rsidR="00AB75EB" w:rsidRPr="00323BF7">
              <w:t>4</w:t>
            </w:r>
          </w:p>
        </w:tc>
      </w:tr>
      <w:tr w:rsidR="00386FCE" w:rsidRPr="00323BF7" w:rsidTr="00274CC9">
        <w:trPr>
          <w:cnfStyle w:val="000000010000" w:firstRow="0" w:lastRow="0" w:firstColumn="0" w:lastColumn="0" w:oddVBand="0" w:evenVBand="0" w:oddHBand="0" w:evenHBand="1" w:firstRowFirstColumn="0" w:firstRowLastColumn="0" w:lastRowFirstColumn="0" w:lastRowLastColumn="0"/>
          <w:trHeight w:val="413"/>
        </w:trPr>
        <w:tc>
          <w:tcPr>
            <w:tcW w:w="1859" w:type="pct"/>
            <w:tcBorders>
              <w:right w:val="none" w:sz="0" w:space="0" w:color="auto"/>
            </w:tcBorders>
          </w:tcPr>
          <w:p w:rsidR="00386FCE" w:rsidRPr="00323BF7" w:rsidRDefault="00AB75EB" w:rsidP="00323BF7">
            <w:r w:rsidRPr="00323BF7">
              <w:t>VET</w:t>
            </w:r>
          </w:p>
        </w:tc>
        <w:tc>
          <w:tcPr>
            <w:tcW w:w="3141" w:type="pct"/>
            <w:tcBorders>
              <w:left w:val="none" w:sz="0" w:space="0" w:color="auto"/>
            </w:tcBorders>
          </w:tcPr>
          <w:p w:rsidR="00386FCE" w:rsidRPr="00323BF7" w:rsidRDefault="00AB75EB" w:rsidP="00323BF7">
            <w:r w:rsidRPr="00323BF7">
              <w:t>May to July 2014</w:t>
            </w:r>
          </w:p>
        </w:tc>
      </w:tr>
      <w:tr w:rsidR="00386FCE" w:rsidRPr="00323BF7" w:rsidTr="00274CC9">
        <w:trPr>
          <w:cnfStyle w:val="000000100000" w:firstRow="0" w:lastRow="0" w:firstColumn="0" w:lastColumn="0" w:oddVBand="0" w:evenVBand="0" w:oddHBand="1" w:evenHBand="0" w:firstRowFirstColumn="0" w:firstRowLastColumn="0" w:lastRowFirstColumn="0" w:lastRowLastColumn="0"/>
        </w:trPr>
        <w:tc>
          <w:tcPr>
            <w:tcW w:w="1859" w:type="pct"/>
            <w:tcBorders>
              <w:right w:val="none" w:sz="0" w:space="0" w:color="auto"/>
            </w:tcBorders>
          </w:tcPr>
          <w:p w:rsidR="00386FCE" w:rsidRPr="00323BF7" w:rsidRDefault="00386FCE" w:rsidP="00323BF7">
            <w:proofErr w:type="spellStart"/>
            <w:r w:rsidRPr="00323BF7">
              <w:t>ELICOS</w:t>
            </w:r>
            <w:proofErr w:type="spellEnd"/>
          </w:p>
        </w:tc>
        <w:tc>
          <w:tcPr>
            <w:tcW w:w="3141" w:type="pct"/>
            <w:tcBorders>
              <w:left w:val="none" w:sz="0" w:space="0" w:color="auto"/>
            </w:tcBorders>
          </w:tcPr>
          <w:p w:rsidR="00386FCE" w:rsidRPr="00323BF7" w:rsidRDefault="00DA633A" w:rsidP="00323BF7">
            <w:r w:rsidRPr="00323BF7">
              <w:t>September to October 2013</w:t>
            </w:r>
          </w:p>
        </w:tc>
      </w:tr>
      <w:tr w:rsidR="00386FCE" w:rsidRPr="00323BF7" w:rsidTr="00274CC9">
        <w:trPr>
          <w:cnfStyle w:val="000000010000" w:firstRow="0" w:lastRow="0" w:firstColumn="0" w:lastColumn="0" w:oddVBand="0" w:evenVBand="0" w:oddHBand="0" w:evenHBand="1" w:firstRowFirstColumn="0" w:firstRowLastColumn="0" w:lastRowFirstColumn="0" w:lastRowLastColumn="0"/>
        </w:trPr>
        <w:tc>
          <w:tcPr>
            <w:tcW w:w="1859" w:type="pct"/>
            <w:tcBorders>
              <w:right w:val="none" w:sz="0" w:space="0" w:color="auto"/>
            </w:tcBorders>
          </w:tcPr>
          <w:p w:rsidR="00386FCE" w:rsidRPr="00323BF7" w:rsidRDefault="00386FCE" w:rsidP="00323BF7">
            <w:r w:rsidRPr="00323BF7">
              <w:t>Schools</w:t>
            </w:r>
          </w:p>
        </w:tc>
        <w:tc>
          <w:tcPr>
            <w:tcW w:w="3141" w:type="pct"/>
            <w:tcBorders>
              <w:left w:val="none" w:sz="0" w:space="0" w:color="auto"/>
            </w:tcBorders>
          </w:tcPr>
          <w:p w:rsidR="00386FCE" w:rsidRPr="00323BF7" w:rsidRDefault="00DA633A" w:rsidP="00323BF7">
            <w:r w:rsidRPr="00323BF7">
              <w:t>May to August 2014</w:t>
            </w:r>
          </w:p>
        </w:tc>
      </w:tr>
    </w:tbl>
    <w:p w:rsidR="00E02725" w:rsidRDefault="00E02725" w:rsidP="00E02725">
      <w:pPr>
        <w:pStyle w:val="Caption"/>
      </w:pPr>
      <w:bookmarkStart w:id="71" w:name="_Toc417300818"/>
      <w:r>
        <w:t xml:space="preserve">Table </w:t>
      </w:r>
      <w:r w:rsidR="00153FC1">
        <w:fldChar w:fldCharType="begin"/>
      </w:r>
      <w:r w:rsidR="00153FC1">
        <w:instrText xml:space="preserve"> SEQ Table \* ARABIC </w:instrText>
      </w:r>
      <w:r w:rsidR="00153FC1">
        <w:fldChar w:fldCharType="separate"/>
      </w:r>
      <w:r w:rsidR="00153FC1">
        <w:rPr>
          <w:noProof/>
        </w:rPr>
        <w:t>7</w:t>
      </w:r>
      <w:r w:rsidR="00153FC1">
        <w:rPr>
          <w:noProof/>
        </w:rPr>
        <w:fldChar w:fldCharType="end"/>
      </w:r>
      <w:r w:rsidRPr="00104676">
        <w:t xml:space="preserve">: Response Rate for the 2014 International </w:t>
      </w:r>
      <w:r w:rsidRPr="00E02725">
        <w:t>Student</w:t>
      </w:r>
      <w:r w:rsidRPr="00104676">
        <w:t xml:space="preserve"> Survey</w:t>
      </w:r>
      <w:bookmarkEnd w:id="71"/>
    </w:p>
    <w:tbl>
      <w:tblPr>
        <w:tblStyle w:val="MediumShading1-Accent2"/>
        <w:tblW w:w="5000" w:type="pct"/>
        <w:tblBorders>
          <w:top w:val="single" w:sz="8" w:space="0" w:color="B2B2B2" w:themeColor="background1" w:themeTint="99"/>
          <w:left w:val="single" w:sz="8" w:space="0" w:color="B2B2B2" w:themeColor="background1" w:themeTint="99"/>
          <w:bottom w:val="single" w:sz="8" w:space="0" w:color="B2B2B2" w:themeColor="background1" w:themeTint="99"/>
          <w:right w:val="single" w:sz="8" w:space="0" w:color="B2B2B2" w:themeColor="background1" w:themeTint="99"/>
          <w:insideH w:val="single" w:sz="8" w:space="0" w:color="B2B2B2" w:themeColor="background1" w:themeTint="99"/>
          <w:insideV w:val="single" w:sz="8" w:space="0" w:color="B2B2B2" w:themeColor="background1" w:themeTint="99"/>
        </w:tblBorders>
        <w:tblLook w:val="0420" w:firstRow="1" w:lastRow="0" w:firstColumn="0" w:lastColumn="0" w:noHBand="0" w:noVBand="1"/>
      </w:tblPr>
      <w:tblGrid>
        <w:gridCol w:w="1342"/>
        <w:gridCol w:w="1377"/>
        <w:gridCol w:w="2018"/>
        <w:gridCol w:w="3413"/>
        <w:gridCol w:w="1092"/>
      </w:tblGrid>
      <w:tr w:rsidR="00323BF7" w:rsidRPr="00323BF7" w:rsidTr="00274CC9">
        <w:trPr>
          <w:cnfStyle w:val="100000000000" w:firstRow="1" w:lastRow="0" w:firstColumn="0" w:lastColumn="0" w:oddVBand="0" w:evenVBand="0" w:oddHBand="0" w:evenHBand="0" w:firstRowFirstColumn="0" w:firstRowLastColumn="0" w:lastRowFirstColumn="0" w:lastRowLastColumn="0"/>
          <w:cantSplit/>
          <w:trHeight w:val="1030"/>
          <w:tblHeader/>
        </w:trPr>
        <w:tc>
          <w:tcPr>
            <w:tcW w:w="730" w:type="pct"/>
            <w:tcBorders>
              <w:top w:val="none" w:sz="0" w:space="0" w:color="auto"/>
              <w:left w:val="none" w:sz="0" w:space="0" w:color="auto"/>
              <w:bottom w:val="none" w:sz="0" w:space="0" w:color="auto"/>
              <w:right w:val="none" w:sz="0" w:space="0" w:color="auto"/>
            </w:tcBorders>
          </w:tcPr>
          <w:p w:rsidR="00386FCE" w:rsidRPr="00323BF7" w:rsidRDefault="00386FCE" w:rsidP="00323BF7">
            <w:pPr>
              <w:rPr>
                <w:color w:val="FFFFFF" w:themeColor="background2"/>
              </w:rPr>
            </w:pPr>
            <w:r w:rsidRPr="00323BF7">
              <w:rPr>
                <w:color w:val="FFFFFF" w:themeColor="background2"/>
              </w:rPr>
              <w:t>Sector</w:t>
            </w:r>
          </w:p>
        </w:tc>
        <w:tc>
          <w:tcPr>
            <w:tcW w:w="748" w:type="pct"/>
            <w:tcBorders>
              <w:top w:val="none" w:sz="0" w:space="0" w:color="auto"/>
              <w:left w:val="none" w:sz="0" w:space="0" w:color="auto"/>
              <w:bottom w:val="none" w:sz="0" w:space="0" w:color="auto"/>
              <w:right w:val="none" w:sz="0" w:space="0" w:color="auto"/>
            </w:tcBorders>
          </w:tcPr>
          <w:p w:rsidR="00386FCE" w:rsidRPr="00323BF7" w:rsidRDefault="00386FCE" w:rsidP="00323BF7">
            <w:pPr>
              <w:jc w:val="right"/>
              <w:rPr>
                <w:color w:val="FFFFFF" w:themeColor="background2"/>
              </w:rPr>
            </w:pPr>
            <w:r w:rsidRPr="00323BF7">
              <w:rPr>
                <w:color w:val="FFFFFF" w:themeColor="background2"/>
              </w:rPr>
              <w:t>Number of participating institutions</w:t>
            </w:r>
          </w:p>
        </w:tc>
        <w:tc>
          <w:tcPr>
            <w:tcW w:w="1096" w:type="pct"/>
            <w:tcBorders>
              <w:top w:val="none" w:sz="0" w:space="0" w:color="auto"/>
              <w:left w:val="none" w:sz="0" w:space="0" w:color="auto"/>
              <w:bottom w:val="none" w:sz="0" w:space="0" w:color="auto"/>
              <w:right w:val="none" w:sz="0" w:space="0" w:color="auto"/>
            </w:tcBorders>
          </w:tcPr>
          <w:p w:rsidR="00386FCE" w:rsidRPr="00323BF7" w:rsidRDefault="00386FCE" w:rsidP="00323BF7">
            <w:pPr>
              <w:jc w:val="right"/>
              <w:rPr>
                <w:color w:val="FFFFFF" w:themeColor="background2"/>
              </w:rPr>
            </w:pPr>
            <w:r w:rsidRPr="00323BF7">
              <w:rPr>
                <w:color w:val="FFFFFF" w:themeColor="background2"/>
              </w:rPr>
              <w:t>Number of</w:t>
            </w:r>
            <w:r w:rsidR="00DB170F" w:rsidRPr="00323BF7">
              <w:rPr>
                <w:color w:val="FFFFFF" w:themeColor="background2"/>
              </w:rPr>
              <w:t xml:space="preserve"> International</w:t>
            </w:r>
            <w:r w:rsidRPr="00323BF7">
              <w:rPr>
                <w:color w:val="FFFFFF" w:themeColor="background2"/>
              </w:rPr>
              <w:t xml:space="preserve"> student responses received</w:t>
            </w:r>
          </w:p>
        </w:tc>
        <w:tc>
          <w:tcPr>
            <w:tcW w:w="1850" w:type="pct"/>
            <w:tcBorders>
              <w:top w:val="none" w:sz="0" w:space="0" w:color="auto"/>
              <w:left w:val="none" w:sz="0" w:space="0" w:color="auto"/>
              <w:bottom w:val="none" w:sz="0" w:space="0" w:color="auto"/>
              <w:right w:val="none" w:sz="0" w:space="0" w:color="auto"/>
            </w:tcBorders>
          </w:tcPr>
          <w:p w:rsidR="00386FCE" w:rsidRPr="00323BF7" w:rsidRDefault="00386FCE" w:rsidP="00323BF7">
            <w:pPr>
              <w:jc w:val="right"/>
              <w:rPr>
                <w:color w:val="FFFFFF" w:themeColor="background2"/>
              </w:rPr>
            </w:pPr>
            <w:r w:rsidRPr="00323BF7">
              <w:rPr>
                <w:color w:val="FFFFFF" w:themeColor="background2"/>
              </w:rPr>
              <w:t>Estimated number of international students studying at the participating institutions in the survey period (201</w:t>
            </w:r>
            <w:r w:rsidR="00DA633A" w:rsidRPr="00323BF7">
              <w:rPr>
                <w:color w:val="FFFFFF" w:themeColor="background2"/>
              </w:rPr>
              <w:t>3</w:t>
            </w:r>
            <w:r w:rsidRPr="00323BF7">
              <w:rPr>
                <w:color w:val="FFFFFF" w:themeColor="background2"/>
              </w:rPr>
              <w:t>-201</w:t>
            </w:r>
            <w:r w:rsidR="00DA633A" w:rsidRPr="00323BF7">
              <w:rPr>
                <w:color w:val="FFFFFF" w:themeColor="background2"/>
              </w:rPr>
              <w:t>4</w:t>
            </w:r>
            <w:r w:rsidRPr="00323BF7">
              <w:rPr>
                <w:color w:val="FFFFFF" w:themeColor="background2"/>
              </w:rPr>
              <w:t>)</w:t>
            </w:r>
          </w:p>
        </w:tc>
        <w:tc>
          <w:tcPr>
            <w:tcW w:w="576" w:type="pct"/>
            <w:tcBorders>
              <w:top w:val="none" w:sz="0" w:space="0" w:color="auto"/>
              <w:left w:val="none" w:sz="0" w:space="0" w:color="auto"/>
              <w:bottom w:val="none" w:sz="0" w:space="0" w:color="auto"/>
              <w:right w:val="none" w:sz="0" w:space="0" w:color="auto"/>
            </w:tcBorders>
          </w:tcPr>
          <w:p w:rsidR="00386FCE" w:rsidRPr="00323BF7" w:rsidRDefault="00386FCE" w:rsidP="00323BF7">
            <w:pPr>
              <w:jc w:val="right"/>
              <w:rPr>
                <w:color w:val="FFFFFF" w:themeColor="background2"/>
              </w:rPr>
            </w:pPr>
            <w:r w:rsidRPr="00323BF7">
              <w:rPr>
                <w:color w:val="FFFFFF" w:themeColor="background2"/>
              </w:rPr>
              <w:t>Response rate</w:t>
            </w:r>
          </w:p>
        </w:tc>
      </w:tr>
      <w:tr w:rsidR="00323BF7" w:rsidRPr="00323BF7" w:rsidTr="00274CC9">
        <w:trPr>
          <w:cnfStyle w:val="000000100000" w:firstRow="0" w:lastRow="0" w:firstColumn="0" w:lastColumn="0" w:oddVBand="0" w:evenVBand="0" w:oddHBand="1" w:evenHBand="0" w:firstRowFirstColumn="0" w:firstRowLastColumn="0" w:lastRowFirstColumn="0" w:lastRowLastColumn="0"/>
        </w:trPr>
        <w:tc>
          <w:tcPr>
            <w:tcW w:w="730" w:type="pct"/>
            <w:tcBorders>
              <w:right w:val="none" w:sz="0" w:space="0" w:color="auto"/>
            </w:tcBorders>
          </w:tcPr>
          <w:p w:rsidR="00386FCE" w:rsidRPr="00323BF7" w:rsidRDefault="00682E9B" w:rsidP="00323BF7">
            <w:r w:rsidRPr="00323BF7">
              <w:t>Higher education</w:t>
            </w:r>
            <w:r w:rsidR="00284572" w:rsidRPr="00323BF7">
              <w:t xml:space="preserve"> (p</w:t>
            </w:r>
            <w:r w:rsidR="00754313" w:rsidRPr="00323BF7">
              <w:t>ublic)</w:t>
            </w:r>
            <w:r w:rsidR="00284572" w:rsidRPr="00323BF7">
              <w:t>*</w:t>
            </w:r>
          </w:p>
        </w:tc>
        <w:tc>
          <w:tcPr>
            <w:tcW w:w="748" w:type="pct"/>
            <w:tcBorders>
              <w:left w:val="none" w:sz="0" w:space="0" w:color="auto"/>
              <w:right w:val="none" w:sz="0" w:space="0" w:color="auto"/>
            </w:tcBorders>
          </w:tcPr>
          <w:p w:rsidR="00386FCE" w:rsidRPr="00323BF7" w:rsidRDefault="00754313" w:rsidP="00323BF7">
            <w:pPr>
              <w:jc w:val="right"/>
            </w:pPr>
            <w:r w:rsidRPr="00323BF7">
              <w:t>48</w:t>
            </w:r>
          </w:p>
        </w:tc>
        <w:tc>
          <w:tcPr>
            <w:tcW w:w="1096" w:type="pct"/>
            <w:tcBorders>
              <w:left w:val="none" w:sz="0" w:space="0" w:color="auto"/>
              <w:right w:val="none" w:sz="0" w:space="0" w:color="auto"/>
            </w:tcBorders>
          </w:tcPr>
          <w:p w:rsidR="00386FCE" w:rsidRPr="00323BF7" w:rsidRDefault="00DA633A" w:rsidP="00323BF7">
            <w:pPr>
              <w:jc w:val="right"/>
            </w:pPr>
            <w:r w:rsidRPr="00323BF7">
              <w:t>3</w:t>
            </w:r>
            <w:r w:rsidR="00C14E9A" w:rsidRPr="00323BF7">
              <w:t>8</w:t>
            </w:r>
            <w:r w:rsidRPr="00323BF7">
              <w:t>,</w:t>
            </w:r>
            <w:r w:rsidR="00284572" w:rsidRPr="00323BF7">
              <w:t>149</w:t>
            </w:r>
          </w:p>
        </w:tc>
        <w:tc>
          <w:tcPr>
            <w:tcW w:w="1850" w:type="pct"/>
            <w:tcBorders>
              <w:left w:val="none" w:sz="0" w:space="0" w:color="auto"/>
              <w:right w:val="none" w:sz="0" w:space="0" w:color="auto"/>
            </w:tcBorders>
          </w:tcPr>
          <w:p w:rsidR="00AF162D" w:rsidRPr="00323BF7" w:rsidRDefault="00DA633A" w:rsidP="00323BF7">
            <w:pPr>
              <w:jc w:val="right"/>
            </w:pPr>
            <w:r w:rsidRPr="00323BF7">
              <w:t>16</w:t>
            </w:r>
            <w:r w:rsidR="00C14E9A" w:rsidRPr="00323BF7">
              <w:t>1</w:t>
            </w:r>
            <w:r w:rsidRPr="00323BF7">
              <w:t>,</w:t>
            </w:r>
            <w:r w:rsidR="00C14E9A" w:rsidRPr="00323BF7">
              <w:t>432</w:t>
            </w:r>
          </w:p>
        </w:tc>
        <w:tc>
          <w:tcPr>
            <w:tcW w:w="576" w:type="pct"/>
            <w:tcBorders>
              <w:left w:val="none" w:sz="0" w:space="0" w:color="auto"/>
            </w:tcBorders>
          </w:tcPr>
          <w:p w:rsidR="00386FCE" w:rsidRPr="00323BF7" w:rsidRDefault="00386FCE" w:rsidP="00323BF7">
            <w:pPr>
              <w:jc w:val="right"/>
            </w:pPr>
            <w:r w:rsidRPr="00323BF7">
              <w:t>2</w:t>
            </w:r>
            <w:r w:rsidR="00C14E9A" w:rsidRPr="00323BF7">
              <w:t>4</w:t>
            </w:r>
            <w:r w:rsidRPr="00323BF7">
              <w:t>%</w:t>
            </w:r>
          </w:p>
        </w:tc>
      </w:tr>
      <w:tr w:rsidR="00323BF7" w:rsidRPr="00323BF7" w:rsidTr="00274CC9">
        <w:trPr>
          <w:cnfStyle w:val="000000010000" w:firstRow="0" w:lastRow="0" w:firstColumn="0" w:lastColumn="0" w:oddVBand="0" w:evenVBand="0" w:oddHBand="0" w:evenHBand="1" w:firstRowFirstColumn="0" w:firstRowLastColumn="0" w:lastRowFirstColumn="0" w:lastRowLastColumn="0"/>
        </w:trPr>
        <w:tc>
          <w:tcPr>
            <w:tcW w:w="730" w:type="pct"/>
            <w:tcBorders>
              <w:right w:val="none" w:sz="0" w:space="0" w:color="auto"/>
            </w:tcBorders>
          </w:tcPr>
          <w:p w:rsidR="00386FCE" w:rsidRPr="00323BF7" w:rsidRDefault="00682E9B" w:rsidP="00323BF7">
            <w:r w:rsidRPr="00323BF7">
              <w:t>Higher education</w:t>
            </w:r>
            <w:r w:rsidR="00284572" w:rsidRPr="00323BF7">
              <w:t xml:space="preserve"> (p</w:t>
            </w:r>
            <w:r w:rsidR="00754313" w:rsidRPr="00323BF7">
              <w:t>rivate)</w:t>
            </w:r>
          </w:p>
        </w:tc>
        <w:tc>
          <w:tcPr>
            <w:tcW w:w="748" w:type="pct"/>
            <w:tcBorders>
              <w:left w:val="none" w:sz="0" w:space="0" w:color="auto"/>
              <w:right w:val="none" w:sz="0" w:space="0" w:color="auto"/>
            </w:tcBorders>
          </w:tcPr>
          <w:p w:rsidR="00386FCE" w:rsidRPr="00323BF7" w:rsidRDefault="00C14E9A" w:rsidP="00323BF7">
            <w:pPr>
              <w:jc w:val="right"/>
            </w:pPr>
            <w:r w:rsidRPr="00323BF7">
              <w:t>30</w:t>
            </w:r>
          </w:p>
        </w:tc>
        <w:tc>
          <w:tcPr>
            <w:tcW w:w="1096" w:type="pct"/>
            <w:tcBorders>
              <w:left w:val="none" w:sz="0" w:space="0" w:color="auto"/>
              <w:right w:val="none" w:sz="0" w:space="0" w:color="auto"/>
            </w:tcBorders>
          </w:tcPr>
          <w:p w:rsidR="00386FCE" w:rsidRPr="00323BF7" w:rsidRDefault="00C14E9A" w:rsidP="00323BF7">
            <w:pPr>
              <w:jc w:val="right"/>
            </w:pPr>
            <w:r w:rsidRPr="00323BF7">
              <w:t>1</w:t>
            </w:r>
            <w:r w:rsidR="00754313" w:rsidRPr="00323BF7">
              <w:t>,</w:t>
            </w:r>
            <w:r w:rsidRPr="00323BF7">
              <w:t>409</w:t>
            </w:r>
          </w:p>
        </w:tc>
        <w:tc>
          <w:tcPr>
            <w:tcW w:w="1850" w:type="pct"/>
            <w:tcBorders>
              <w:left w:val="none" w:sz="0" w:space="0" w:color="auto"/>
              <w:right w:val="none" w:sz="0" w:space="0" w:color="auto"/>
            </w:tcBorders>
          </w:tcPr>
          <w:p w:rsidR="00386FCE" w:rsidRPr="00323BF7" w:rsidRDefault="00C14E9A" w:rsidP="00323BF7">
            <w:pPr>
              <w:jc w:val="right"/>
            </w:pPr>
            <w:r w:rsidRPr="00323BF7">
              <w:t>5</w:t>
            </w:r>
            <w:r w:rsidR="00754313" w:rsidRPr="00323BF7">
              <w:t>,</w:t>
            </w:r>
            <w:r w:rsidRPr="00323BF7">
              <w:t>547</w:t>
            </w:r>
          </w:p>
        </w:tc>
        <w:tc>
          <w:tcPr>
            <w:tcW w:w="576" w:type="pct"/>
            <w:tcBorders>
              <w:left w:val="none" w:sz="0" w:space="0" w:color="auto"/>
            </w:tcBorders>
          </w:tcPr>
          <w:p w:rsidR="00386FCE" w:rsidRPr="00323BF7" w:rsidRDefault="00DA633A" w:rsidP="00323BF7">
            <w:pPr>
              <w:jc w:val="right"/>
            </w:pPr>
            <w:r w:rsidRPr="00323BF7">
              <w:t>2</w:t>
            </w:r>
            <w:r w:rsidR="00C14E9A" w:rsidRPr="00323BF7">
              <w:t>5</w:t>
            </w:r>
            <w:r w:rsidR="00386FCE" w:rsidRPr="00323BF7">
              <w:t>%</w:t>
            </w:r>
          </w:p>
        </w:tc>
      </w:tr>
      <w:tr w:rsidR="00323BF7" w:rsidRPr="00323BF7" w:rsidTr="00274CC9">
        <w:trPr>
          <w:cnfStyle w:val="000000100000" w:firstRow="0" w:lastRow="0" w:firstColumn="0" w:lastColumn="0" w:oddVBand="0" w:evenVBand="0" w:oddHBand="1" w:evenHBand="0" w:firstRowFirstColumn="0" w:firstRowLastColumn="0" w:lastRowFirstColumn="0" w:lastRowLastColumn="0"/>
        </w:trPr>
        <w:tc>
          <w:tcPr>
            <w:tcW w:w="730" w:type="pct"/>
            <w:tcBorders>
              <w:right w:val="none" w:sz="0" w:space="0" w:color="auto"/>
            </w:tcBorders>
          </w:tcPr>
          <w:p w:rsidR="00C14E9A" w:rsidRPr="00323BF7" w:rsidRDefault="00284572" w:rsidP="00323BF7">
            <w:r w:rsidRPr="00323BF7">
              <w:t>VET (p</w:t>
            </w:r>
            <w:r w:rsidR="00C14E9A" w:rsidRPr="00323BF7">
              <w:t>ublic)</w:t>
            </w:r>
          </w:p>
        </w:tc>
        <w:tc>
          <w:tcPr>
            <w:tcW w:w="748" w:type="pct"/>
            <w:tcBorders>
              <w:left w:val="none" w:sz="0" w:space="0" w:color="auto"/>
              <w:right w:val="none" w:sz="0" w:space="0" w:color="auto"/>
            </w:tcBorders>
          </w:tcPr>
          <w:p w:rsidR="00C14E9A" w:rsidRPr="00323BF7" w:rsidRDefault="00C14E9A" w:rsidP="00323BF7">
            <w:pPr>
              <w:jc w:val="right"/>
            </w:pPr>
            <w:r w:rsidRPr="00323BF7">
              <w:t>20</w:t>
            </w:r>
          </w:p>
        </w:tc>
        <w:tc>
          <w:tcPr>
            <w:tcW w:w="1096" w:type="pct"/>
            <w:tcBorders>
              <w:left w:val="none" w:sz="0" w:space="0" w:color="auto"/>
              <w:right w:val="none" w:sz="0" w:space="0" w:color="auto"/>
            </w:tcBorders>
          </w:tcPr>
          <w:p w:rsidR="00C14E9A" w:rsidRPr="00323BF7" w:rsidRDefault="00C14E9A" w:rsidP="00323BF7">
            <w:pPr>
              <w:jc w:val="right"/>
            </w:pPr>
            <w:r w:rsidRPr="00323BF7">
              <w:t>2</w:t>
            </w:r>
            <w:r w:rsidR="00754313" w:rsidRPr="00323BF7">
              <w:t>,</w:t>
            </w:r>
            <w:r w:rsidRPr="00323BF7">
              <w:t>391</w:t>
            </w:r>
          </w:p>
        </w:tc>
        <w:tc>
          <w:tcPr>
            <w:tcW w:w="1850" w:type="pct"/>
            <w:tcBorders>
              <w:left w:val="none" w:sz="0" w:space="0" w:color="auto"/>
              <w:right w:val="none" w:sz="0" w:space="0" w:color="auto"/>
            </w:tcBorders>
          </w:tcPr>
          <w:p w:rsidR="00C14E9A" w:rsidRPr="00323BF7" w:rsidRDefault="00C14E9A" w:rsidP="00323BF7">
            <w:pPr>
              <w:jc w:val="right"/>
            </w:pPr>
            <w:r w:rsidRPr="00323BF7">
              <w:t>10,121</w:t>
            </w:r>
          </w:p>
        </w:tc>
        <w:tc>
          <w:tcPr>
            <w:tcW w:w="576" w:type="pct"/>
            <w:tcBorders>
              <w:left w:val="none" w:sz="0" w:space="0" w:color="auto"/>
            </w:tcBorders>
          </w:tcPr>
          <w:p w:rsidR="00C14E9A" w:rsidRPr="00323BF7" w:rsidRDefault="00C14E9A" w:rsidP="00323BF7">
            <w:pPr>
              <w:jc w:val="right"/>
            </w:pPr>
            <w:r w:rsidRPr="00323BF7">
              <w:t>24%</w:t>
            </w:r>
          </w:p>
        </w:tc>
      </w:tr>
      <w:tr w:rsidR="00323BF7" w:rsidRPr="00323BF7" w:rsidTr="00274CC9">
        <w:trPr>
          <w:cnfStyle w:val="000000010000" w:firstRow="0" w:lastRow="0" w:firstColumn="0" w:lastColumn="0" w:oddVBand="0" w:evenVBand="0" w:oddHBand="0" w:evenHBand="1" w:firstRowFirstColumn="0" w:firstRowLastColumn="0" w:lastRowFirstColumn="0" w:lastRowLastColumn="0"/>
        </w:trPr>
        <w:tc>
          <w:tcPr>
            <w:tcW w:w="730" w:type="pct"/>
            <w:tcBorders>
              <w:right w:val="none" w:sz="0" w:space="0" w:color="auto"/>
            </w:tcBorders>
          </w:tcPr>
          <w:p w:rsidR="00C14E9A" w:rsidRPr="00323BF7" w:rsidRDefault="00284572" w:rsidP="00323BF7">
            <w:r w:rsidRPr="00323BF7">
              <w:t>VET (p</w:t>
            </w:r>
            <w:r w:rsidR="00C14E9A" w:rsidRPr="00323BF7">
              <w:t>rivate)</w:t>
            </w:r>
          </w:p>
        </w:tc>
        <w:tc>
          <w:tcPr>
            <w:tcW w:w="748" w:type="pct"/>
            <w:tcBorders>
              <w:left w:val="none" w:sz="0" w:space="0" w:color="auto"/>
              <w:right w:val="none" w:sz="0" w:space="0" w:color="auto"/>
            </w:tcBorders>
          </w:tcPr>
          <w:p w:rsidR="00C14E9A" w:rsidRPr="00323BF7" w:rsidRDefault="00C14E9A" w:rsidP="00323BF7">
            <w:pPr>
              <w:jc w:val="right"/>
            </w:pPr>
            <w:r w:rsidRPr="00323BF7">
              <w:t>32</w:t>
            </w:r>
          </w:p>
        </w:tc>
        <w:tc>
          <w:tcPr>
            <w:tcW w:w="1096" w:type="pct"/>
            <w:tcBorders>
              <w:left w:val="none" w:sz="0" w:space="0" w:color="auto"/>
              <w:right w:val="none" w:sz="0" w:space="0" w:color="auto"/>
            </w:tcBorders>
          </w:tcPr>
          <w:p w:rsidR="00C14E9A" w:rsidRPr="00323BF7" w:rsidRDefault="00C14E9A" w:rsidP="00323BF7">
            <w:pPr>
              <w:jc w:val="right"/>
            </w:pPr>
            <w:r w:rsidRPr="00323BF7">
              <w:t>3</w:t>
            </w:r>
            <w:r w:rsidR="00754313" w:rsidRPr="00323BF7">
              <w:t>,</w:t>
            </w:r>
            <w:r w:rsidRPr="00323BF7">
              <w:t>006</w:t>
            </w:r>
          </w:p>
        </w:tc>
        <w:tc>
          <w:tcPr>
            <w:tcW w:w="1850" w:type="pct"/>
            <w:tcBorders>
              <w:left w:val="none" w:sz="0" w:space="0" w:color="auto"/>
              <w:right w:val="none" w:sz="0" w:space="0" w:color="auto"/>
            </w:tcBorders>
          </w:tcPr>
          <w:p w:rsidR="00C14E9A" w:rsidRPr="00323BF7" w:rsidRDefault="00C14E9A" w:rsidP="00323BF7">
            <w:pPr>
              <w:jc w:val="right"/>
            </w:pPr>
            <w:r w:rsidRPr="00323BF7">
              <w:t>11,836</w:t>
            </w:r>
          </w:p>
        </w:tc>
        <w:tc>
          <w:tcPr>
            <w:tcW w:w="576" w:type="pct"/>
            <w:tcBorders>
              <w:left w:val="none" w:sz="0" w:space="0" w:color="auto"/>
            </w:tcBorders>
          </w:tcPr>
          <w:p w:rsidR="00C14E9A" w:rsidRPr="00323BF7" w:rsidRDefault="00C14E9A" w:rsidP="00323BF7">
            <w:pPr>
              <w:jc w:val="right"/>
            </w:pPr>
            <w:r w:rsidRPr="00323BF7">
              <w:t>25%</w:t>
            </w:r>
          </w:p>
        </w:tc>
      </w:tr>
      <w:tr w:rsidR="00323BF7" w:rsidRPr="00323BF7" w:rsidTr="00274CC9">
        <w:trPr>
          <w:cnfStyle w:val="000000100000" w:firstRow="0" w:lastRow="0" w:firstColumn="0" w:lastColumn="0" w:oddVBand="0" w:evenVBand="0" w:oddHBand="1" w:evenHBand="0" w:firstRowFirstColumn="0" w:firstRowLastColumn="0" w:lastRowFirstColumn="0" w:lastRowLastColumn="0"/>
        </w:trPr>
        <w:tc>
          <w:tcPr>
            <w:tcW w:w="730" w:type="pct"/>
            <w:tcBorders>
              <w:right w:val="none" w:sz="0" w:space="0" w:color="auto"/>
            </w:tcBorders>
          </w:tcPr>
          <w:p w:rsidR="00386FCE" w:rsidRPr="00323BF7" w:rsidRDefault="00386FCE" w:rsidP="00323BF7">
            <w:proofErr w:type="spellStart"/>
            <w:r w:rsidRPr="00323BF7">
              <w:t>ELICOS</w:t>
            </w:r>
            <w:proofErr w:type="spellEnd"/>
          </w:p>
        </w:tc>
        <w:tc>
          <w:tcPr>
            <w:tcW w:w="748" w:type="pct"/>
            <w:tcBorders>
              <w:left w:val="none" w:sz="0" w:space="0" w:color="auto"/>
              <w:right w:val="none" w:sz="0" w:space="0" w:color="auto"/>
            </w:tcBorders>
          </w:tcPr>
          <w:p w:rsidR="00386FCE" w:rsidRPr="00323BF7" w:rsidRDefault="00386FCE" w:rsidP="00323BF7">
            <w:pPr>
              <w:jc w:val="right"/>
            </w:pPr>
            <w:r w:rsidRPr="00323BF7">
              <w:t>49</w:t>
            </w:r>
          </w:p>
        </w:tc>
        <w:tc>
          <w:tcPr>
            <w:tcW w:w="1096" w:type="pct"/>
            <w:tcBorders>
              <w:left w:val="none" w:sz="0" w:space="0" w:color="auto"/>
              <w:right w:val="none" w:sz="0" w:space="0" w:color="auto"/>
            </w:tcBorders>
          </w:tcPr>
          <w:p w:rsidR="00386FCE" w:rsidRPr="00323BF7" w:rsidRDefault="00DA633A" w:rsidP="00323BF7">
            <w:pPr>
              <w:jc w:val="right"/>
            </w:pPr>
            <w:r w:rsidRPr="00323BF7">
              <w:t>10,654</w:t>
            </w:r>
          </w:p>
        </w:tc>
        <w:tc>
          <w:tcPr>
            <w:tcW w:w="1850" w:type="pct"/>
            <w:tcBorders>
              <w:left w:val="none" w:sz="0" w:space="0" w:color="auto"/>
              <w:right w:val="none" w:sz="0" w:space="0" w:color="auto"/>
            </w:tcBorders>
          </w:tcPr>
          <w:p w:rsidR="00386FCE" w:rsidRPr="00323BF7" w:rsidRDefault="00DA633A" w:rsidP="00323BF7">
            <w:pPr>
              <w:jc w:val="right"/>
            </w:pPr>
            <w:r w:rsidRPr="00323BF7">
              <w:t>16,563</w:t>
            </w:r>
          </w:p>
        </w:tc>
        <w:tc>
          <w:tcPr>
            <w:tcW w:w="576" w:type="pct"/>
            <w:tcBorders>
              <w:left w:val="none" w:sz="0" w:space="0" w:color="auto"/>
            </w:tcBorders>
          </w:tcPr>
          <w:p w:rsidR="00386FCE" w:rsidRPr="00323BF7" w:rsidRDefault="00386FCE" w:rsidP="00323BF7">
            <w:pPr>
              <w:jc w:val="right"/>
            </w:pPr>
            <w:r w:rsidRPr="00323BF7">
              <w:t>6</w:t>
            </w:r>
            <w:r w:rsidR="00DA633A" w:rsidRPr="00323BF7">
              <w:t>4</w:t>
            </w:r>
            <w:r w:rsidRPr="00323BF7">
              <w:t>%</w:t>
            </w:r>
          </w:p>
        </w:tc>
      </w:tr>
    </w:tbl>
    <w:p w:rsidR="00754313" w:rsidRPr="00922DEB" w:rsidRDefault="00C14E9A" w:rsidP="00342010">
      <w:pPr>
        <w:spacing w:after="120" w:line="240" w:lineRule="auto"/>
        <w:rPr>
          <w:i/>
          <w:sz w:val="20"/>
        </w:rPr>
      </w:pPr>
      <w:r w:rsidRPr="00922DEB">
        <w:rPr>
          <w:i/>
          <w:sz w:val="20"/>
        </w:rPr>
        <w:t>*</w:t>
      </w:r>
      <w:r w:rsidR="00284572">
        <w:rPr>
          <w:i/>
          <w:sz w:val="20"/>
        </w:rPr>
        <w:t>Higher education (public) includes all the Australia universities that participated in the survey (regardless of funding source) and other participating public-funded institutions that deliver higher education qualifications</w:t>
      </w:r>
      <w:r w:rsidR="00E45035">
        <w:rPr>
          <w:i/>
          <w:sz w:val="20"/>
        </w:rPr>
        <w:t>.</w:t>
      </w:r>
    </w:p>
    <w:p w:rsidR="00C10FEE" w:rsidRPr="007C367E" w:rsidRDefault="00386FCE" w:rsidP="007C367E">
      <w:pPr>
        <w:spacing w:before="240"/>
      </w:pPr>
      <w:r w:rsidRPr="002D38E6">
        <w:t xml:space="preserve">The </w:t>
      </w:r>
      <w:r w:rsidR="00086B4D">
        <w:t>schools</w:t>
      </w:r>
      <w:r w:rsidRPr="002D38E6">
        <w:t xml:space="preserve"> survey received </w:t>
      </w:r>
      <w:r w:rsidR="00DA633A" w:rsidRPr="002D38E6">
        <w:t>1,225</w:t>
      </w:r>
      <w:r w:rsidRPr="002D38E6">
        <w:t xml:space="preserve"> (</w:t>
      </w:r>
      <w:r w:rsidR="00DA633A" w:rsidRPr="002D38E6">
        <w:t>640</w:t>
      </w:r>
      <w:r w:rsidRPr="002D38E6">
        <w:t xml:space="preserve"> Year 11 and </w:t>
      </w:r>
      <w:r w:rsidR="00DA633A" w:rsidRPr="002D38E6">
        <w:t>585</w:t>
      </w:r>
      <w:r w:rsidRPr="002D38E6">
        <w:t xml:space="preserve"> Year 12) student responses from </w:t>
      </w:r>
      <w:r w:rsidR="00DA633A" w:rsidRPr="002D38E6">
        <w:t xml:space="preserve">137 </w:t>
      </w:r>
      <w:r w:rsidRPr="002D38E6">
        <w:t xml:space="preserve">participating schools.  This survey response rate was </w:t>
      </w:r>
      <w:r w:rsidR="00DA633A" w:rsidRPr="002D38E6">
        <w:t>49</w:t>
      </w:r>
      <w:r w:rsidRPr="002D38E6">
        <w:t>% which is calculated by dividing the total number of completed returns received (</w:t>
      </w:r>
      <w:r w:rsidR="00454514" w:rsidRPr="002D38E6">
        <w:t>1,225</w:t>
      </w:r>
      <w:r w:rsidRPr="002D38E6">
        <w:t>) by the total number of students for whom a survey ID had been created (</w:t>
      </w:r>
      <w:r w:rsidR="00DA633A" w:rsidRPr="002D38E6">
        <w:t>2</w:t>
      </w:r>
      <w:r w:rsidR="00A620D3">
        <w:t>,</w:t>
      </w:r>
      <w:r w:rsidR="00DA633A" w:rsidRPr="002D38E6">
        <w:t>493</w:t>
      </w:r>
      <w:r w:rsidRPr="002D38E6">
        <w:t>).</w:t>
      </w:r>
      <w:r w:rsidR="00C02276">
        <w:br w:type="page"/>
      </w:r>
      <w:r w:rsidR="00C10FEE">
        <w:rPr>
          <w:noProof/>
          <w:lang w:eastAsia="en-AU"/>
        </w:rPr>
        <w:lastRenderedPageBreak/>
        <w:drawing>
          <wp:anchor distT="0" distB="0" distL="114300" distR="114300" simplePos="0" relativeHeight="251664384" behindDoc="1" locked="0" layoutInCell="1" allowOverlap="1" wp14:anchorId="41F58BBA" wp14:editId="03FE2B60">
            <wp:simplePos x="0" y="0"/>
            <wp:positionH relativeFrom="page">
              <wp:posOffset>-9525</wp:posOffset>
            </wp:positionH>
            <wp:positionV relativeFrom="page">
              <wp:posOffset>5455242</wp:posOffset>
            </wp:positionV>
            <wp:extent cx="7653020" cy="5392420"/>
            <wp:effectExtent l="0" t="0" r="508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020" cy="5392420"/>
                    </a:xfrm>
                    <a:prstGeom prst="rect">
                      <a:avLst/>
                    </a:prstGeom>
                  </pic:spPr>
                </pic:pic>
              </a:graphicData>
            </a:graphic>
            <wp14:sizeRelH relativeFrom="page">
              <wp14:pctWidth>0</wp14:pctWidth>
            </wp14:sizeRelH>
            <wp14:sizeRelV relativeFrom="page">
              <wp14:pctHeight>0</wp14:pctHeight>
            </wp14:sizeRelV>
          </wp:anchor>
        </w:drawing>
      </w:r>
    </w:p>
    <w:sectPr w:rsidR="00C10FEE" w:rsidRPr="007C367E" w:rsidSect="002E1C8E">
      <w:pgSz w:w="11906" w:h="16838"/>
      <w:pgMar w:top="1440" w:right="1440" w:bottom="1985" w:left="1440" w:header="709" w:footer="10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22E" w:rsidRDefault="00BA022E" w:rsidP="00130923">
      <w:pPr>
        <w:spacing w:after="0" w:line="240" w:lineRule="auto"/>
      </w:pPr>
      <w:r>
        <w:separator/>
      </w:r>
    </w:p>
  </w:endnote>
  <w:endnote w:type="continuationSeparator" w:id="0">
    <w:p w:rsidR="00BA022E" w:rsidRDefault="00BA022E"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02" w:rsidRDefault="001E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C8E" w:rsidRDefault="00153FC1">
    <w:pPr>
      <w:pStyle w:val="Footer"/>
    </w:pPr>
    <w:sdt>
      <w:sdtPr>
        <w:rPr>
          <w:rFonts w:asciiTheme="majorHAnsi" w:eastAsiaTheme="majorEastAsia" w:hAnsiTheme="majorHAnsi" w:cstheme="majorBidi"/>
        </w:rPr>
        <w:id w:val="969400743"/>
        <w:placeholder>
          <w:docPart w:val="9B4AC482279E44D3ADC3E9C8BEC80892"/>
        </w:placeholder>
        <w:temporary/>
        <w:showingPlcHdr/>
      </w:sdtPr>
      <w:sdtEndPr/>
      <w:sdtContent>
        <w:r w:rsidR="006E2B45" w:rsidRPr="006E2B45">
          <w:rPr>
            <w:rFonts w:asciiTheme="majorHAnsi" w:eastAsiaTheme="majorEastAsia" w:hAnsiTheme="majorHAnsi" w:cstheme="majorBidi"/>
          </w:rPr>
          <w:t>[Type text]</w:t>
        </w:r>
      </w:sdtContent>
    </w:sdt>
    <w:r w:rsidR="006E2B45" w:rsidRPr="006E2B45">
      <w:rPr>
        <w:rFonts w:asciiTheme="majorHAnsi" w:eastAsiaTheme="majorEastAsia" w:hAnsiTheme="majorHAnsi" w:cstheme="majorBidi"/>
      </w:rPr>
      <w:ptab w:relativeTo="margin" w:alignment="center" w:leader="none"/>
    </w:r>
    <w:sdt>
      <w:sdtPr>
        <w:rPr>
          <w:rFonts w:asciiTheme="majorHAnsi" w:eastAsiaTheme="majorEastAsia" w:hAnsiTheme="majorHAnsi" w:cstheme="majorBidi"/>
        </w:rPr>
        <w:id w:val="969400748"/>
        <w:placeholder>
          <w:docPart w:val="9B4AC482279E44D3ADC3E9C8BEC80892"/>
        </w:placeholder>
        <w:temporary/>
        <w:showingPlcHdr/>
      </w:sdtPr>
      <w:sdtEndPr/>
      <w:sdtContent>
        <w:r w:rsidR="006E2B45" w:rsidRPr="006E2B45">
          <w:rPr>
            <w:rFonts w:asciiTheme="majorHAnsi" w:eastAsiaTheme="majorEastAsia" w:hAnsiTheme="majorHAnsi" w:cstheme="majorBidi"/>
          </w:rPr>
          <w:t>[Type text]</w:t>
        </w:r>
      </w:sdtContent>
    </w:sdt>
    <w:r w:rsidR="006E2B45" w:rsidRPr="006E2B45">
      <w:rPr>
        <w:rFonts w:asciiTheme="majorHAnsi" w:eastAsiaTheme="majorEastAsia" w:hAnsiTheme="majorHAnsi" w:cstheme="majorBidi"/>
      </w:rPr>
      <w:ptab w:relativeTo="margin" w:alignment="right" w:leader="none"/>
    </w:r>
    <w:sdt>
      <w:sdtPr>
        <w:rPr>
          <w:rFonts w:asciiTheme="majorHAnsi" w:eastAsiaTheme="majorEastAsia" w:hAnsiTheme="majorHAnsi" w:cstheme="majorBidi"/>
        </w:rPr>
        <w:id w:val="969400753"/>
        <w:placeholder>
          <w:docPart w:val="9B4AC482279E44D3ADC3E9C8BEC80892"/>
        </w:placeholder>
        <w:temporary/>
        <w:showingPlcHdr/>
      </w:sdtPr>
      <w:sdtEndPr/>
      <w:sdtContent>
        <w:r w:rsidR="006E2B45" w:rsidRPr="006E2B45">
          <w:rPr>
            <w:rFonts w:asciiTheme="majorHAnsi" w:eastAsiaTheme="majorEastAsia" w:hAnsiTheme="majorHAnsi" w:cstheme="majorBidi"/>
          </w:rPr>
          <w:t>[Type text]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02" w:rsidRDefault="001E580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C8E" w:rsidRPr="006E2B45" w:rsidRDefault="006E2B45" w:rsidP="006E2B45">
    <w:pPr>
      <w:pStyle w:val="Footer"/>
    </w:pPr>
    <w:r>
      <w:ptab w:relativeTo="margin" w:alignment="center" w:leader="none"/>
    </w:r>
    <w:r w:rsidRPr="006E2B45">
      <w:t xml:space="preserve"> </w:t>
    </w:r>
    <w:r>
      <w:t xml:space="preserve">International Student Survey 2014 Overview Report </w:t>
    </w:r>
    <w:r>
      <w:ptab w:relativeTo="margin" w:alignment="right" w:leader="none"/>
    </w:r>
    <w:r>
      <w:fldChar w:fldCharType="begin"/>
    </w:r>
    <w:r>
      <w:instrText xml:space="preserve"> PAGE   \* MERGEFORMAT </w:instrText>
    </w:r>
    <w:r>
      <w:fldChar w:fldCharType="separate"/>
    </w:r>
    <w:r w:rsidR="00153FC1">
      <w:rPr>
        <w:noProof/>
      </w:rPr>
      <w:t>ii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22E" w:rsidRDefault="00BA022E" w:rsidP="00130923">
      <w:pPr>
        <w:spacing w:after="0" w:line="240" w:lineRule="auto"/>
      </w:pPr>
      <w:r>
        <w:separator/>
      </w:r>
    </w:p>
  </w:footnote>
  <w:footnote w:type="continuationSeparator" w:id="0">
    <w:p w:rsidR="00BA022E" w:rsidRDefault="00BA022E" w:rsidP="00130923">
      <w:pPr>
        <w:spacing w:after="0" w:line="240" w:lineRule="auto"/>
      </w:pPr>
      <w:r>
        <w:continuationSeparator/>
      </w:r>
    </w:p>
  </w:footnote>
  <w:footnote w:id="1">
    <w:p w:rsidR="00BA022E" w:rsidRDefault="00BA022E">
      <w:pPr>
        <w:pStyle w:val="FootnoteText"/>
      </w:pPr>
      <w:r>
        <w:rPr>
          <w:rStyle w:val="FootnoteReference"/>
        </w:rPr>
        <w:footnoteRef/>
      </w:r>
      <w:r>
        <w:t xml:space="preserve"> Department of Education and Training</w:t>
      </w:r>
      <w:hyperlink r:id="rId1" w:history="1">
        <w:r w:rsidRPr="005F5C84">
          <w:rPr>
            <w:rStyle w:val="Hyperlink"/>
          </w:rPr>
          <w:t xml:space="preserve">, </w:t>
        </w:r>
        <w:r w:rsidRPr="003D2318">
          <w:rPr>
            <w:rStyle w:val="Hyperlink"/>
            <w:i/>
          </w:rPr>
          <w:t xml:space="preserve">Research Snapshot </w:t>
        </w:r>
        <w:r>
          <w:rPr>
            <w:rStyle w:val="Hyperlink"/>
            <w:i/>
          </w:rPr>
          <w:t>on</w:t>
        </w:r>
        <w:r w:rsidRPr="00342010">
          <w:rPr>
            <w:rStyle w:val="Hyperlink"/>
            <w:i/>
          </w:rPr>
          <w:t xml:space="preserve"> International Student Numbers 2014</w:t>
        </w:r>
      </w:hyperlink>
      <w:r>
        <w:t>, March 2015.</w:t>
      </w:r>
    </w:p>
    <w:p w:rsidR="00BA022E" w:rsidRDefault="00BA022E">
      <w:pPr>
        <w:pStyle w:val="FootnoteText"/>
      </w:pPr>
    </w:p>
  </w:footnote>
  <w:footnote w:id="2">
    <w:p w:rsidR="00BA022E" w:rsidRPr="008F33EA" w:rsidRDefault="00BA022E">
      <w:pPr>
        <w:pStyle w:val="FootnoteText"/>
        <w:rPr>
          <w:lang w:val="en-US"/>
        </w:rPr>
      </w:pPr>
      <w:r>
        <w:rPr>
          <w:rStyle w:val="FootnoteReference"/>
        </w:rPr>
        <w:footnoteRef/>
      </w:r>
      <w:r>
        <w:t xml:space="preserve"> Department of Education and Training Research Snapshot October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02" w:rsidRDefault="001E58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22E" w:rsidRDefault="00BA022E" w:rsidP="00820B66">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02" w:rsidRDefault="001E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FFFFFF89"/>
    <w:multiLevelType w:val="singleLevel"/>
    <w:tmpl w:val="08E23D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383714D"/>
    <w:multiLevelType w:val="hybridMultilevel"/>
    <w:tmpl w:val="A8E01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0B1C6302"/>
    <w:multiLevelType w:val="hybridMultilevel"/>
    <w:tmpl w:val="621AFD1A"/>
    <w:lvl w:ilvl="0" w:tplc="E8686F6A">
      <w:start w:val="1"/>
      <w:numFmt w:val="bullet"/>
      <w:pStyle w:val="Bri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660"/>
        </w:tabs>
        <w:ind w:left="660" w:hanging="360"/>
      </w:pPr>
      <w:rPr>
        <w:rFonts w:ascii="Courier New" w:hAnsi="Courier New" w:cs="Courier New" w:hint="default"/>
        <w:color w:val="auto"/>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nsid w:val="0D8F48D6"/>
    <w:multiLevelType w:val="hybridMultilevel"/>
    <w:tmpl w:val="FD7AC6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19">
    <w:nsid w:val="11B16D28"/>
    <w:multiLevelType w:val="hybridMultilevel"/>
    <w:tmpl w:val="DE5640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2">
    <w:nsid w:val="1823324D"/>
    <w:multiLevelType w:val="hybridMultilevel"/>
    <w:tmpl w:val="EB6E8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22A36EDE"/>
    <w:multiLevelType w:val="hybridMultilevel"/>
    <w:tmpl w:val="329AC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3012451"/>
    <w:multiLevelType w:val="hybridMultilevel"/>
    <w:tmpl w:val="009A8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668222B"/>
    <w:multiLevelType w:val="hybridMultilevel"/>
    <w:tmpl w:val="10700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8197B0B"/>
    <w:multiLevelType w:val="hybridMultilevel"/>
    <w:tmpl w:val="2C005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A7C0F18"/>
    <w:multiLevelType w:val="hybridMultilevel"/>
    <w:tmpl w:val="5EAC7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B5B0E4C"/>
    <w:multiLevelType w:val="hybridMultilevel"/>
    <w:tmpl w:val="7A24205C"/>
    <w:lvl w:ilvl="0" w:tplc="DA9E6524">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6FC2A3B"/>
    <w:multiLevelType w:val="hybridMultilevel"/>
    <w:tmpl w:val="CC9C1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84B666B"/>
    <w:multiLevelType w:val="hybridMultilevel"/>
    <w:tmpl w:val="DCBCD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3FD74BA9"/>
    <w:multiLevelType w:val="hybridMultilevel"/>
    <w:tmpl w:val="92483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4EA1632"/>
    <w:multiLevelType w:val="hybridMultilevel"/>
    <w:tmpl w:val="3D08C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nsid w:val="521B13E1"/>
    <w:multiLevelType w:val="hybridMultilevel"/>
    <w:tmpl w:val="97FC2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6BE0B16"/>
    <w:multiLevelType w:val="hybridMultilevel"/>
    <w:tmpl w:val="08E8230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7">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nsid w:val="5A943896"/>
    <w:multiLevelType w:val="hybridMultilevel"/>
    <w:tmpl w:val="11AAE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07B64A1"/>
    <w:multiLevelType w:val="hybridMultilevel"/>
    <w:tmpl w:val="8DAEB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4E70F30"/>
    <w:multiLevelType w:val="hybridMultilevel"/>
    <w:tmpl w:val="A900D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nsid w:val="79C604FF"/>
    <w:multiLevelType w:val="hybridMultilevel"/>
    <w:tmpl w:val="C5C6E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B5A772A"/>
    <w:multiLevelType w:val="hybridMultilevel"/>
    <w:tmpl w:val="ACDC0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7"/>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41"/>
  </w:num>
  <w:num w:numId="15">
    <w:abstractNumId w:val="20"/>
  </w:num>
  <w:num w:numId="16">
    <w:abstractNumId w:val="34"/>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1"/>
  </w:num>
  <w:num w:numId="21">
    <w:abstractNumId w:val="12"/>
  </w:num>
  <w:num w:numId="22">
    <w:abstractNumId w:val="13"/>
  </w:num>
  <w:num w:numId="23">
    <w:abstractNumId w:val="14"/>
  </w:num>
  <w:num w:numId="24">
    <w:abstractNumId w:val="28"/>
  </w:num>
  <w:num w:numId="25">
    <w:abstractNumId w:val="33"/>
  </w:num>
  <w:num w:numId="26">
    <w:abstractNumId w:val="25"/>
  </w:num>
  <w:num w:numId="27">
    <w:abstractNumId w:val="22"/>
  </w:num>
  <w:num w:numId="28">
    <w:abstractNumId w:val="9"/>
  </w:num>
  <w:num w:numId="29">
    <w:abstractNumId w:val="21"/>
  </w:num>
  <w:num w:numId="30">
    <w:abstractNumId w:val="36"/>
  </w:num>
  <w:num w:numId="31">
    <w:abstractNumId w:val="32"/>
  </w:num>
  <w:num w:numId="32">
    <w:abstractNumId w:val="39"/>
  </w:num>
  <w:num w:numId="33">
    <w:abstractNumId w:val="27"/>
  </w:num>
  <w:num w:numId="34">
    <w:abstractNumId w:val="30"/>
  </w:num>
  <w:num w:numId="35">
    <w:abstractNumId w:val="24"/>
  </w:num>
  <w:num w:numId="36">
    <w:abstractNumId w:val="26"/>
  </w:num>
  <w:num w:numId="37">
    <w:abstractNumId w:val="40"/>
  </w:num>
  <w:num w:numId="38">
    <w:abstractNumId w:val="35"/>
  </w:num>
  <w:num w:numId="39">
    <w:abstractNumId w:val="42"/>
  </w:num>
  <w:num w:numId="40">
    <w:abstractNumId w:val="29"/>
  </w:num>
  <w:num w:numId="41">
    <w:abstractNumId w:val="17"/>
  </w:num>
  <w:num w:numId="42">
    <w:abstractNumId w:val="38"/>
  </w:num>
  <w:num w:numId="43">
    <w:abstractNumId w:val="18"/>
  </w:num>
  <w:num w:numId="44">
    <w:abstractNumId w:val="15"/>
  </w:num>
  <w:num w:numId="45">
    <w:abstractNumId w:val="19"/>
  </w:num>
  <w:num w:numId="46">
    <w:abstractNumId w:val="31"/>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activeWritingStyle w:appName="MSWord" w:lang="en-US" w:vendorID="64" w:dllVersion="131078" w:nlCheck="1" w:checkStyle="1"/>
  <w:activeWritingStyle w:appName="MSWord" w:lang="en-AU" w:vendorID="64" w:dllVersion="131078" w:nlCheck="1" w:checkStyle="1"/>
  <w:proofState w:spelling="clean" w:grammar="clean"/>
  <w:stylePaneSortMethod w:val="0000"/>
  <w:defaultTabStop w:val="720"/>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6704AE"/>
    <w:rsid w:val="00002721"/>
    <w:rsid w:val="00007763"/>
    <w:rsid w:val="00007E0C"/>
    <w:rsid w:val="000100EE"/>
    <w:rsid w:val="00010C5B"/>
    <w:rsid w:val="0001234F"/>
    <w:rsid w:val="00015692"/>
    <w:rsid w:val="00015F39"/>
    <w:rsid w:val="00016BFE"/>
    <w:rsid w:val="0002498F"/>
    <w:rsid w:val="00024E24"/>
    <w:rsid w:val="0002683E"/>
    <w:rsid w:val="00034EAA"/>
    <w:rsid w:val="00036990"/>
    <w:rsid w:val="00044ACA"/>
    <w:rsid w:val="00047057"/>
    <w:rsid w:val="00050874"/>
    <w:rsid w:val="000538AB"/>
    <w:rsid w:val="00057AAA"/>
    <w:rsid w:val="000636A0"/>
    <w:rsid w:val="00066672"/>
    <w:rsid w:val="00066F68"/>
    <w:rsid w:val="00067D69"/>
    <w:rsid w:val="00070567"/>
    <w:rsid w:val="000714B5"/>
    <w:rsid w:val="000727F6"/>
    <w:rsid w:val="00072B6D"/>
    <w:rsid w:val="00072C24"/>
    <w:rsid w:val="00080BD5"/>
    <w:rsid w:val="000820D4"/>
    <w:rsid w:val="00084D46"/>
    <w:rsid w:val="000861A6"/>
    <w:rsid w:val="00086B4D"/>
    <w:rsid w:val="00087470"/>
    <w:rsid w:val="00090332"/>
    <w:rsid w:val="00090536"/>
    <w:rsid w:val="00093F09"/>
    <w:rsid w:val="000943A3"/>
    <w:rsid w:val="000957AE"/>
    <w:rsid w:val="000A0729"/>
    <w:rsid w:val="000A1730"/>
    <w:rsid w:val="000A61D0"/>
    <w:rsid w:val="000A6C3F"/>
    <w:rsid w:val="000A7786"/>
    <w:rsid w:val="000B4566"/>
    <w:rsid w:val="000B5CFC"/>
    <w:rsid w:val="000C0985"/>
    <w:rsid w:val="000C2F9E"/>
    <w:rsid w:val="000C31F2"/>
    <w:rsid w:val="000C3552"/>
    <w:rsid w:val="000C5E36"/>
    <w:rsid w:val="000C5F31"/>
    <w:rsid w:val="000D1106"/>
    <w:rsid w:val="000D22C4"/>
    <w:rsid w:val="000D3362"/>
    <w:rsid w:val="000D6C0F"/>
    <w:rsid w:val="000D6FBE"/>
    <w:rsid w:val="000D7FD3"/>
    <w:rsid w:val="000E0728"/>
    <w:rsid w:val="000E0780"/>
    <w:rsid w:val="000E52CA"/>
    <w:rsid w:val="000E5583"/>
    <w:rsid w:val="000E5F61"/>
    <w:rsid w:val="000E6265"/>
    <w:rsid w:val="000E7E7B"/>
    <w:rsid w:val="000F0189"/>
    <w:rsid w:val="000F1ECD"/>
    <w:rsid w:val="000F25BD"/>
    <w:rsid w:val="000F30C1"/>
    <w:rsid w:val="000F3BA2"/>
    <w:rsid w:val="000F4883"/>
    <w:rsid w:val="000F4EFC"/>
    <w:rsid w:val="00107E0C"/>
    <w:rsid w:val="00112485"/>
    <w:rsid w:val="00112522"/>
    <w:rsid w:val="00112B61"/>
    <w:rsid w:val="001150A6"/>
    <w:rsid w:val="001159D5"/>
    <w:rsid w:val="00116E16"/>
    <w:rsid w:val="001175BF"/>
    <w:rsid w:val="001221E1"/>
    <w:rsid w:val="00124A18"/>
    <w:rsid w:val="00125272"/>
    <w:rsid w:val="001261AA"/>
    <w:rsid w:val="0012718B"/>
    <w:rsid w:val="001276FE"/>
    <w:rsid w:val="00130923"/>
    <w:rsid w:val="0013509E"/>
    <w:rsid w:val="00135762"/>
    <w:rsid w:val="00136E21"/>
    <w:rsid w:val="00137A56"/>
    <w:rsid w:val="001414F3"/>
    <w:rsid w:val="00143FCD"/>
    <w:rsid w:val="00150C5D"/>
    <w:rsid w:val="001516F3"/>
    <w:rsid w:val="001518D6"/>
    <w:rsid w:val="00151C51"/>
    <w:rsid w:val="00153EB7"/>
    <w:rsid w:val="00153FC1"/>
    <w:rsid w:val="001544F4"/>
    <w:rsid w:val="001575A8"/>
    <w:rsid w:val="00161C06"/>
    <w:rsid w:val="00170380"/>
    <w:rsid w:val="00172C9B"/>
    <w:rsid w:val="00176696"/>
    <w:rsid w:val="00181929"/>
    <w:rsid w:val="00182AAB"/>
    <w:rsid w:val="00182C40"/>
    <w:rsid w:val="001835A5"/>
    <w:rsid w:val="00183B73"/>
    <w:rsid w:val="001851D7"/>
    <w:rsid w:val="001856A3"/>
    <w:rsid w:val="00186C02"/>
    <w:rsid w:val="00187FF2"/>
    <w:rsid w:val="00191697"/>
    <w:rsid w:val="00193D9D"/>
    <w:rsid w:val="00195175"/>
    <w:rsid w:val="00195711"/>
    <w:rsid w:val="00197DDC"/>
    <w:rsid w:val="001A1AB6"/>
    <w:rsid w:val="001A5067"/>
    <w:rsid w:val="001A6B45"/>
    <w:rsid w:val="001A7E6A"/>
    <w:rsid w:val="001B02AA"/>
    <w:rsid w:val="001B0809"/>
    <w:rsid w:val="001B0ABE"/>
    <w:rsid w:val="001B1D08"/>
    <w:rsid w:val="001B60D7"/>
    <w:rsid w:val="001B6467"/>
    <w:rsid w:val="001B680A"/>
    <w:rsid w:val="001C1CBD"/>
    <w:rsid w:val="001C1E83"/>
    <w:rsid w:val="001C2B24"/>
    <w:rsid w:val="001C2FC5"/>
    <w:rsid w:val="001C374F"/>
    <w:rsid w:val="001C50A7"/>
    <w:rsid w:val="001C628E"/>
    <w:rsid w:val="001D6AFD"/>
    <w:rsid w:val="001E0349"/>
    <w:rsid w:val="001E04E4"/>
    <w:rsid w:val="001E2685"/>
    <w:rsid w:val="001E2B5B"/>
    <w:rsid w:val="001E2ECE"/>
    <w:rsid w:val="001E5802"/>
    <w:rsid w:val="001F1111"/>
    <w:rsid w:val="001F1A75"/>
    <w:rsid w:val="001F3061"/>
    <w:rsid w:val="001F469D"/>
    <w:rsid w:val="001F6354"/>
    <w:rsid w:val="001F7089"/>
    <w:rsid w:val="00207178"/>
    <w:rsid w:val="0020797F"/>
    <w:rsid w:val="00215DF6"/>
    <w:rsid w:val="00216704"/>
    <w:rsid w:val="0021783C"/>
    <w:rsid w:val="00217843"/>
    <w:rsid w:val="00217850"/>
    <w:rsid w:val="00217E72"/>
    <w:rsid w:val="00221FEA"/>
    <w:rsid w:val="00223EB1"/>
    <w:rsid w:val="002339FC"/>
    <w:rsid w:val="0023430F"/>
    <w:rsid w:val="00235137"/>
    <w:rsid w:val="00236188"/>
    <w:rsid w:val="00236917"/>
    <w:rsid w:val="00243876"/>
    <w:rsid w:val="00243D6B"/>
    <w:rsid w:val="00247996"/>
    <w:rsid w:val="00250672"/>
    <w:rsid w:val="002507BF"/>
    <w:rsid w:val="00250D03"/>
    <w:rsid w:val="00253EB7"/>
    <w:rsid w:val="0026164A"/>
    <w:rsid w:val="00266C00"/>
    <w:rsid w:val="00266FA5"/>
    <w:rsid w:val="002712AF"/>
    <w:rsid w:val="00273B4B"/>
    <w:rsid w:val="00274CC9"/>
    <w:rsid w:val="00275354"/>
    <w:rsid w:val="002770BB"/>
    <w:rsid w:val="00284572"/>
    <w:rsid w:val="00284BC2"/>
    <w:rsid w:val="00285DE3"/>
    <w:rsid w:val="002869D9"/>
    <w:rsid w:val="00290B1D"/>
    <w:rsid w:val="00292626"/>
    <w:rsid w:val="00292AE4"/>
    <w:rsid w:val="0029379A"/>
    <w:rsid w:val="00293BA0"/>
    <w:rsid w:val="00295329"/>
    <w:rsid w:val="00296927"/>
    <w:rsid w:val="00296A6C"/>
    <w:rsid w:val="002A13C3"/>
    <w:rsid w:val="002A47B0"/>
    <w:rsid w:val="002A7144"/>
    <w:rsid w:val="002A7848"/>
    <w:rsid w:val="002B06E6"/>
    <w:rsid w:val="002B7359"/>
    <w:rsid w:val="002C0BF9"/>
    <w:rsid w:val="002C2AE5"/>
    <w:rsid w:val="002C333C"/>
    <w:rsid w:val="002C3AA1"/>
    <w:rsid w:val="002C7352"/>
    <w:rsid w:val="002D271F"/>
    <w:rsid w:val="002D38E6"/>
    <w:rsid w:val="002D580C"/>
    <w:rsid w:val="002D5A2E"/>
    <w:rsid w:val="002D6386"/>
    <w:rsid w:val="002D7E44"/>
    <w:rsid w:val="002E1C8E"/>
    <w:rsid w:val="002E29C6"/>
    <w:rsid w:val="002E3268"/>
    <w:rsid w:val="002E5BAF"/>
    <w:rsid w:val="002F18B7"/>
    <w:rsid w:val="002F1999"/>
    <w:rsid w:val="002F3F5E"/>
    <w:rsid w:val="002F5406"/>
    <w:rsid w:val="002F7AEF"/>
    <w:rsid w:val="003009B1"/>
    <w:rsid w:val="0030143D"/>
    <w:rsid w:val="00301CEF"/>
    <w:rsid w:val="003027D4"/>
    <w:rsid w:val="003033CE"/>
    <w:rsid w:val="00305B35"/>
    <w:rsid w:val="00310176"/>
    <w:rsid w:val="00310DAC"/>
    <w:rsid w:val="00311D4C"/>
    <w:rsid w:val="00313BDB"/>
    <w:rsid w:val="003155A7"/>
    <w:rsid w:val="003166C5"/>
    <w:rsid w:val="00316B0A"/>
    <w:rsid w:val="0031723F"/>
    <w:rsid w:val="00320648"/>
    <w:rsid w:val="00321457"/>
    <w:rsid w:val="00323BF7"/>
    <w:rsid w:val="003242B9"/>
    <w:rsid w:val="00326126"/>
    <w:rsid w:val="00327975"/>
    <w:rsid w:val="0033082E"/>
    <w:rsid w:val="003359E9"/>
    <w:rsid w:val="003379D2"/>
    <w:rsid w:val="003379F5"/>
    <w:rsid w:val="00341625"/>
    <w:rsid w:val="00342010"/>
    <w:rsid w:val="00350AC8"/>
    <w:rsid w:val="003526A7"/>
    <w:rsid w:val="00352C7F"/>
    <w:rsid w:val="003546B4"/>
    <w:rsid w:val="00355D5F"/>
    <w:rsid w:val="00356F23"/>
    <w:rsid w:val="003604A8"/>
    <w:rsid w:val="003657F1"/>
    <w:rsid w:val="00366836"/>
    <w:rsid w:val="00366ACD"/>
    <w:rsid w:val="00366ED9"/>
    <w:rsid w:val="003702A2"/>
    <w:rsid w:val="00372AEC"/>
    <w:rsid w:val="0038246D"/>
    <w:rsid w:val="00383CD8"/>
    <w:rsid w:val="00386FCE"/>
    <w:rsid w:val="00391269"/>
    <w:rsid w:val="00391428"/>
    <w:rsid w:val="00391E19"/>
    <w:rsid w:val="00393746"/>
    <w:rsid w:val="003979FC"/>
    <w:rsid w:val="00397CE9"/>
    <w:rsid w:val="003A0C66"/>
    <w:rsid w:val="003A39C6"/>
    <w:rsid w:val="003A3BA9"/>
    <w:rsid w:val="003A4474"/>
    <w:rsid w:val="003A678F"/>
    <w:rsid w:val="003A6B3B"/>
    <w:rsid w:val="003A70BE"/>
    <w:rsid w:val="003A7FE5"/>
    <w:rsid w:val="003B3E5A"/>
    <w:rsid w:val="003C2344"/>
    <w:rsid w:val="003D0024"/>
    <w:rsid w:val="003D0563"/>
    <w:rsid w:val="003D2318"/>
    <w:rsid w:val="003D33E8"/>
    <w:rsid w:val="003D4B4B"/>
    <w:rsid w:val="003D58C0"/>
    <w:rsid w:val="003D64B0"/>
    <w:rsid w:val="003D67FC"/>
    <w:rsid w:val="003E3A44"/>
    <w:rsid w:val="003E51C4"/>
    <w:rsid w:val="003E65A6"/>
    <w:rsid w:val="003F3B2A"/>
    <w:rsid w:val="003F52F7"/>
    <w:rsid w:val="003F629A"/>
    <w:rsid w:val="0040386B"/>
    <w:rsid w:val="00406E5A"/>
    <w:rsid w:val="0040764B"/>
    <w:rsid w:val="004105DA"/>
    <w:rsid w:val="00412812"/>
    <w:rsid w:val="00412E17"/>
    <w:rsid w:val="004131D1"/>
    <w:rsid w:val="0041543E"/>
    <w:rsid w:val="00416CB8"/>
    <w:rsid w:val="004245A2"/>
    <w:rsid w:val="00424A1F"/>
    <w:rsid w:val="00424B08"/>
    <w:rsid w:val="00425FD5"/>
    <w:rsid w:val="00430EC6"/>
    <w:rsid w:val="0043200A"/>
    <w:rsid w:val="00433B2C"/>
    <w:rsid w:val="00435443"/>
    <w:rsid w:val="0043692A"/>
    <w:rsid w:val="0043737C"/>
    <w:rsid w:val="00441083"/>
    <w:rsid w:val="00441BBC"/>
    <w:rsid w:val="00442100"/>
    <w:rsid w:val="00442AC2"/>
    <w:rsid w:val="0044325E"/>
    <w:rsid w:val="00451144"/>
    <w:rsid w:val="00454514"/>
    <w:rsid w:val="00455B34"/>
    <w:rsid w:val="00467FF9"/>
    <w:rsid w:val="004713D0"/>
    <w:rsid w:val="00474030"/>
    <w:rsid w:val="004810C1"/>
    <w:rsid w:val="00481F02"/>
    <w:rsid w:val="004841F8"/>
    <w:rsid w:val="0048596F"/>
    <w:rsid w:val="0048762C"/>
    <w:rsid w:val="0048796A"/>
    <w:rsid w:val="00490A0C"/>
    <w:rsid w:val="0049219C"/>
    <w:rsid w:val="004933B5"/>
    <w:rsid w:val="00493894"/>
    <w:rsid w:val="00493C7E"/>
    <w:rsid w:val="004965DA"/>
    <w:rsid w:val="004A1052"/>
    <w:rsid w:val="004A67D7"/>
    <w:rsid w:val="004B256F"/>
    <w:rsid w:val="004B65F8"/>
    <w:rsid w:val="004B75A5"/>
    <w:rsid w:val="004C0C10"/>
    <w:rsid w:val="004C0FA1"/>
    <w:rsid w:val="004C17C3"/>
    <w:rsid w:val="004C291C"/>
    <w:rsid w:val="004C4229"/>
    <w:rsid w:val="004C5718"/>
    <w:rsid w:val="004C615D"/>
    <w:rsid w:val="004C7274"/>
    <w:rsid w:val="004D049E"/>
    <w:rsid w:val="004D05F4"/>
    <w:rsid w:val="004E0D74"/>
    <w:rsid w:val="004E3E8D"/>
    <w:rsid w:val="004E3FC9"/>
    <w:rsid w:val="004E7932"/>
    <w:rsid w:val="004F013E"/>
    <w:rsid w:val="004F1448"/>
    <w:rsid w:val="004F158F"/>
    <w:rsid w:val="004F2A19"/>
    <w:rsid w:val="004F4565"/>
    <w:rsid w:val="0050221C"/>
    <w:rsid w:val="0050309B"/>
    <w:rsid w:val="005046E1"/>
    <w:rsid w:val="00504763"/>
    <w:rsid w:val="00506258"/>
    <w:rsid w:val="005107DF"/>
    <w:rsid w:val="005113B6"/>
    <w:rsid w:val="00511702"/>
    <w:rsid w:val="00511FF4"/>
    <w:rsid w:val="00514A2C"/>
    <w:rsid w:val="00515601"/>
    <w:rsid w:val="00516B68"/>
    <w:rsid w:val="00522239"/>
    <w:rsid w:val="00524230"/>
    <w:rsid w:val="005310F7"/>
    <w:rsid w:val="00531691"/>
    <w:rsid w:val="00531817"/>
    <w:rsid w:val="00531D28"/>
    <w:rsid w:val="005330E4"/>
    <w:rsid w:val="00534703"/>
    <w:rsid w:val="00537B8E"/>
    <w:rsid w:val="00537CE6"/>
    <w:rsid w:val="00540A2D"/>
    <w:rsid w:val="0054286C"/>
    <w:rsid w:val="00544161"/>
    <w:rsid w:val="00545B3F"/>
    <w:rsid w:val="00552628"/>
    <w:rsid w:val="00552C18"/>
    <w:rsid w:val="0055354D"/>
    <w:rsid w:val="00553724"/>
    <w:rsid w:val="00554935"/>
    <w:rsid w:val="00556232"/>
    <w:rsid w:val="0055746F"/>
    <w:rsid w:val="00557F1E"/>
    <w:rsid w:val="00560CA0"/>
    <w:rsid w:val="005618B0"/>
    <w:rsid w:val="005624F3"/>
    <w:rsid w:val="00565009"/>
    <w:rsid w:val="00565080"/>
    <w:rsid w:val="005811EF"/>
    <w:rsid w:val="00582E92"/>
    <w:rsid w:val="005879DC"/>
    <w:rsid w:val="00587A18"/>
    <w:rsid w:val="00592BE6"/>
    <w:rsid w:val="0059570C"/>
    <w:rsid w:val="00596AAA"/>
    <w:rsid w:val="005A0945"/>
    <w:rsid w:val="005A2978"/>
    <w:rsid w:val="005A4C48"/>
    <w:rsid w:val="005A5C27"/>
    <w:rsid w:val="005A6155"/>
    <w:rsid w:val="005A765B"/>
    <w:rsid w:val="005B0878"/>
    <w:rsid w:val="005B1392"/>
    <w:rsid w:val="005B1BE7"/>
    <w:rsid w:val="005B2F04"/>
    <w:rsid w:val="005B7008"/>
    <w:rsid w:val="005C06EC"/>
    <w:rsid w:val="005C0B8C"/>
    <w:rsid w:val="005C15C0"/>
    <w:rsid w:val="005C4369"/>
    <w:rsid w:val="005D04FE"/>
    <w:rsid w:val="005D5CF6"/>
    <w:rsid w:val="005E079C"/>
    <w:rsid w:val="005E0874"/>
    <w:rsid w:val="005E0DB5"/>
    <w:rsid w:val="005E2601"/>
    <w:rsid w:val="005E27B7"/>
    <w:rsid w:val="005F0702"/>
    <w:rsid w:val="005F0868"/>
    <w:rsid w:val="005F457C"/>
    <w:rsid w:val="005F5C84"/>
    <w:rsid w:val="005F7B11"/>
    <w:rsid w:val="00601664"/>
    <w:rsid w:val="00606630"/>
    <w:rsid w:val="0060772A"/>
    <w:rsid w:val="00607E0C"/>
    <w:rsid w:val="00610654"/>
    <w:rsid w:val="0061085F"/>
    <w:rsid w:val="006111AA"/>
    <w:rsid w:val="00612A12"/>
    <w:rsid w:val="0061308F"/>
    <w:rsid w:val="00614D81"/>
    <w:rsid w:val="006152A6"/>
    <w:rsid w:val="006220E2"/>
    <w:rsid w:val="00624D5E"/>
    <w:rsid w:val="00626F0F"/>
    <w:rsid w:val="006270E7"/>
    <w:rsid w:val="006318B9"/>
    <w:rsid w:val="00632641"/>
    <w:rsid w:val="00633F10"/>
    <w:rsid w:val="00634832"/>
    <w:rsid w:val="00635920"/>
    <w:rsid w:val="0063635D"/>
    <w:rsid w:val="00640158"/>
    <w:rsid w:val="00640AC8"/>
    <w:rsid w:val="0064473D"/>
    <w:rsid w:val="00644873"/>
    <w:rsid w:val="00646F9F"/>
    <w:rsid w:val="0064721E"/>
    <w:rsid w:val="00650263"/>
    <w:rsid w:val="00654B89"/>
    <w:rsid w:val="0065520D"/>
    <w:rsid w:val="0065746B"/>
    <w:rsid w:val="00660945"/>
    <w:rsid w:val="006628D0"/>
    <w:rsid w:val="0067026C"/>
    <w:rsid w:val="006704AE"/>
    <w:rsid w:val="00676762"/>
    <w:rsid w:val="0067735F"/>
    <w:rsid w:val="00677D89"/>
    <w:rsid w:val="00680B9D"/>
    <w:rsid w:val="006812F3"/>
    <w:rsid w:val="006820AE"/>
    <w:rsid w:val="00682E9B"/>
    <w:rsid w:val="00686264"/>
    <w:rsid w:val="00692EC8"/>
    <w:rsid w:val="006941A9"/>
    <w:rsid w:val="00694630"/>
    <w:rsid w:val="00695E08"/>
    <w:rsid w:val="00696EF1"/>
    <w:rsid w:val="006A0147"/>
    <w:rsid w:val="006A0F32"/>
    <w:rsid w:val="006A559C"/>
    <w:rsid w:val="006A6F66"/>
    <w:rsid w:val="006A7C16"/>
    <w:rsid w:val="006A7E68"/>
    <w:rsid w:val="006B0EBC"/>
    <w:rsid w:val="006B13F6"/>
    <w:rsid w:val="006B171C"/>
    <w:rsid w:val="006B337D"/>
    <w:rsid w:val="006B57FC"/>
    <w:rsid w:val="006B7D8A"/>
    <w:rsid w:val="006C2A35"/>
    <w:rsid w:val="006C31D1"/>
    <w:rsid w:val="006C51A0"/>
    <w:rsid w:val="006C761A"/>
    <w:rsid w:val="006D5890"/>
    <w:rsid w:val="006E00BF"/>
    <w:rsid w:val="006E0E2F"/>
    <w:rsid w:val="006E0F29"/>
    <w:rsid w:val="006E151C"/>
    <w:rsid w:val="006E23C6"/>
    <w:rsid w:val="006E2B45"/>
    <w:rsid w:val="006E2CB7"/>
    <w:rsid w:val="006E2D49"/>
    <w:rsid w:val="006E3F0D"/>
    <w:rsid w:val="006E7E31"/>
    <w:rsid w:val="006F0AB8"/>
    <w:rsid w:val="006F19DA"/>
    <w:rsid w:val="006F3976"/>
    <w:rsid w:val="006F6486"/>
    <w:rsid w:val="006F76B6"/>
    <w:rsid w:val="006F796F"/>
    <w:rsid w:val="00700132"/>
    <w:rsid w:val="00700A87"/>
    <w:rsid w:val="00702422"/>
    <w:rsid w:val="007030C2"/>
    <w:rsid w:val="0070417B"/>
    <w:rsid w:val="007118C3"/>
    <w:rsid w:val="007125B3"/>
    <w:rsid w:val="00721073"/>
    <w:rsid w:val="0072347B"/>
    <w:rsid w:val="007259BD"/>
    <w:rsid w:val="00730570"/>
    <w:rsid w:val="00730FF2"/>
    <w:rsid w:val="0073124C"/>
    <w:rsid w:val="007321CE"/>
    <w:rsid w:val="0073375E"/>
    <w:rsid w:val="00740AE4"/>
    <w:rsid w:val="007435EB"/>
    <w:rsid w:val="0074537C"/>
    <w:rsid w:val="0074542C"/>
    <w:rsid w:val="007468FC"/>
    <w:rsid w:val="00750EBE"/>
    <w:rsid w:val="00752077"/>
    <w:rsid w:val="00754313"/>
    <w:rsid w:val="00755D20"/>
    <w:rsid w:val="00757CE8"/>
    <w:rsid w:val="00760A80"/>
    <w:rsid w:val="00761231"/>
    <w:rsid w:val="0076314A"/>
    <w:rsid w:val="00767A4A"/>
    <w:rsid w:val="00771D0F"/>
    <w:rsid w:val="00772A02"/>
    <w:rsid w:val="00774066"/>
    <w:rsid w:val="00774B33"/>
    <w:rsid w:val="00776795"/>
    <w:rsid w:val="00785D7E"/>
    <w:rsid w:val="007877CE"/>
    <w:rsid w:val="00790D92"/>
    <w:rsid w:val="00792CA3"/>
    <w:rsid w:val="00797CB5"/>
    <w:rsid w:val="007A14E1"/>
    <w:rsid w:val="007A1B68"/>
    <w:rsid w:val="007A1E60"/>
    <w:rsid w:val="007A4D8F"/>
    <w:rsid w:val="007A7CAD"/>
    <w:rsid w:val="007B122D"/>
    <w:rsid w:val="007B2FDD"/>
    <w:rsid w:val="007B32B2"/>
    <w:rsid w:val="007B37C8"/>
    <w:rsid w:val="007B7425"/>
    <w:rsid w:val="007B7FB0"/>
    <w:rsid w:val="007C142E"/>
    <w:rsid w:val="007C32B7"/>
    <w:rsid w:val="007C367E"/>
    <w:rsid w:val="007C3A96"/>
    <w:rsid w:val="007C4BF2"/>
    <w:rsid w:val="007C5194"/>
    <w:rsid w:val="007C63E6"/>
    <w:rsid w:val="007C71C8"/>
    <w:rsid w:val="007C7EF4"/>
    <w:rsid w:val="007D0CE8"/>
    <w:rsid w:val="007D0F44"/>
    <w:rsid w:val="007D2454"/>
    <w:rsid w:val="007D3129"/>
    <w:rsid w:val="007D58FB"/>
    <w:rsid w:val="007D6327"/>
    <w:rsid w:val="007E4CFE"/>
    <w:rsid w:val="007E7356"/>
    <w:rsid w:val="007F29B0"/>
    <w:rsid w:val="007F2E85"/>
    <w:rsid w:val="007F689D"/>
    <w:rsid w:val="007F6D43"/>
    <w:rsid w:val="00801E86"/>
    <w:rsid w:val="00803AAF"/>
    <w:rsid w:val="008048B7"/>
    <w:rsid w:val="00804E64"/>
    <w:rsid w:val="008138F7"/>
    <w:rsid w:val="00815C04"/>
    <w:rsid w:val="00816EF8"/>
    <w:rsid w:val="008207A2"/>
    <w:rsid w:val="00820B66"/>
    <w:rsid w:val="00822109"/>
    <w:rsid w:val="00822C98"/>
    <w:rsid w:val="00825B01"/>
    <w:rsid w:val="00827931"/>
    <w:rsid w:val="00827EC5"/>
    <w:rsid w:val="0083468A"/>
    <w:rsid w:val="00837347"/>
    <w:rsid w:val="00842D43"/>
    <w:rsid w:val="00843584"/>
    <w:rsid w:val="00843C7E"/>
    <w:rsid w:val="008449ED"/>
    <w:rsid w:val="00845077"/>
    <w:rsid w:val="008454E5"/>
    <w:rsid w:val="00847507"/>
    <w:rsid w:val="008507DD"/>
    <w:rsid w:val="00851E2B"/>
    <w:rsid w:val="00855778"/>
    <w:rsid w:val="0085638A"/>
    <w:rsid w:val="0085639E"/>
    <w:rsid w:val="00856D1C"/>
    <w:rsid w:val="00857756"/>
    <w:rsid w:val="00857FAF"/>
    <w:rsid w:val="00862B47"/>
    <w:rsid w:val="00863DCB"/>
    <w:rsid w:val="008648A5"/>
    <w:rsid w:val="00864E69"/>
    <w:rsid w:val="0087199D"/>
    <w:rsid w:val="008740E9"/>
    <w:rsid w:val="00875753"/>
    <w:rsid w:val="00875C39"/>
    <w:rsid w:val="00876558"/>
    <w:rsid w:val="00876AC0"/>
    <w:rsid w:val="00876F90"/>
    <w:rsid w:val="008775BB"/>
    <w:rsid w:val="00885F30"/>
    <w:rsid w:val="0088791F"/>
    <w:rsid w:val="00890B2B"/>
    <w:rsid w:val="008912F3"/>
    <w:rsid w:val="008945D6"/>
    <w:rsid w:val="00895637"/>
    <w:rsid w:val="00895935"/>
    <w:rsid w:val="008A022B"/>
    <w:rsid w:val="008A227D"/>
    <w:rsid w:val="008A6B12"/>
    <w:rsid w:val="008A78B6"/>
    <w:rsid w:val="008A7A7D"/>
    <w:rsid w:val="008A7F1F"/>
    <w:rsid w:val="008B1D39"/>
    <w:rsid w:val="008B24BD"/>
    <w:rsid w:val="008B2B5F"/>
    <w:rsid w:val="008B3865"/>
    <w:rsid w:val="008B38E0"/>
    <w:rsid w:val="008B3E21"/>
    <w:rsid w:val="008B59FB"/>
    <w:rsid w:val="008B63E9"/>
    <w:rsid w:val="008B6CFF"/>
    <w:rsid w:val="008B6DB7"/>
    <w:rsid w:val="008C2B05"/>
    <w:rsid w:val="008C423C"/>
    <w:rsid w:val="008D1347"/>
    <w:rsid w:val="008D17BA"/>
    <w:rsid w:val="008D3DFC"/>
    <w:rsid w:val="008D6939"/>
    <w:rsid w:val="008D7076"/>
    <w:rsid w:val="008D733D"/>
    <w:rsid w:val="008E3BF9"/>
    <w:rsid w:val="008E5D98"/>
    <w:rsid w:val="008F13EF"/>
    <w:rsid w:val="008F33EA"/>
    <w:rsid w:val="008F526B"/>
    <w:rsid w:val="008F55C1"/>
    <w:rsid w:val="008F729A"/>
    <w:rsid w:val="00901606"/>
    <w:rsid w:val="00902A11"/>
    <w:rsid w:val="00903408"/>
    <w:rsid w:val="009116EA"/>
    <w:rsid w:val="009138D2"/>
    <w:rsid w:val="00913EED"/>
    <w:rsid w:val="00914364"/>
    <w:rsid w:val="0091621B"/>
    <w:rsid w:val="009167F5"/>
    <w:rsid w:val="00916E0A"/>
    <w:rsid w:val="00916E5E"/>
    <w:rsid w:val="00922BCA"/>
    <w:rsid w:val="00922DEB"/>
    <w:rsid w:val="00926209"/>
    <w:rsid w:val="00926320"/>
    <w:rsid w:val="009264A5"/>
    <w:rsid w:val="009327CA"/>
    <w:rsid w:val="00933671"/>
    <w:rsid w:val="00933962"/>
    <w:rsid w:val="00937C95"/>
    <w:rsid w:val="00941EB1"/>
    <w:rsid w:val="00945DE2"/>
    <w:rsid w:val="00950BEF"/>
    <w:rsid w:val="00952C5E"/>
    <w:rsid w:val="009542FF"/>
    <w:rsid w:val="00955452"/>
    <w:rsid w:val="00961BD6"/>
    <w:rsid w:val="00961CB7"/>
    <w:rsid w:val="0096708A"/>
    <w:rsid w:val="00972B52"/>
    <w:rsid w:val="00972BF7"/>
    <w:rsid w:val="00972DD5"/>
    <w:rsid w:val="00973B36"/>
    <w:rsid w:val="0097503D"/>
    <w:rsid w:val="00976B1F"/>
    <w:rsid w:val="00980290"/>
    <w:rsid w:val="009815F3"/>
    <w:rsid w:val="0098238E"/>
    <w:rsid w:val="009831E4"/>
    <w:rsid w:val="00984879"/>
    <w:rsid w:val="00985632"/>
    <w:rsid w:val="00985A58"/>
    <w:rsid w:val="00987815"/>
    <w:rsid w:val="00990C98"/>
    <w:rsid w:val="00990E8C"/>
    <w:rsid w:val="00991B63"/>
    <w:rsid w:val="009938AD"/>
    <w:rsid w:val="00994B77"/>
    <w:rsid w:val="00995573"/>
    <w:rsid w:val="00995F57"/>
    <w:rsid w:val="0099641E"/>
    <w:rsid w:val="00997E6A"/>
    <w:rsid w:val="009A190B"/>
    <w:rsid w:val="009A3489"/>
    <w:rsid w:val="009A73B3"/>
    <w:rsid w:val="009B1652"/>
    <w:rsid w:val="009B1E36"/>
    <w:rsid w:val="009B23ED"/>
    <w:rsid w:val="009B2428"/>
    <w:rsid w:val="009B5354"/>
    <w:rsid w:val="009B5CB7"/>
    <w:rsid w:val="009B5F2A"/>
    <w:rsid w:val="009C1978"/>
    <w:rsid w:val="009C26BF"/>
    <w:rsid w:val="009C2B6B"/>
    <w:rsid w:val="009C2C4E"/>
    <w:rsid w:val="009C4314"/>
    <w:rsid w:val="009C5094"/>
    <w:rsid w:val="009C7581"/>
    <w:rsid w:val="009D177F"/>
    <w:rsid w:val="009D3609"/>
    <w:rsid w:val="009D79A5"/>
    <w:rsid w:val="009E7A03"/>
    <w:rsid w:val="009F643C"/>
    <w:rsid w:val="00A002E0"/>
    <w:rsid w:val="00A00C97"/>
    <w:rsid w:val="00A023BF"/>
    <w:rsid w:val="00A03137"/>
    <w:rsid w:val="00A0525B"/>
    <w:rsid w:val="00A10B0F"/>
    <w:rsid w:val="00A1173F"/>
    <w:rsid w:val="00A14A70"/>
    <w:rsid w:val="00A14BA0"/>
    <w:rsid w:val="00A14BA2"/>
    <w:rsid w:val="00A20533"/>
    <w:rsid w:val="00A22E9C"/>
    <w:rsid w:val="00A23DA6"/>
    <w:rsid w:val="00A25135"/>
    <w:rsid w:val="00A2515D"/>
    <w:rsid w:val="00A257FE"/>
    <w:rsid w:val="00A26D45"/>
    <w:rsid w:val="00A27B84"/>
    <w:rsid w:val="00A30370"/>
    <w:rsid w:val="00A31242"/>
    <w:rsid w:val="00A32D07"/>
    <w:rsid w:val="00A34E86"/>
    <w:rsid w:val="00A37511"/>
    <w:rsid w:val="00A376E2"/>
    <w:rsid w:val="00A41C65"/>
    <w:rsid w:val="00A41E83"/>
    <w:rsid w:val="00A420DF"/>
    <w:rsid w:val="00A4287A"/>
    <w:rsid w:val="00A475CB"/>
    <w:rsid w:val="00A47779"/>
    <w:rsid w:val="00A50AF6"/>
    <w:rsid w:val="00A51289"/>
    <w:rsid w:val="00A522C6"/>
    <w:rsid w:val="00A52530"/>
    <w:rsid w:val="00A53B27"/>
    <w:rsid w:val="00A53CDA"/>
    <w:rsid w:val="00A551BF"/>
    <w:rsid w:val="00A620D3"/>
    <w:rsid w:val="00A62DD6"/>
    <w:rsid w:val="00A659C6"/>
    <w:rsid w:val="00A70524"/>
    <w:rsid w:val="00A70FEB"/>
    <w:rsid w:val="00A7325B"/>
    <w:rsid w:val="00A73406"/>
    <w:rsid w:val="00A7609D"/>
    <w:rsid w:val="00A775EE"/>
    <w:rsid w:val="00A81531"/>
    <w:rsid w:val="00A85543"/>
    <w:rsid w:val="00A862A3"/>
    <w:rsid w:val="00A91786"/>
    <w:rsid w:val="00A929C6"/>
    <w:rsid w:val="00A967C8"/>
    <w:rsid w:val="00A969EA"/>
    <w:rsid w:val="00AA2F5C"/>
    <w:rsid w:val="00AA4740"/>
    <w:rsid w:val="00AA60B2"/>
    <w:rsid w:val="00AA7E42"/>
    <w:rsid w:val="00AB0FDA"/>
    <w:rsid w:val="00AB268A"/>
    <w:rsid w:val="00AB36A8"/>
    <w:rsid w:val="00AB3816"/>
    <w:rsid w:val="00AB49C0"/>
    <w:rsid w:val="00AB5A57"/>
    <w:rsid w:val="00AB75EB"/>
    <w:rsid w:val="00AC23F7"/>
    <w:rsid w:val="00AC4921"/>
    <w:rsid w:val="00AC574E"/>
    <w:rsid w:val="00AC65DA"/>
    <w:rsid w:val="00AC7964"/>
    <w:rsid w:val="00AD09E4"/>
    <w:rsid w:val="00AD139A"/>
    <w:rsid w:val="00AD3E6E"/>
    <w:rsid w:val="00AD4EAE"/>
    <w:rsid w:val="00AD5E96"/>
    <w:rsid w:val="00AD6199"/>
    <w:rsid w:val="00AD7FF8"/>
    <w:rsid w:val="00AE53DE"/>
    <w:rsid w:val="00AE754D"/>
    <w:rsid w:val="00AF0B9B"/>
    <w:rsid w:val="00AF14A5"/>
    <w:rsid w:val="00AF162D"/>
    <w:rsid w:val="00AF1737"/>
    <w:rsid w:val="00AF73AE"/>
    <w:rsid w:val="00B044F6"/>
    <w:rsid w:val="00B1111D"/>
    <w:rsid w:val="00B14B38"/>
    <w:rsid w:val="00B15457"/>
    <w:rsid w:val="00B20BF8"/>
    <w:rsid w:val="00B20CD4"/>
    <w:rsid w:val="00B235CF"/>
    <w:rsid w:val="00B26A74"/>
    <w:rsid w:val="00B2722A"/>
    <w:rsid w:val="00B317EF"/>
    <w:rsid w:val="00B344D0"/>
    <w:rsid w:val="00B36817"/>
    <w:rsid w:val="00B424EC"/>
    <w:rsid w:val="00B42824"/>
    <w:rsid w:val="00B43A94"/>
    <w:rsid w:val="00B47558"/>
    <w:rsid w:val="00B51BC4"/>
    <w:rsid w:val="00B51F0A"/>
    <w:rsid w:val="00B53FDE"/>
    <w:rsid w:val="00B55DA4"/>
    <w:rsid w:val="00B56476"/>
    <w:rsid w:val="00B618BA"/>
    <w:rsid w:val="00B642AB"/>
    <w:rsid w:val="00B72688"/>
    <w:rsid w:val="00B73638"/>
    <w:rsid w:val="00B75774"/>
    <w:rsid w:val="00B7656C"/>
    <w:rsid w:val="00B76D23"/>
    <w:rsid w:val="00B80342"/>
    <w:rsid w:val="00B82B13"/>
    <w:rsid w:val="00B82BD8"/>
    <w:rsid w:val="00B83954"/>
    <w:rsid w:val="00B8404B"/>
    <w:rsid w:val="00B94A62"/>
    <w:rsid w:val="00B94A66"/>
    <w:rsid w:val="00B94B90"/>
    <w:rsid w:val="00B94FB8"/>
    <w:rsid w:val="00B974BF"/>
    <w:rsid w:val="00B97969"/>
    <w:rsid w:val="00BA022E"/>
    <w:rsid w:val="00BA122B"/>
    <w:rsid w:val="00BA282D"/>
    <w:rsid w:val="00BA4880"/>
    <w:rsid w:val="00BA4D57"/>
    <w:rsid w:val="00BA5D7F"/>
    <w:rsid w:val="00BA7755"/>
    <w:rsid w:val="00BB1002"/>
    <w:rsid w:val="00BB1E2E"/>
    <w:rsid w:val="00BB3026"/>
    <w:rsid w:val="00BB30A9"/>
    <w:rsid w:val="00BB5805"/>
    <w:rsid w:val="00BB5DAB"/>
    <w:rsid w:val="00BB6260"/>
    <w:rsid w:val="00BB737B"/>
    <w:rsid w:val="00BB7893"/>
    <w:rsid w:val="00BC0C75"/>
    <w:rsid w:val="00BC2E7E"/>
    <w:rsid w:val="00BC3B21"/>
    <w:rsid w:val="00BD0D6B"/>
    <w:rsid w:val="00BD26EF"/>
    <w:rsid w:val="00BD4083"/>
    <w:rsid w:val="00BD70D1"/>
    <w:rsid w:val="00BE13AA"/>
    <w:rsid w:val="00BE45C0"/>
    <w:rsid w:val="00BE5181"/>
    <w:rsid w:val="00BE5D3E"/>
    <w:rsid w:val="00BE67D4"/>
    <w:rsid w:val="00BE71E3"/>
    <w:rsid w:val="00BE723F"/>
    <w:rsid w:val="00BF310A"/>
    <w:rsid w:val="00BF43DF"/>
    <w:rsid w:val="00BF7761"/>
    <w:rsid w:val="00C02276"/>
    <w:rsid w:val="00C02895"/>
    <w:rsid w:val="00C05E74"/>
    <w:rsid w:val="00C0701B"/>
    <w:rsid w:val="00C10C19"/>
    <w:rsid w:val="00C10FEE"/>
    <w:rsid w:val="00C143B8"/>
    <w:rsid w:val="00C14E9A"/>
    <w:rsid w:val="00C1555E"/>
    <w:rsid w:val="00C17AE2"/>
    <w:rsid w:val="00C17CA2"/>
    <w:rsid w:val="00C17D02"/>
    <w:rsid w:val="00C2040B"/>
    <w:rsid w:val="00C2230D"/>
    <w:rsid w:val="00C22BEA"/>
    <w:rsid w:val="00C23969"/>
    <w:rsid w:val="00C35E99"/>
    <w:rsid w:val="00C412F6"/>
    <w:rsid w:val="00C4223C"/>
    <w:rsid w:val="00C5046D"/>
    <w:rsid w:val="00C52ACA"/>
    <w:rsid w:val="00C539FB"/>
    <w:rsid w:val="00C5649C"/>
    <w:rsid w:val="00C60064"/>
    <w:rsid w:val="00C623B7"/>
    <w:rsid w:val="00C635D6"/>
    <w:rsid w:val="00C64244"/>
    <w:rsid w:val="00C64A39"/>
    <w:rsid w:val="00C655C7"/>
    <w:rsid w:val="00C71914"/>
    <w:rsid w:val="00C729FA"/>
    <w:rsid w:val="00C7311D"/>
    <w:rsid w:val="00C75486"/>
    <w:rsid w:val="00C75550"/>
    <w:rsid w:val="00C75952"/>
    <w:rsid w:val="00C7736B"/>
    <w:rsid w:val="00C8202C"/>
    <w:rsid w:val="00C85104"/>
    <w:rsid w:val="00C86603"/>
    <w:rsid w:val="00C86CBB"/>
    <w:rsid w:val="00C873B2"/>
    <w:rsid w:val="00C87432"/>
    <w:rsid w:val="00C90A5C"/>
    <w:rsid w:val="00C91669"/>
    <w:rsid w:val="00C9231B"/>
    <w:rsid w:val="00C92351"/>
    <w:rsid w:val="00C92A5B"/>
    <w:rsid w:val="00C94009"/>
    <w:rsid w:val="00C9424B"/>
    <w:rsid w:val="00CA1BD8"/>
    <w:rsid w:val="00CA233B"/>
    <w:rsid w:val="00CA461D"/>
    <w:rsid w:val="00CA46EC"/>
    <w:rsid w:val="00CA54D5"/>
    <w:rsid w:val="00CA5A44"/>
    <w:rsid w:val="00CA6387"/>
    <w:rsid w:val="00CB0B9A"/>
    <w:rsid w:val="00CB388C"/>
    <w:rsid w:val="00CB4C5A"/>
    <w:rsid w:val="00CB6464"/>
    <w:rsid w:val="00CB6976"/>
    <w:rsid w:val="00CC51CE"/>
    <w:rsid w:val="00CC56AD"/>
    <w:rsid w:val="00CD0A8C"/>
    <w:rsid w:val="00CD1CC2"/>
    <w:rsid w:val="00CD4EE6"/>
    <w:rsid w:val="00CD7366"/>
    <w:rsid w:val="00CE1A41"/>
    <w:rsid w:val="00CE421D"/>
    <w:rsid w:val="00CE45BC"/>
    <w:rsid w:val="00CE6F71"/>
    <w:rsid w:val="00CE748B"/>
    <w:rsid w:val="00CF0661"/>
    <w:rsid w:val="00CF0DAF"/>
    <w:rsid w:val="00CF2146"/>
    <w:rsid w:val="00CF3C0E"/>
    <w:rsid w:val="00CF4861"/>
    <w:rsid w:val="00CF53E9"/>
    <w:rsid w:val="00CF6843"/>
    <w:rsid w:val="00D0045E"/>
    <w:rsid w:val="00D025EF"/>
    <w:rsid w:val="00D04B00"/>
    <w:rsid w:val="00D05B29"/>
    <w:rsid w:val="00D0674B"/>
    <w:rsid w:val="00D06F36"/>
    <w:rsid w:val="00D11476"/>
    <w:rsid w:val="00D1394D"/>
    <w:rsid w:val="00D22DB8"/>
    <w:rsid w:val="00D237F7"/>
    <w:rsid w:val="00D248B7"/>
    <w:rsid w:val="00D2551F"/>
    <w:rsid w:val="00D2602A"/>
    <w:rsid w:val="00D276D5"/>
    <w:rsid w:val="00D30186"/>
    <w:rsid w:val="00D33AAC"/>
    <w:rsid w:val="00D3423F"/>
    <w:rsid w:val="00D353C8"/>
    <w:rsid w:val="00D35C4B"/>
    <w:rsid w:val="00D40746"/>
    <w:rsid w:val="00D44DE8"/>
    <w:rsid w:val="00D45B97"/>
    <w:rsid w:val="00D46A65"/>
    <w:rsid w:val="00D47740"/>
    <w:rsid w:val="00D47B09"/>
    <w:rsid w:val="00D5327C"/>
    <w:rsid w:val="00D6160F"/>
    <w:rsid w:val="00D646F9"/>
    <w:rsid w:val="00D65D9B"/>
    <w:rsid w:val="00D65DFF"/>
    <w:rsid w:val="00D72D0F"/>
    <w:rsid w:val="00D748C2"/>
    <w:rsid w:val="00D75377"/>
    <w:rsid w:val="00D76F79"/>
    <w:rsid w:val="00D77DD6"/>
    <w:rsid w:val="00D8055C"/>
    <w:rsid w:val="00D805F9"/>
    <w:rsid w:val="00D8098E"/>
    <w:rsid w:val="00D812B9"/>
    <w:rsid w:val="00D823C7"/>
    <w:rsid w:val="00D83B62"/>
    <w:rsid w:val="00D86FE6"/>
    <w:rsid w:val="00D8773C"/>
    <w:rsid w:val="00D903FD"/>
    <w:rsid w:val="00D91806"/>
    <w:rsid w:val="00D924FC"/>
    <w:rsid w:val="00D94BC5"/>
    <w:rsid w:val="00D96033"/>
    <w:rsid w:val="00D96C08"/>
    <w:rsid w:val="00D97421"/>
    <w:rsid w:val="00DA633A"/>
    <w:rsid w:val="00DA7E93"/>
    <w:rsid w:val="00DB170F"/>
    <w:rsid w:val="00DB1ACF"/>
    <w:rsid w:val="00DC2F30"/>
    <w:rsid w:val="00DC3052"/>
    <w:rsid w:val="00DC32A1"/>
    <w:rsid w:val="00DC468A"/>
    <w:rsid w:val="00DD20EB"/>
    <w:rsid w:val="00DD7A5D"/>
    <w:rsid w:val="00DE1F4D"/>
    <w:rsid w:val="00DE6A24"/>
    <w:rsid w:val="00DE6DE3"/>
    <w:rsid w:val="00DF074F"/>
    <w:rsid w:val="00DF42D2"/>
    <w:rsid w:val="00DF46C4"/>
    <w:rsid w:val="00DF4CA3"/>
    <w:rsid w:val="00E013D1"/>
    <w:rsid w:val="00E018C2"/>
    <w:rsid w:val="00E01DED"/>
    <w:rsid w:val="00E022B4"/>
    <w:rsid w:val="00E02725"/>
    <w:rsid w:val="00E05B12"/>
    <w:rsid w:val="00E063FC"/>
    <w:rsid w:val="00E11A3B"/>
    <w:rsid w:val="00E12155"/>
    <w:rsid w:val="00E12C3F"/>
    <w:rsid w:val="00E15045"/>
    <w:rsid w:val="00E15451"/>
    <w:rsid w:val="00E16F98"/>
    <w:rsid w:val="00E21344"/>
    <w:rsid w:val="00E23A25"/>
    <w:rsid w:val="00E24215"/>
    <w:rsid w:val="00E277DD"/>
    <w:rsid w:val="00E31F06"/>
    <w:rsid w:val="00E330F2"/>
    <w:rsid w:val="00E3361A"/>
    <w:rsid w:val="00E347E2"/>
    <w:rsid w:val="00E411A6"/>
    <w:rsid w:val="00E4364A"/>
    <w:rsid w:val="00E43DAE"/>
    <w:rsid w:val="00E45035"/>
    <w:rsid w:val="00E464BF"/>
    <w:rsid w:val="00E467CC"/>
    <w:rsid w:val="00E46F41"/>
    <w:rsid w:val="00E47ED5"/>
    <w:rsid w:val="00E502FB"/>
    <w:rsid w:val="00E511C0"/>
    <w:rsid w:val="00E520D5"/>
    <w:rsid w:val="00E54693"/>
    <w:rsid w:val="00E563AB"/>
    <w:rsid w:val="00E569C0"/>
    <w:rsid w:val="00E668C4"/>
    <w:rsid w:val="00E67071"/>
    <w:rsid w:val="00E670E4"/>
    <w:rsid w:val="00E7081C"/>
    <w:rsid w:val="00E70842"/>
    <w:rsid w:val="00E71E92"/>
    <w:rsid w:val="00E77DC4"/>
    <w:rsid w:val="00E802D4"/>
    <w:rsid w:val="00E803BF"/>
    <w:rsid w:val="00E82947"/>
    <w:rsid w:val="00E87223"/>
    <w:rsid w:val="00E87A1C"/>
    <w:rsid w:val="00E924D0"/>
    <w:rsid w:val="00E92D4B"/>
    <w:rsid w:val="00E936C9"/>
    <w:rsid w:val="00E96636"/>
    <w:rsid w:val="00EA535C"/>
    <w:rsid w:val="00EA5922"/>
    <w:rsid w:val="00EA69D9"/>
    <w:rsid w:val="00EA7CE1"/>
    <w:rsid w:val="00EB2800"/>
    <w:rsid w:val="00EB574F"/>
    <w:rsid w:val="00EC2999"/>
    <w:rsid w:val="00EC6209"/>
    <w:rsid w:val="00EC6D6F"/>
    <w:rsid w:val="00EC78E7"/>
    <w:rsid w:val="00ED43D2"/>
    <w:rsid w:val="00ED5617"/>
    <w:rsid w:val="00ED5B0A"/>
    <w:rsid w:val="00ED7E3C"/>
    <w:rsid w:val="00EE162D"/>
    <w:rsid w:val="00EE1ABD"/>
    <w:rsid w:val="00EE2DB9"/>
    <w:rsid w:val="00EE3B8C"/>
    <w:rsid w:val="00EE3C16"/>
    <w:rsid w:val="00EE4FCA"/>
    <w:rsid w:val="00EE5DF7"/>
    <w:rsid w:val="00EE5EF9"/>
    <w:rsid w:val="00EF2448"/>
    <w:rsid w:val="00EF4A38"/>
    <w:rsid w:val="00EF55A7"/>
    <w:rsid w:val="00EF5845"/>
    <w:rsid w:val="00EF786F"/>
    <w:rsid w:val="00F00978"/>
    <w:rsid w:val="00F03125"/>
    <w:rsid w:val="00F03C4A"/>
    <w:rsid w:val="00F03E11"/>
    <w:rsid w:val="00F06899"/>
    <w:rsid w:val="00F077BD"/>
    <w:rsid w:val="00F11B8F"/>
    <w:rsid w:val="00F12C18"/>
    <w:rsid w:val="00F17E82"/>
    <w:rsid w:val="00F211A2"/>
    <w:rsid w:val="00F21C3C"/>
    <w:rsid w:val="00F21D3A"/>
    <w:rsid w:val="00F234FE"/>
    <w:rsid w:val="00F26C50"/>
    <w:rsid w:val="00F35398"/>
    <w:rsid w:val="00F35CAC"/>
    <w:rsid w:val="00F35F09"/>
    <w:rsid w:val="00F36066"/>
    <w:rsid w:val="00F361F8"/>
    <w:rsid w:val="00F37806"/>
    <w:rsid w:val="00F416A5"/>
    <w:rsid w:val="00F43338"/>
    <w:rsid w:val="00F464C5"/>
    <w:rsid w:val="00F46679"/>
    <w:rsid w:val="00F47193"/>
    <w:rsid w:val="00F51ADF"/>
    <w:rsid w:val="00F541FF"/>
    <w:rsid w:val="00F573D9"/>
    <w:rsid w:val="00F6442A"/>
    <w:rsid w:val="00F65065"/>
    <w:rsid w:val="00F66769"/>
    <w:rsid w:val="00F70DB4"/>
    <w:rsid w:val="00F74011"/>
    <w:rsid w:val="00F74C4F"/>
    <w:rsid w:val="00F7538E"/>
    <w:rsid w:val="00F80CFC"/>
    <w:rsid w:val="00F81E04"/>
    <w:rsid w:val="00F87C1B"/>
    <w:rsid w:val="00F9103C"/>
    <w:rsid w:val="00F94B1F"/>
    <w:rsid w:val="00F97BC7"/>
    <w:rsid w:val="00FA4679"/>
    <w:rsid w:val="00FB10CB"/>
    <w:rsid w:val="00FB117F"/>
    <w:rsid w:val="00FB337F"/>
    <w:rsid w:val="00FB4554"/>
    <w:rsid w:val="00FB5E22"/>
    <w:rsid w:val="00FB6526"/>
    <w:rsid w:val="00FC1A40"/>
    <w:rsid w:val="00FC2818"/>
    <w:rsid w:val="00FC3E6A"/>
    <w:rsid w:val="00FC56D6"/>
    <w:rsid w:val="00FD1B56"/>
    <w:rsid w:val="00FD6874"/>
    <w:rsid w:val="00FD6B43"/>
    <w:rsid w:val="00FE120A"/>
    <w:rsid w:val="00FE55DC"/>
    <w:rsid w:val="00FE5AF1"/>
    <w:rsid w:val="00FE6CFF"/>
    <w:rsid w:val="00FE73FE"/>
    <w:rsid w:val="00FE7D1D"/>
    <w:rsid w:val="00FF2949"/>
    <w:rsid w:val="00FF2B14"/>
    <w:rsid w:val="00FF73F0"/>
    <w:rsid w:val="00FF782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112B61"/>
    <w:pPr>
      <w:spacing w:before="120" w:after="0"/>
    </w:pPr>
    <w:rPr>
      <w:rFonts w:cstheme="minorHAnsi"/>
      <w:b/>
      <w:bCs/>
      <w:i/>
      <w:iCs/>
      <w:sz w:val="24"/>
      <w:szCs w:val="24"/>
    </w:rPr>
  </w:style>
  <w:style w:type="paragraph" w:styleId="TOC2">
    <w:name w:val="toc 2"/>
    <w:basedOn w:val="Normal"/>
    <w:next w:val="Normal"/>
    <w:autoRedefine/>
    <w:uiPriority w:val="39"/>
    <w:unhideWhenUsed/>
    <w:qFormat/>
    <w:rsid w:val="00EF4A38"/>
    <w:pPr>
      <w:spacing w:before="120" w:after="0"/>
      <w:ind w:left="220"/>
    </w:pPr>
    <w:rPr>
      <w:rFonts w:cstheme="minorHAnsi"/>
      <w:b/>
      <w:bCs/>
    </w:rPr>
  </w:style>
  <w:style w:type="paragraph" w:styleId="TOC3">
    <w:name w:val="toc 3"/>
    <w:basedOn w:val="Normal"/>
    <w:next w:val="Normal"/>
    <w:autoRedefine/>
    <w:uiPriority w:val="39"/>
    <w:unhideWhenUsed/>
    <w:qFormat/>
    <w:rsid w:val="00EF4A38"/>
    <w:pPr>
      <w:spacing w:after="0"/>
      <w:ind w:left="440"/>
    </w:pPr>
    <w:rPr>
      <w:rFonts w:cstheme="minorHAnsi"/>
      <w:sz w:val="20"/>
      <w:szCs w:val="20"/>
    </w:rPr>
  </w:style>
  <w:style w:type="paragraph" w:styleId="Caption">
    <w:name w:val="caption"/>
    <w:next w:val="Normal"/>
    <w:uiPriority w:val="35"/>
    <w:unhideWhenUsed/>
    <w:rsid w:val="00E02725"/>
    <w:pPr>
      <w:keepNext/>
      <w:spacing w:before="240" w:after="120"/>
    </w:pPr>
    <w:rPr>
      <w:rFonts w:ascii="Calibri" w:eastAsiaTheme="majorEastAsia" w:hAnsi="Calibri" w:cstheme="majorBidi"/>
      <w:b/>
      <w:bCs/>
      <w:i/>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TOC4">
    <w:name w:val="toc 4"/>
    <w:basedOn w:val="Normal"/>
    <w:next w:val="Normal"/>
    <w:autoRedefine/>
    <w:uiPriority w:val="39"/>
    <w:unhideWhenUsed/>
    <w:rsid w:val="00952C5E"/>
    <w:pPr>
      <w:spacing w:after="0"/>
      <w:ind w:left="660"/>
    </w:pPr>
    <w:rPr>
      <w:rFonts w:cstheme="minorHAnsi"/>
      <w:sz w:val="20"/>
      <w:szCs w:val="20"/>
    </w:rPr>
  </w:style>
  <w:style w:type="paragraph" w:styleId="TOC5">
    <w:name w:val="toc 5"/>
    <w:basedOn w:val="Normal"/>
    <w:next w:val="Normal"/>
    <w:autoRedefine/>
    <w:uiPriority w:val="39"/>
    <w:unhideWhenUsed/>
    <w:rsid w:val="00952C5E"/>
    <w:pPr>
      <w:spacing w:after="0"/>
      <w:ind w:left="880"/>
    </w:pPr>
    <w:rPr>
      <w:rFonts w:cstheme="minorHAnsi"/>
      <w:sz w:val="20"/>
      <w:szCs w:val="20"/>
    </w:rPr>
  </w:style>
  <w:style w:type="paragraph" w:styleId="TOC6">
    <w:name w:val="toc 6"/>
    <w:basedOn w:val="Normal"/>
    <w:next w:val="Normal"/>
    <w:autoRedefine/>
    <w:uiPriority w:val="39"/>
    <w:unhideWhenUsed/>
    <w:rsid w:val="00952C5E"/>
    <w:pPr>
      <w:spacing w:after="0"/>
      <w:ind w:left="1100"/>
    </w:pPr>
    <w:rPr>
      <w:rFonts w:cstheme="minorHAnsi"/>
      <w:sz w:val="20"/>
      <w:szCs w:val="20"/>
    </w:rPr>
  </w:style>
  <w:style w:type="paragraph" w:styleId="TOC7">
    <w:name w:val="toc 7"/>
    <w:basedOn w:val="Normal"/>
    <w:next w:val="Normal"/>
    <w:autoRedefine/>
    <w:uiPriority w:val="39"/>
    <w:unhideWhenUsed/>
    <w:rsid w:val="00952C5E"/>
    <w:pPr>
      <w:spacing w:after="0"/>
      <w:ind w:left="1320"/>
    </w:pPr>
    <w:rPr>
      <w:rFonts w:cstheme="minorHAnsi"/>
      <w:sz w:val="20"/>
      <w:szCs w:val="20"/>
    </w:rPr>
  </w:style>
  <w:style w:type="paragraph" w:styleId="TOC8">
    <w:name w:val="toc 8"/>
    <w:basedOn w:val="Normal"/>
    <w:next w:val="Normal"/>
    <w:autoRedefine/>
    <w:uiPriority w:val="39"/>
    <w:unhideWhenUsed/>
    <w:rsid w:val="00952C5E"/>
    <w:pPr>
      <w:spacing w:after="0"/>
      <w:ind w:left="1540"/>
    </w:pPr>
    <w:rPr>
      <w:rFonts w:cstheme="minorHAnsi"/>
      <w:sz w:val="20"/>
      <w:szCs w:val="20"/>
    </w:rPr>
  </w:style>
  <w:style w:type="paragraph" w:styleId="TOC9">
    <w:name w:val="toc 9"/>
    <w:basedOn w:val="Normal"/>
    <w:next w:val="Normal"/>
    <w:autoRedefine/>
    <w:uiPriority w:val="39"/>
    <w:unhideWhenUsed/>
    <w:rsid w:val="00952C5E"/>
    <w:pPr>
      <w:spacing w:after="0"/>
      <w:ind w:left="1760"/>
    </w:pPr>
    <w:rPr>
      <w:rFonts w:cstheme="minorHAnsi"/>
      <w:sz w:val="20"/>
      <w:szCs w:val="20"/>
    </w:rPr>
  </w:style>
  <w:style w:type="character" w:styleId="CommentReference">
    <w:name w:val="annotation reference"/>
    <w:basedOn w:val="DefaultParagraphFont"/>
    <w:uiPriority w:val="99"/>
    <w:semiHidden/>
    <w:unhideWhenUsed/>
    <w:rsid w:val="003A0C66"/>
    <w:rPr>
      <w:sz w:val="18"/>
      <w:szCs w:val="18"/>
    </w:rPr>
  </w:style>
  <w:style w:type="paragraph" w:styleId="CommentText">
    <w:name w:val="annotation text"/>
    <w:basedOn w:val="Normal"/>
    <w:link w:val="CommentTextChar"/>
    <w:uiPriority w:val="99"/>
    <w:unhideWhenUsed/>
    <w:rsid w:val="003A0C66"/>
    <w:pPr>
      <w:spacing w:line="240" w:lineRule="auto"/>
    </w:pPr>
    <w:rPr>
      <w:sz w:val="24"/>
      <w:szCs w:val="24"/>
    </w:rPr>
  </w:style>
  <w:style w:type="character" w:customStyle="1" w:styleId="CommentTextChar">
    <w:name w:val="Comment Text Char"/>
    <w:basedOn w:val="DefaultParagraphFont"/>
    <w:link w:val="CommentText"/>
    <w:uiPriority w:val="99"/>
    <w:rsid w:val="003A0C66"/>
    <w:rPr>
      <w:sz w:val="24"/>
      <w:szCs w:val="24"/>
    </w:rPr>
  </w:style>
  <w:style w:type="paragraph" w:styleId="CommentSubject">
    <w:name w:val="annotation subject"/>
    <w:basedOn w:val="CommentText"/>
    <w:next w:val="CommentText"/>
    <w:link w:val="CommentSubjectChar"/>
    <w:uiPriority w:val="99"/>
    <w:semiHidden/>
    <w:unhideWhenUsed/>
    <w:rsid w:val="003A0C66"/>
    <w:rPr>
      <w:b/>
      <w:bCs/>
      <w:sz w:val="20"/>
      <w:szCs w:val="20"/>
    </w:rPr>
  </w:style>
  <w:style w:type="character" w:customStyle="1" w:styleId="CommentSubjectChar">
    <w:name w:val="Comment Subject Char"/>
    <w:basedOn w:val="CommentTextChar"/>
    <w:link w:val="CommentSubject"/>
    <w:uiPriority w:val="99"/>
    <w:semiHidden/>
    <w:rsid w:val="003A0C66"/>
    <w:rPr>
      <w:b/>
      <w:bCs/>
      <w:sz w:val="20"/>
      <w:szCs w:val="20"/>
    </w:rPr>
  </w:style>
  <w:style w:type="character" w:styleId="PageNumber">
    <w:name w:val="page number"/>
    <w:basedOn w:val="DefaultParagraphFont"/>
    <w:uiPriority w:val="99"/>
    <w:semiHidden/>
    <w:unhideWhenUsed/>
    <w:rsid w:val="0043692A"/>
  </w:style>
  <w:style w:type="paragraph" w:customStyle="1" w:styleId="box">
    <w:name w:val="box"/>
    <w:basedOn w:val="Normal"/>
    <w:qFormat/>
    <w:rsid w:val="000E5583"/>
    <w:pPr>
      <w:pBdr>
        <w:top w:val="single" w:sz="48" w:space="1" w:color="E5E5E5" w:themeColor="background1" w:themeTint="33"/>
        <w:left w:val="single" w:sz="48" w:space="4" w:color="E5E5E5" w:themeColor="background1" w:themeTint="33"/>
        <w:bottom w:val="single" w:sz="48" w:space="1" w:color="E5E5E5" w:themeColor="background1" w:themeTint="33"/>
        <w:right w:val="single" w:sz="48" w:space="4" w:color="E5E5E5" w:themeColor="background1" w:themeTint="33"/>
      </w:pBdr>
      <w:shd w:val="clear" w:color="auto" w:fill="E5E5E5" w:themeFill="background1" w:themeFillTint="33"/>
      <w:spacing w:before="200"/>
    </w:pPr>
  </w:style>
  <w:style w:type="paragraph" w:styleId="TableofFigures">
    <w:name w:val="table of figures"/>
    <w:basedOn w:val="Normal"/>
    <w:next w:val="Normal"/>
    <w:uiPriority w:val="99"/>
    <w:unhideWhenUsed/>
    <w:rsid w:val="00774B33"/>
    <w:pPr>
      <w:ind w:left="440" w:hanging="440"/>
    </w:pPr>
    <w:rPr>
      <w:b/>
    </w:rPr>
  </w:style>
  <w:style w:type="table" w:styleId="LightShading-Accent2">
    <w:name w:val="Light Shading Accent 2"/>
    <w:basedOn w:val="TableNormal"/>
    <w:uiPriority w:val="60"/>
    <w:rsid w:val="00FD1B56"/>
    <w:pPr>
      <w:spacing w:after="0" w:line="240" w:lineRule="auto"/>
    </w:pPr>
    <w:rPr>
      <w:color w:val="422856" w:themeColor="accent2" w:themeShade="BF"/>
    </w:rPr>
    <w:tblPr>
      <w:tblStyleRowBandSize w:val="1"/>
      <w:tblStyleColBandSize w:val="1"/>
      <w:tblBorders>
        <w:top w:val="single" w:sz="8" w:space="0" w:color="593674" w:themeColor="accent2"/>
        <w:bottom w:val="single" w:sz="8" w:space="0" w:color="593674" w:themeColor="accent2"/>
      </w:tblBorders>
    </w:tblPr>
    <w:tblStylePr w:type="firstRow">
      <w:pPr>
        <w:spacing w:before="0" w:after="0" w:line="240" w:lineRule="auto"/>
      </w:pPr>
      <w:rPr>
        <w:b/>
        <w:bCs/>
      </w:rPr>
      <w:tblPr/>
      <w:tcPr>
        <w:tcBorders>
          <w:top w:val="single" w:sz="8" w:space="0" w:color="593674" w:themeColor="accent2"/>
          <w:left w:val="nil"/>
          <w:bottom w:val="single" w:sz="8" w:space="0" w:color="593674" w:themeColor="accent2"/>
          <w:right w:val="nil"/>
          <w:insideH w:val="nil"/>
          <w:insideV w:val="nil"/>
        </w:tcBorders>
      </w:tcPr>
    </w:tblStylePr>
    <w:tblStylePr w:type="lastRow">
      <w:pPr>
        <w:spacing w:before="0" w:after="0" w:line="240" w:lineRule="auto"/>
      </w:pPr>
      <w:rPr>
        <w:b/>
        <w:bCs/>
      </w:rPr>
      <w:tblPr/>
      <w:tcPr>
        <w:tcBorders>
          <w:top w:val="single" w:sz="8" w:space="0" w:color="593674" w:themeColor="accent2"/>
          <w:left w:val="nil"/>
          <w:bottom w:val="single" w:sz="8" w:space="0" w:color="59367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C5E4" w:themeFill="accent2" w:themeFillTint="3F"/>
      </w:tcPr>
    </w:tblStylePr>
    <w:tblStylePr w:type="band1Horz">
      <w:tblPr/>
      <w:tcPr>
        <w:tcBorders>
          <w:left w:val="nil"/>
          <w:right w:val="nil"/>
          <w:insideH w:val="nil"/>
          <w:insideV w:val="nil"/>
        </w:tcBorders>
        <w:shd w:val="clear" w:color="auto" w:fill="D6C5E4" w:themeFill="accent2" w:themeFillTint="3F"/>
      </w:tcPr>
    </w:tblStylePr>
  </w:style>
  <w:style w:type="table" w:styleId="LightList-Accent2">
    <w:name w:val="Light List Accent 2"/>
    <w:basedOn w:val="TableNormal"/>
    <w:uiPriority w:val="61"/>
    <w:rsid w:val="00FD1B56"/>
    <w:pPr>
      <w:spacing w:after="0" w:line="240" w:lineRule="auto"/>
    </w:pPr>
    <w:tblPr>
      <w:tblStyleRowBandSize w:val="1"/>
      <w:tblStyleColBandSize w:val="1"/>
      <w:tblBorders>
        <w:top w:val="single" w:sz="8" w:space="0" w:color="593674" w:themeColor="accent2"/>
        <w:left w:val="single" w:sz="8" w:space="0" w:color="593674" w:themeColor="accent2"/>
        <w:bottom w:val="single" w:sz="8" w:space="0" w:color="593674" w:themeColor="accent2"/>
        <w:right w:val="single" w:sz="8" w:space="0" w:color="593674" w:themeColor="accent2"/>
      </w:tblBorders>
    </w:tblPr>
    <w:tblStylePr w:type="firstRow">
      <w:pPr>
        <w:spacing w:before="0" w:after="0" w:line="240" w:lineRule="auto"/>
      </w:pPr>
      <w:rPr>
        <w:b/>
        <w:bCs/>
        <w:color w:val="7F7F7F" w:themeColor="background1"/>
      </w:rPr>
      <w:tblPr/>
      <w:tcPr>
        <w:shd w:val="clear" w:color="auto" w:fill="593674" w:themeFill="accent2"/>
      </w:tcPr>
    </w:tblStylePr>
    <w:tblStylePr w:type="lastRow">
      <w:pPr>
        <w:spacing w:before="0" w:after="0" w:line="240" w:lineRule="auto"/>
      </w:pPr>
      <w:rPr>
        <w:b/>
        <w:bCs/>
      </w:rPr>
      <w:tblPr/>
      <w:tcPr>
        <w:tcBorders>
          <w:top w:val="double" w:sz="6" w:space="0" w:color="593674" w:themeColor="accent2"/>
          <w:left w:val="single" w:sz="8" w:space="0" w:color="593674" w:themeColor="accent2"/>
          <w:bottom w:val="single" w:sz="8" w:space="0" w:color="593674" w:themeColor="accent2"/>
          <w:right w:val="single" w:sz="8" w:space="0" w:color="593674" w:themeColor="accent2"/>
        </w:tcBorders>
      </w:tcPr>
    </w:tblStylePr>
    <w:tblStylePr w:type="firstCol">
      <w:rPr>
        <w:b/>
        <w:bCs/>
      </w:rPr>
    </w:tblStylePr>
    <w:tblStylePr w:type="lastCol">
      <w:rPr>
        <w:b/>
        <w:bCs/>
      </w:rPr>
    </w:tblStylePr>
    <w:tblStylePr w:type="band1Vert">
      <w:tblPr/>
      <w:tcPr>
        <w:tcBorders>
          <w:top w:val="single" w:sz="8" w:space="0" w:color="593674" w:themeColor="accent2"/>
          <w:left w:val="single" w:sz="8" w:space="0" w:color="593674" w:themeColor="accent2"/>
          <w:bottom w:val="single" w:sz="8" w:space="0" w:color="593674" w:themeColor="accent2"/>
          <w:right w:val="single" w:sz="8" w:space="0" w:color="593674" w:themeColor="accent2"/>
        </w:tcBorders>
      </w:tcPr>
    </w:tblStylePr>
    <w:tblStylePr w:type="band1Horz">
      <w:tblPr/>
      <w:tcPr>
        <w:tcBorders>
          <w:top w:val="single" w:sz="8" w:space="0" w:color="593674" w:themeColor="accent2"/>
          <w:left w:val="single" w:sz="8" w:space="0" w:color="593674" w:themeColor="accent2"/>
          <w:bottom w:val="single" w:sz="8" w:space="0" w:color="593674" w:themeColor="accent2"/>
          <w:right w:val="single" w:sz="8" w:space="0" w:color="593674" w:themeColor="accent2"/>
        </w:tcBorders>
      </w:tcPr>
    </w:tblStylePr>
  </w:style>
  <w:style w:type="paragraph" w:styleId="Revision">
    <w:name w:val="Revision"/>
    <w:hidden/>
    <w:uiPriority w:val="99"/>
    <w:semiHidden/>
    <w:rsid w:val="00F65065"/>
    <w:pPr>
      <w:spacing w:after="0" w:line="240" w:lineRule="auto"/>
    </w:pPr>
  </w:style>
  <w:style w:type="paragraph" w:styleId="FootnoteText">
    <w:name w:val="footnote text"/>
    <w:basedOn w:val="Normal"/>
    <w:link w:val="FootnoteTextChar"/>
    <w:uiPriority w:val="99"/>
    <w:unhideWhenUsed/>
    <w:rsid w:val="00EF786F"/>
    <w:pPr>
      <w:spacing w:after="0" w:line="240" w:lineRule="auto"/>
    </w:pPr>
    <w:rPr>
      <w:sz w:val="20"/>
      <w:szCs w:val="20"/>
    </w:rPr>
  </w:style>
  <w:style w:type="character" w:customStyle="1" w:styleId="FootnoteTextChar">
    <w:name w:val="Footnote Text Char"/>
    <w:basedOn w:val="DefaultParagraphFont"/>
    <w:link w:val="FootnoteText"/>
    <w:uiPriority w:val="99"/>
    <w:rsid w:val="00EF786F"/>
    <w:rPr>
      <w:sz w:val="20"/>
      <w:szCs w:val="20"/>
    </w:rPr>
  </w:style>
  <w:style w:type="character" w:styleId="FootnoteReference">
    <w:name w:val="footnote reference"/>
    <w:basedOn w:val="DefaultParagraphFont"/>
    <w:uiPriority w:val="99"/>
    <w:unhideWhenUsed/>
    <w:rsid w:val="00EF786F"/>
    <w:rPr>
      <w:vertAlign w:val="superscript"/>
    </w:rPr>
  </w:style>
  <w:style w:type="character" w:styleId="FollowedHyperlink">
    <w:name w:val="FollowedHyperlink"/>
    <w:basedOn w:val="DefaultParagraphFont"/>
    <w:uiPriority w:val="99"/>
    <w:semiHidden/>
    <w:unhideWhenUsed/>
    <w:rsid w:val="00D44DE8"/>
    <w:rPr>
      <w:color w:val="000000" w:themeColor="followedHyperlink"/>
      <w:u w:val="single"/>
    </w:rPr>
  </w:style>
  <w:style w:type="paragraph" w:customStyle="1" w:styleId="Brief-BULLET">
    <w:name w:val="Brief - BULLET"/>
    <w:basedOn w:val="Normal"/>
    <w:rsid w:val="00F464C5"/>
    <w:pPr>
      <w:numPr>
        <w:numId w:val="41"/>
      </w:numPr>
      <w:spacing w:after="0" w:line="230" w:lineRule="exact"/>
    </w:pPr>
    <w:rPr>
      <w:rFonts w:ascii="Times New Roman" w:eastAsia="Times New Roman" w:hAnsi="Times New Roman" w:cs="Times New Roman"/>
      <w:szCs w:val="20"/>
    </w:rPr>
  </w:style>
  <w:style w:type="paragraph" w:styleId="PlainText">
    <w:name w:val="Plain Text"/>
    <w:basedOn w:val="Normal"/>
    <w:link w:val="PlainTextChar"/>
    <w:uiPriority w:val="99"/>
    <w:unhideWhenUsed/>
    <w:rsid w:val="00467FF9"/>
    <w:pPr>
      <w:spacing w:after="0" w:line="240" w:lineRule="auto"/>
    </w:pPr>
    <w:rPr>
      <w:rFonts w:ascii="Calibri" w:eastAsia="Times New Roman" w:hAnsi="Calibri" w:cs="Consolas"/>
      <w:szCs w:val="21"/>
    </w:rPr>
  </w:style>
  <w:style w:type="character" w:customStyle="1" w:styleId="PlainTextChar">
    <w:name w:val="Plain Text Char"/>
    <w:basedOn w:val="DefaultParagraphFont"/>
    <w:link w:val="PlainText"/>
    <w:uiPriority w:val="99"/>
    <w:rsid w:val="00467FF9"/>
    <w:rPr>
      <w:rFonts w:ascii="Calibri" w:eastAsia="Times New Roman" w:hAnsi="Calibri" w:cs="Consolas"/>
      <w:szCs w:val="21"/>
    </w:rPr>
  </w:style>
  <w:style w:type="table" w:styleId="LightGrid-Accent2">
    <w:name w:val="Light Grid Accent 2"/>
    <w:basedOn w:val="TableNormal"/>
    <w:uiPriority w:val="62"/>
    <w:rsid w:val="001F3061"/>
    <w:pPr>
      <w:spacing w:after="0" w:line="240" w:lineRule="auto"/>
    </w:pPr>
    <w:tblPr>
      <w:tblStyleRowBandSize w:val="1"/>
      <w:tblStyleColBandSize w:val="1"/>
      <w:tblBorders>
        <w:top w:val="single" w:sz="8" w:space="0" w:color="593674" w:themeColor="accent2"/>
        <w:left w:val="single" w:sz="8" w:space="0" w:color="593674" w:themeColor="accent2"/>
        <w:bottom w:val="single" w:sz="8" w:space="0" w:color="593674" w:themeColor="accent2"/>
        <w:right w:val="single" w:sz="8" w:space="0" w:color="593674" w:themeColor="accent2"/>
        <w:insideH w:val="single" w:sz="8" w:space="0" w:color="593674" w:themeColor="accent2"/>
        <w:insideV w:val="single" w:sz="8" w:space="0" w:color="59367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3674" w:themeColor="accent2"/>
          <w:left w:val="single" w:sz="8" w:space="0" w:color="593674" w:themeColor="accent2"/>
          <w:bottom w:val="single" w:sz="18" w:space="0" w:color="593674" w:themeColor="accent2"/>
          <w:right w:val="single" w:sz="8" w:space="0" w:color="593674" w:themeColor="accent2"/>
          <w:insideH w:val="nil"/>
          <w:insideV w:val="single" w:sz="8" w:space="0" w:color="59367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3674" w:themeColor="accent2"/>
          <w:left w:val="single" w:sz="8" w:space="0" w:color="593674" w:themeColor="accent2"/>
          <w:bottom w:val="single" w:sz="8" w:space="0" w:color="593674" w:themeColor="accent2"/>
          <w:right w:val="single" w:sz="8" w:space="0" w:color="593674" w:themeColor="accent2"/>
          <w:insideH w:val="nil"/>
          <w:insideV w:val="single" w:sz="8" w:space="0" w:color="59367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3674" w:themeColor="accent2"/>
          <w:left w:val="single" w:sz="8" w:space="0" w:color="593674" w:themeColor="accent2"/>
          <w:bottom w:val="single" w:sz="8" w:space="0" w:color="593674" w:themeColor="accent2"/>
          <w:right w:val="single" w:sz="8" w:space="0" w:color="593674" w:themeColor="accent2"/>
        </w:tcBorders>
      </w:tcPr>
    </w:tblStylePr>
    <w:tblStylePr w:type="band1Vert">
      <w:tblPr/>
      <w:tcPr>
        <w:tcBorders>
          <w:top w:val="single" w:sz="8" w:space="0" w:color="593674" w:themeColor="accent2"/>
          <w:left w:val="single" w:sz="8" w:space="0" w:color="593674" w:themeColor="accent2"/>
          <w:bottom w:val="single" w:sz="8" w:space="0" w:color="593674" w:themeColor="accent2"/>
          <w:right w:val="single" w:sz="8" w:space="0" w:color="593674" w:themeColor="accent2"/>
        </w:tcBorders>
        <w:shd w:val="clear" w:color="auto" w:fill="D6C5E4" w:themeFill="accent2" w:themeFillTint="3F"/>
      </w:tcPr>
    </w:tblStylePr>
    <w:tblStylePr w:type="band1Horz">
      <w:tblPr/>
      <w:tcPr>
        <w:tcBorders>
          <w:top w:val="single" w:sz="8" w:space="0" w:color="593674" w:themeColor="accent2"/>
          <w:left w:val="single" w:sz="8" w:space="0" w:color="593674" w:themeColor="accent2"/>
          <w:bottom w:val="single" w:sz="8" w:space="0" w:color="593674" w:themeColor="accent2"/>
          <w:right w:val="single" w:sz="8" w:space="0" w:color="593674" w:themeColor="accent2"/>
          <w:insideV w:val="single" w:sz="8" w:space="0" w:color="593674" w:themeColor="accent2"/>
        </w:tcBorders>
        <w:shd w:val="clear" w:color="auto" w:fill="D6C5E4" w:themeFill="accent2" w:themeFillTint="3F"/>
      </w:tcPr>
    </w:tblStylePr>
    <w:tblStylePr w:type="band2Horz">
      <w:tblPr/>
      <w:tcPr>
        <w:tcBorders>
          <w:top w:val="single" w:sz="8" w:space="0" w:color="593674" w:themeColor="accent2"/>
          <w:left w:val="single" w:sz="8" w:space="0" w:color="593674" w:themeColor="accent2"/>
          <w:bottom w:val="single" w:sz="8" w:space="0" w:color="593674" w:themeColor="accent2"/>
          <w:right w:val="single" w:sz="8" w:space="0" w:color="593674" w:themeColor="accent2"/>
          <w:insideV w:val="single" w:sz="8" w:space="0" w:color="593674" w:themeColor="accent2"/>
        </w:tcBorders>
      </w:tcPr>
    </w:tblStylePr>
  </w:style>
  <w:style w:type="table" w:styleId="MediumList2-Accent2">
    <w:name w:val="Medium List 2 Accent 2"/>
    <w:basedOn w:val="TableNormal"/>
    <w:uiPriority w:val="66"/>
    <w:rsid w:val="001F30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3674" w:themeColor="accent2"/>
        <w:left w:val="single" w:sz="8" w:space="0" w:color="593674" w:themeColor="accent2"/>
        <w:bottom w:val="single" w:sz="8" w:space="0" w:color="593674" w:themeColor="accent2"/>
        <w:right w:val="single" w:sz="8" w:space="0" w:color="593674" w:themeColor="accent2"/>
      </w:tblBorders>
    </w:tblPr>
    <w:tblStylePr w:type="firstRow">
      <w:rPr>
        <w:sz w:val="24"/>
        <w:szCs w:val="24"/>
      </w:rPr>
      <w:tblPr/>
      <w:tcPr>
        <w:tcBorders>
          <w:top w:val="nil"/>
          <w:left w:val="nil"/>
          <w:bottom w:val="single" w:sz="24" w:space="0" w:color="593674" w:themeColor="accent2"/>
          <w:right w:val="nil"/>
          <w:insideH w:val="nil"/>
          <w:insideV w:val="nil"/>
        </w:tcBorders>
        <w:shd w:val="clear" w:color="auto" w:fill="7F7F7F" w:themeFill="background1"/>
      </w:tcPr>
    </w:tblStylePr>
    <w:tblStylePr w:type="lastRow">
      <w:tblPr/>
      <w:tcPr>
        <w:tcBorders>
          <w:top w:val="single" w:sz="8" w:space="0" w:color="593674" w:themeColor="accent2"/>
          <w:left w:val="nil"/>
          <w:bottom w:val="nil"/>
          <w:right w:val="nil"/>
          <w:insideH w:val="nil"/>
          <w:insideV w:val="nil"/>
        </w:tcBorders>
        <w:shd w:val="clear" w:color="auto" w:fill="7F7F7F" w:themeFill="background1"/>
      </w:tcPr>
    </w:tblStylePr>
    <w:tblStylePr w:type="firstCol">
      <w:tblPr/>
      <w:tcPr>
        <w:tcBorders>
          <w:top w:val="nil"/>
          <w:left w:val="nil"/>
          <w:bottom w:val="nil"/>
          <w:right w:val="single" w:sz="8" w:space="0" w:color="593674" w:themeColor="accent2"/>
          <w:insideH w:val="nil"/>
          <w:insideV w:val="nil"/>
        </w:tcBorders>
        <w:shd w:val="clear" w:color="auto" w:fill="7F7F7F" w:themeFill="background1"/>
      </w:tcPr>
    </w:tblStylePr>
    <w:tblStylePr w:type="lastCol">
      <w:tblPr/>
      <w:tcPr>
        <w:tcBorders>
          <w:top w:val="nil"/>
          <w:left w:val="single" w:sz="8" w:space="0" w:color="593674" w:themeColor="accent2"/>
          <w:bottom w:val="nil"/>
          <w:right w:val="nil"/>
          <w:insideH w:val="nil"/>
          <w:insideV w:val="nil"/>
        </w:tcBorders>
        <w:shd w:val="clear" w:color="auto" w:fill="7F7F7F" w:themeFill="background1"/>
      </w:tcPr>
    </w:tblStylePr>
    <w:tblStylePr w:type="band1Vert">
      <w:tblPr/>
      <w:tcPr>
        <w:tcBorders>
          <w:left w:val="nil"/>
          <w:right w:val="nil"/>
          <w:insideH w:val="nil"/>
          <w:insideV w:val="nil"/>
        </w:tcBorders>
        <w:shd w:val="clear" w:color="auto" w:fill="D6C5E4" w:themeFill="accent2" w:themeFillTint="3F"/>
      </w:tcPr>
    </w:tblStylePr>
    <w:tblStylePr w:type="band1Horz">
      <w:tblPr/>
      <w:tcPr>
        <w:tcBorders>
          <w:top w:val="nil"/>
          <w:bottom w:val="nil"/>
          <w:insideH w:val="nil"/>
          <w:insideV w:val="nil"/>
        </w:tcBorders>
        <w:shd w:val="clear" w:color="auto" w:fill="D6C5E4" w:themeFill="accent2" w:themeFillTint="3F"/>
      </w:tcPr>
    </w:tblStylePr>
    <w:tblStylePr w:type="nwCell">
      <w:tblPr/>
      <w:tcPr>
        <w:shd w:val="clear" w:color="auto" w:fill="7F7F7F" w:themeFill="background1"/>
      </w:tcPr>
    </w:tblStylePr>
    <w:tblStylePr w:type="swCell">
      <w:tblPr/>
      <w:tcPr>
        <w:tcBorders>
          <w:top w:val="nil"/>
        </w:tcBorders>
      </w:tcPr>
    </w:tblStylePr>
  </w:style>
  <w:style w:type="table" w:styleId="MediumGrid1-Accent2">
    <w:name w:val="Medium Grid 1 Accent 2"/>
    <w:basedOn w:val="TableNormal"/>
    <w:uiPriority w:val="67"/>
    <w:rsid w:val="001F3061"/>
    <w:pPr>
      <w:spacing w:after="0" w:line="240" w:lineRule="auto"/>
    </w:pPr>
    <w:tblPr>
      <w:tblStyleRowBandSize w:val="1"/>
      <w:tblStyleColBandSize w:val="1"/>
      <w:tblBorders>
        <w:top w:val="single" w:sz="8" w:space="0" w:color="8551AE" w:themeColor="accent2" w:themeTint="BF"/>
        <w:left w:val="single" w:sz="8" w:space="0" w:color="8551AE" w:themeColor="accent2" w:themeTint="BF"/>
        <w:bottom w:val="single" w:sz="8" w:space="0" w:color="8551AE" w:themeColor="accent2" w:themeTint="BF"/>
        <w:right w:val="single" w:sz="8" w:space="0" w:color="8551AE" w:themeColor="accent2" w:themeTint="BF"/>
        <w:insideH w:val="single" w:sz="8" w:space="0" w:color="8551AE" w:themeColor="accent2" w:themeTint="BF"/>
        <w:insideV w:val="single" w:sz="8" w:space="0" w:color="8551AE" w:themeColor="accent2" w:themeTint="BF"/>
      </w:tblBorders>
    </w:tblPr>
    <w:tcPr>
      <w:shd w:val="clear" w:color="auto" w:fill="D6C5E4" w:themeFill="accent2" w:themeFillTint="3F"/>
    </w:tcPr>
    <w:tblStylePr w:type="firstRow">
      <w:rPr>
        <w:b/>
        <w:bCs/>
      </w:rPr>
    </w:tblStylePr>
    <w:tblStylePr w:type="lastRow">
      <w:rPr>
        <w:b/>
        <w:bCs/>
      </w:rPr>
      <w:tblPr/>
      <w:tcPr>
        <w:tcBorders>
          <w:top w:val="single" w:sz="18" w:space="0" w:color="8551AE" w:themeColor="accent2" w:themeTint="BF"/>
        </w:tcBorders>
      </w:tcPr>
    </w:tblStylePr>
    <w:tblStylePr w:type="firstCol">
      <w:rPr>
        <w:b/>
        <w:bCs/>
      </w:rPr>
    </w:tblStylePr>
    <w:tblStylePr w:type="lastCol">
      <w:rPr>
        <w:b/>
        <w:bCs/>
      </w:rPr>
    </w:tblStylePr>
    <w:tblStylePr w:type="band1Vert">
      <w:tblPr/>
      <w:tcPr>
        <w:shd w:val="clear" w:color="auto" w:fill="AE8BC9" w:themeFill="accent2" w:themeFillTint="7F"/>
      </w:tcPr>
    </w:tblStylePr>
    <w:tblStylePr w:type="band1Horz">
      <w:tblPr/>
      <w:tcPr>
        <w:shd w:val="clear" w:color="auto" w:fill="AE8BC9" w:themeFill="accent2" w:themeFillTint="7F"/>
      </w:tcPr>
    </w:tblStylePr>
  </w:style>
  <w:style w:type="table" w:styleId="MediumGrid3-Accent2">
    <w:name w:val="Medium Grid 3 Accent 2"/>
    <w:basedOn w:val="TableNormal"/>
    <w:uiPriority w:val="69"/>
    <w:rsid w:val="001F3061"/>
    <w:pPr>
      <w:spacing w:after="0" w:line="240" w:lineRule="auto"/>
    </w:pPr>
    <w:tblPr>
      <w:tblStyleRowBandSize w:val="1"/>
      <w:tblStyleColBandSize w:val="1"/>
      <w:tblBorders>
        <w:top w:val="single" w:sz="8" w:space="0" w:color="7F7F7F" w:themeColor="background1"/>
        <w:left w:val="single" w:sz="8" w:space="0" w:color="7F7F7F" w:themeColor="background1"/>
        <w:bottom w:val="single" w:sz="8" w:space="0" w:color="7F7F7F" w:themeColor="background1"/>
        <w:right w:val="single" w:sz="8" w:space="0" w:color="7F7F7F" w:themeColor="background1"/>
        <w:insideH w:val="single" w:sz="6" w:space="0" w:color="7F7F7F" w:themeColor="background1"/>
        <w:insideV w:val="single" w:sz="6" w:space="0" w:color="7F7F7F" w:themeColor="background1"/>
      </w:tblBorders>
    </w:tblPr>
    <w:tcPr>
      <w:shd w:val="clear" w:color="auto" w:fill="D6C5E4" w:themeFill="accent2" w:themeFillTint="3F"/>
    </w:tcPr>
    <w:tblStylePr w:type="firstRow">
      <w:rPr>
        <w:b/>
        <w:bCs/>
        <w:i w:val="0"/>
        <w:iCs w:val="0"/>
        <w:color w:val="7F7F7F" w:themeColor="background1"/>
      </w:rPr>
      <w:tblPr/>
      <w:tcPr>
        <w:tcBorders>
          <w:top w:val="single" w:sz="8" w:space="0" w:color="7F7F7F" w:themeColor="background1"/>
          <w:left w:val="single" w:sz="8" w:space="0" w:color="7F7F7F" w:themeColor="background1"/>
          <w:bottom w:val="single" w:sz="24" w:space="0" w:color="7F7F7F" w:themeColor="background1"/>
          <w:right w:val="single" w:sz="8" w:space="0" w:color="7F7F7F" w:themeColor="background1"/>
          <w:insideH w:val="nil"/>
          <w:insideV w:val="single" w:sz="8" w:space="0" w:color="7F7F7F" w:themeColor="background1"/>
        </w:tcBorders>
        <w:shd w:val="clear" w:color="auto" w:fill="593674" w:themeFill="accent2"/>
      </w:tcPr>
    </w:tblStylePr>
    <w:tblStylePr w:type="lastRow">
      <w:rPr>
        <w:b/>
        <w:bCs/>
        <w:i w:val="0"/>
        <w:iCs w:val="0"/>
        <w:color w:val="7F7F7F" w:themeColor="background1"/>
      </w:rPr>
      <w:tblPr/>
      <w:tcPr>
        <w:tcBorders>
          <w:top w:val="single" w:sz="24" w:space="0" w:color="7F7F7F" w:themeColor="background1"/>
          <w:left w:val="single" w:sz="8" w:space="0" w:color="7F7F7F" w:themeColor="background1"/>
          <w:bottom w:val="single" w:sz="8" w:space="0" w:color="7F7F7F" w:themeColor="background1"/>
          <w:right w:val="single" w:sz="8" w:space="0" w:color="7F7F7F" w:themeColor="background1"/>
          <w:insideH w:val="nil"/>
          <w:insideV w:val="single" w:sz="8" w:space="0" w:color="7F7F7F" w:themeColor="background1"/>
        </w:tcBorders>
        <w:shd w:val="clear" w:color="auto" w:fill="593674" w:themeFill="accent2"/>
      </w:tcPr>
    </w:tblStylePr>
    <w:tblStylePr w:type="firstCol">
      <w:rPr>
        <w:b/>
        <w:bCs/>
        <w:i w:val="0"/>
        <w:iCs w:val="0"/>
        <w:color w:val="7F7F7F" w:themeColor="background1"/>
      </w:rPr>
      <w:tblPr/>
      <w:tcPr>
        <w:tcBorders>
          <w:left w:val="single" w:sz="8" w:space="0" w:color="7F7F7F" w:themeColor="background1"/>
          <w:right w:val="single" w:sz="24" w:space="0" w:color="7F7F7F" w:themeColor="background1"/>
          <w:insideH w:val="nil"/>
          <w:insideV w:val="nil"/>
        </w:tcBorders>
        <w:shd w:val="clear" w:color="auto" w:fill="593674" w:themeFill="accent2"/>
      </w:tcPr>
    </w:tblStylePr>
    <w:tblStylePr w:type="lastCol">
      <w:rPr>
        <w:b/>
        <w:bCs/>
        <w:i w:val="0"/>
        <w:iCs w:val="0"/>
        <w:color w:val="7F7F7F" w:themeColor="background1"/>
      </w:rPr>
      <w:tblPr/>
      <w:tcPr>
        <w:tcBorders>
          <w:top w:val="nil"/>
          <w:left w:val="single" w:sz="24" w:space="0" w:color="7F7F7F" w:themeColor="background1"/>
          <w:bottom w:val="nil"/>
          <w:right w:val="nil"/>
          <w:insideH w:val="nil"/>
          <w:insideV w:val="nil"/>
        </w:tcBorders>
        <w:shd w:val="clear" w:color="auto" w:fill="593674" w:themeFill="accent2"/>
      </w:tcPr>
    </w:tblStylePr>
    <w:tblStylePr w:type="band1Vert">
      <w:tblPr/>
      <w:tcPr>
        <w:tcBorders>
          <w:top w:val="single" w:sz="8" w:space="0" w:color="7F7F7F" w:themeColor="background1"/>
          <w:left w:val="single" w:sz="8" w:space="0" w:color="7F7F7F" w:themeColor="background1"/>
          <w:bottom w:val="single" w:sz="8" w:space="0" w:color="7F7F7F" w:themeColor="background1"/>
          <w:right w:val="single" w:sz="8" w:space="0" w:color="7F7F7F" w:themeColor="background1"/>
          <w:insideH w:val="nil"/>
          <w:insideV w:val="nil"/>
        </w:tcBorders>
        <w:shd w:val="clear" w:color="auto" w:fill="AE8BC9" w:themeFill="accent2" w:themeFillTint="7F"/>
      </w:tcPr>
    </w:tblStylePr>
    <w:tblStylePr w:type="band1Horz">
      <w:tblPr/>
      <w:tcPr>
        <w:tcBorders>
          <w:top w:val="single" w:sz="8" w:space="0" w:color="7F7F7F" w:themeColor="background1"/>
          <w:left w:val="single" w:sz="8" w:space="0" w:color="7F7F7F" w:themeColor="background1"/>
          <w:bottom w:val="single" w:sz="8" w:space="0" w:color="7F7F7F" w:themeColor="background1"/>
          <w:right w:val="single" w:sz="8" w:space="0" w:color="7F7F7F" w:themeColor="background1"/>
          <w:insideH w:val="single" w:sz="8" w:space="0" w:color="7F7F7F" w:themeColor="background1"/>
          <w:insideV w:val="single" w:sz="8" w:space="0" w:color="7F7F7F" w:themeColor="background1"/>
        </w:tcBorders>
        <w:shd w:val="clear" w:color="auto" w:fill="AE8BC9" w:themeFill="accent2" w:themeFillTint="7F"/>
      </w:tcPr>
    </w:tblStylePr>
  </w:style>
  <w:style w:type="table" w:styleId="ColorfulList-Accent2">
    <w:name w:val="Colorful List Accent 2"/>
    <w:basedOn w:val="TableNormal"/>
    <w:uiPriority w:val="72"/>
    <w:rsid w:val="001F3061"/>
    <w:pPr>
      <w:spacing w:after="0" w:line="240" w:lineRule="auto"/>
    </w:pPr>
    <w:rPr>
      <w:color w:val="000000" w:themeColor="text1"/>
    </w:rPr>
    <w:tblPr>
      <w:tblStyleRowBandSize w:val="1"/>
      <w:tblStyleColBandSize w:val="1"/>
    </w:tblPr>
    <w:tcPr>
      <w:shd w:val="clear" w:color="auto" w:fill="EFE8F4" w:themeFill="accent2" w:themeFillTint="19"/>
    </w:tcPr>
    <w:tblStylePr w:type="firstRow">
      <w:rPr>
        <w:b/>
        <w:bCs/>
        <w:color w:val="7F7F7F" w:themeColor="background1"/>
      </w:rPr>
      <w:tblPr/>
      <w:tcPr>
        <w:tcBorders>
          <w:bottom w:val="single" w:sz="12" w:space="0" w:color="7F7F7F" w:themeColor="background1"/>
        </w:tcBorders>
        <w:shd w:val="clear" w:color="auto" w:fill="462B5C" w:themeFill="accent2" w:themeFillShade="CC"/>
      </w:tcPr>
    </w:tblStylePr>
    <w:tblStylePr w:type="lastRow">
      <w:rPr>
        <w:b/>
        <w:bCs/>
        <w:color w:val="462B5C" w:themeColor="accent2" w:themeShade="CC"/>
      </w:rPr>
      <w:tblPr/>
      <w:tcPr>
        <w:tcBorders>
          <w:top w:val="single" w:sz="12" w:space="0" w:color="000000" w:themeColor="text1"/>
        </w:tcBorders>
        <w:shd w:val="clear" w:color="auto" w:fill="7F7F7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C5E4" w:themeFill="accent2" w:themeFillTint="3F"/>
      </w:tcPr>
    </w:tblStylePr>
    <w:tblStylePr w:type="band1Horz">
      <w:tblPr/>
      <w:tcPr>
        <w:shd w:val="clear" w:color="auto" w:fill="DED0E9" w:themeFill="accent2" w:themeFillTint="33"/>
      </w:tcPr>
    </w:tblStylePr>
  </w:style>
  <w:style w:type="table" w:styleId="ColorfulGrid-Accent2">
    <w:name w:val="Colorful Grid Accent 2"/>
    <w:basedOn w:val="TableNormal"/>
    <w:uiPriority w:val="73"/>
    <w:rsid w:val="001F3061"/>
    <w:pPr>
      <w:spacing w:after="0" w:line="240" w:lineRule="auto"/>
    </w:pPr>
    <w:rPr>
      <w:color w:val="000000" w:themeColor="text1"/>
    </w:rPr>
    <w:tblPr>
      <w:tblStyleRowBandSize w:val="1"/>
      <w:tblStyleColBandSize w:val="1"/>
      <w:tblBorders>
        <w:insideH w:val="single" w:sz="4" w:space="0" w:color="7F7F7F" w:themeColor="background1"/>
      </w:tblBorders>
    </w:tblPr>
    <w:tcPr>
      <w:shd w:val="clear" w:color="auto" w:fill="DED0E9" w:themeFill="accent2" w:themeFillTint="33"/>
    </w:tcPr>
    <w:tblStylePr w:type="firstRow">
      <w:rPr>
        <w:b/>
        <w:bCs/>
      </w:rPr>
      <w:tblPr/>
      <w:tcPr>
        <w:shd w:val="clear" w:color="auto" w:fill="BEA2D3" w:themeFill="accent2" w:themeFillTint="66"/>
      </w:tcPr>
    </w:tblStylePr>
    <w:tblStylePr w:type="lastRow">
      <w:rPr>
        <w:b/>
        <w:bCs/>
        <w:color w:val="000000" w:themeColor="text1"/>
      </w:rPr>
      <w:tblPr/>
      <w:tcPr>
        <w:shd w:val="clear" w:color="auto" w:fill="BEA2D3" w:themeFill="accent2" w:themeFillTint="66"/>
      </w:tcPr>
    </w:tblStylePr>
    <w:tblStylePr w:type="firstCol">
      <w:rPr>
        <w:color w:val="7F7F7F" w:themeColor="background1"/>
      </w:rPr>
      <w:tblPr/>
      <w:tcPr>
        <w:shd w:val="clear" w:color="auto" w:fill="422856" w:themeFill="accent2" w:themeFillShade="BF"/>
      </w:tcPr>
    </w:tblStylePr>
    <w:tblStylePr w:type="lastCol">
      <w:rPr>
        <w:color w:val="7F7F7F" w:themeColor="background1"/>
      </w:rPr>
      <w:tblPr/>
      <w:tcPr>
        <w:shd w:val="clear" w:color="auto" w:fill="422856" w:themeFill="accent2" w:themeFillShade="BF"/>
      </w:tcPr>
    </w:tblStylePr>
    <w:tblStylePr w:type="band1Vert">
      <w:tblPr/>
      <w:tcPr>
        <w:shd w:val="clear" w:color="auto" w:fill="AE8BC9" w:themeFill="accent2" w:themeFillTint="7F"/>
      </w:tcPr>
    </w:tblStylePr>
    <w:tblStylePr w:type="band1Horz">
      <w:tblPr/>
      <w:tcPr>
        <w:shd w:val="clear" w:color="auto" w:fill="AE8BC9" w:themeFill="accent2" w:themeFillTint="7F"/>
      </w:tcPr>
    </w:tblStylePr>
  </w:style>
  <w:style w:type="table" w:styleId="ColorfulShading-Accent2">
    <w:name w:val="Colorful Shading Accent 2"/>
    <w:basedOn w:val="TableNormal"/>
    <w:uiPriority w:val="71"/>
    <w:rsid w:val="001F3061"/>
    <w:pPr>
      <w:spacing w:after="0" w:line="240" w:lineRule="auto"/>
    </w:pPr>
    <w:rPr>
      <w:color w:val="000000" w:themeColor="text1"/>
    </w:rPr>
    <w:tblPr>
      <w:tblStyleRowBandSize w:val="1"/>
      <w:tblStyleColBandSize w:val="1"/>
      <w:tblBorders>
        <w:top w:val="single" w:sz="24" w:space="0" w:color="593674" w:themeColor="accent2"/>
        <w:left w:val="single" w:sz="4" w:space="0" w:color="593674" w:themeColor="accent2"/>
        <w:bottom w:val="single" w:sz="4" w:space="0" w:color="593674" w:themeColor="accent2"/>
        <w:right w:val="single" w:sz="4" w:space="0" w:color="593674" w:themeColor="accent2"/>
        <w:insideH w:val="single" w:sz="4" w:space="0" w:color="7F7F7F" w:themeColor="background1"/>
        <w:insideV w:val="single" w:sz="4" w:space="0" w:color="7F7F7F" w:themeColor="background1"/>
      </w:tblBorders>
    </w:tblPr>
    <w:tcPr>
      <w:shd w:val="clear" w:color="auto" w:fill="EFE8F4" w:themeFill="accent2" w:themeFillTint="19"/>
    </w:tcPr>
    <w:tblStylePr w:type="firstRow">
      <w:rPr>
        <w:b/>
        <w:bCs/>
      </w:rPr>
      <w:tblPr/>
      <w:tcPr>
        <w:tcBorders>
          <w:top w:val="nil"/>
          <w:left w:val="nil"/>
          <w:bottom w:val="single" w:sz="24" w:space="0" w:color="593674" w:themeColor="accent2"/>
          <w:right w:val="nil"/>
          <w:insideH w:val="nil"/>
          <w:insideV w:val="nil"/>
        </w:tcBorders>
        <w:shd w:val="clear" w:color="auto" w:fill="7F7F7F" w:themeFill="background1"/>
      </w:tcPr>
    </w:tblStylePr>
    <w:tblStylePr w:type="lastRow">
      <w:rPr>
        <w:b/>
        <w:bCs/>
        <w:color w:val="7F7F7F" w:themeColor="background1"/>
      </w:rPr>
      <w:tblPr/>
      <w:tcPr>
        <w:tcBorders>
          <w:top w:val="single" w:sz="6" w:space="0" w:color="7F7F7F" w:themeColor="background1"/>
        </w:tcBorders>
        <w:shd w:val="clear" w:color="auto" w:fill="352045" w:themeFill="accent2" w:themeFillShade="99"/>
      </w:tcPr>
    </w:tblStylePr>
    <w:tblStylePr w:type="firstCol">
      <w:rPr>
        <w:color w:val="7F7F7F" w:themeColor="background1"/>
      </w:rPr>
      <w:tblPr/>
      <w:tcPr>
        <w:tcBorders>
          <w:top w:val="nil"/>
          <w:left w:val="nil"/>
          <w:bottom w:val="nil"/>
          <w:right w:val="nil"/>
          <w:insideH w:val="single" w:sz="4" w:space="0" w:color="352045" w:themeColor="accent2" w:themeShade="99"/>
          <w:insideV w:val="nil"/>
        </w:tcBorders>
        <w:shd w:val="clear" w:color="auto" w:fill="352045" w:themeFill="accent2" w:themeFillShade="99"/>
      </w:tcPr>
    </w:tblStylePr>
    <w:tblStylePr w:type="lastCol">
      <w:rPr>
        <w:color w:val="7F7F7F" w:themeColor="background1"/>
      </w:rPr>
      <w:tblPr/>
      <w:tcPr>
        <w:tcBorders>
          <w:top w:val="nil"/>
          <w:left w:val="nil"/>
          <w:bottom w:val="nil"/>
          <w:right w:val="nil"/>
          <w:insideH w:val="nil"/>
          <w:insideV w:val="nil"/>
        </w:tcBorders>
        <w:shd w:val="clear" w:color="auto" w:fill="352045" w:themeFill="accent2" w:themeFillShade="99"/>
      </w:tcPr>
    </w:tblStylePr>
    <w:tblStylePr w:type="band1Vert">
      <w:tblPr/>
      <w:tcPr>
        <w:shd w:val="clear" w:color="auto" w:fill="BEA2D3" w:themeFill="accent2" w:themeFillTint="66"/>
      </w:tcPr>
    </w:tblStylePr>
    <w:tblStylePr w:type="band1Horz">
      <w:tblPr/>
      <w:tcPr>
        <w:shd w:val="clear" w:color="auto" w:fill="AE8BC9" w:themeFill="accent2" w:themeFillTint="7F"/>
      </w:tcPr>
    </w:tblStylePr>
    <w:tblStylePr w:type="neCell">
      <w:rPr>
        <w:color w:val="000000" w:themeColor="text1"/>
      </w:rPr>
    </w:tblStylePr>
    <w:tblStylePr w:type="nwCell">
      <w:rPr>
        <w:color w:val="000000" w:themeColor="text1"/>
      </w:rPr>
    </w:tblStylePr>
  </w:style>
  <w:style w:type="table" w:styleId="MediumList1-Accent2">
    <w:name w:val="Medium List 1 Accent 2"/>
    <w:basedOn w:val="TableNormal"/>
    <w:uiPriority w:val="65"/>
    <w:rsid w:val="001F3061"/>
    <w:pPr>
      <w:spacing w:after="0" w:line="240" w:lineRule="auto"/>
    </w:pPr>
    <w:rPr>
      <w:color w:val="000000" w:themeColor="text1"/>
    </w:rPr>
    <w:tblPr>
      <w:tblStyleRowBandSize w:val="1"/>
      <w:tblStyleColBandSize w:val="1"/>
      <w:tblBorders>
        <w:top w:val="single" w:sz="8" w:space="0" w:color="593674" w:themeColor="accent2"/>
        <w:bottom w:val="single" w:sz="8" w:space="0" w:color="593674" w:themeColor="accent2"/>
      </w:tblBorders>
    </w:tblPr>
    <w:tblStylePr w:type="firstRow">
      <w:rPr>
        <w:rFonts w:asciiTheme="majorHAnsi" w:eastAsiaTheme="majorEastAsia" w:hAnsiTheme="majorHAnsi" w:cstheme="majorBidi"/>
      </w:rPr>
      <w:tblPr/>
      <w:tcPr>
        <w:tcBorders>
          <w:top w:val="nil"/>
          <w:bottom w:val="single" w:sz="8" w:space="0" w:color="593674" w:themeColor="accent2"/>
        </w:tcBorders>
      </w:tcPr>
    </w:tblStylePr>
    <w:tblStylePr w:type="lastRow">
      <w:rPr>
        <w:b/>
        <w:bCs/>
        <w:color w:val="165788" w:themeColor="text2"/>
      </w:rPr>
      <w:tblPr/>
      <w:tcPr>
        <w:tcBorders>
          <w:top w:val="single" w:sz="8" w:space="0" w:color="593674" w:themeColor="accent2"/>
          <w:bottom w:val="single" w:sz="8" w:space="0" w:color="593674" w:themeColor="accent2"/>
        </w:tcBorders>
      </w:tcPr>
    </w:tblStylePr>
    <w:tblStylePr w:type="firstCol">
      <w:rPr>
        <w:b/>
        <w:bCs/>
      </w:rPr>
    </w:tblStylePr>
    <w:tblStylePr w:type="lastCol">
      <w:rPr>
        <w:b/>
        <w:bCs/>
      </w:rPr>
      <w:tblPr/>
      <w:tcPr>
        <w:tcBorders>
          <w:top w:val="single" w:sz="8" w:space="0" w:color="593674" w:themeColor="accent2"/>
          <w:bottom w:val="single" w:sz="8" w:space="0" w:color="593674" w:themeColor="accent2"/>
        </w:tcBorders>
      </w:tcPr>
    </w:tblStylePr>
    <w:tblStylePr w:type="band1Vert">
      <w:tblPr/>
      <w:tcPr>
        <w:shd w:val="clear" w:color="auto" w:fill="D6C5E4" w:themeFill="accent2" w:themeFillTint="3F"/>
      </w:tcPr>
    </w:tblStylePr>
    <w:tblStylePr w:type="band1Horz">
      <w:tblPr/>
      <w:tcPr>
        <w:shd w:val="clear" w:color="auto" w:fill="D6C5E4" w:themeFill="accent2" w:themeFillTint="3F"/>
      </w:tcPr>
    </w:tblStylePr>
  </w:style>
  <w:style w:type="table" w:styleId="MediumShading1-Accent2">
    <w:name w:val="Medium Shading 1 Accent 2"/>
    <w:basedOn w:val="TableNormal"/>
    <w:uiPriority w:val="63"/>
    <w:rsid w:val="001F3061"/>
    <w:pPr>
      <w:spacing w:after="0" w:line="240" w:lineRule="auto"/>
    </w:pPr>
    <w:tblPr>
      <w:tblStyleRowBandSize w:val="1"/>
      <w:tblStyleColBandSize w:val="1"/>
      <w:tblBorders>
        <w:top w:val="single" w:sz="8" w:space="0" w:color="8551AE" w:themeColor="accent2" w:themeTint="BF"/>
        <w:left w:val="single" w:sz="8" w:space="0" w:color="8551AE" w:themeColor="accent2" w:themeTint="BF"/>
        <w:bottom w:val="single" w:sz="8" w:space="0" w:color="8551AE" w:themeColor="accent2" w:themeTint="BF"/>
        <w:right w:val="single" w:sz="8" w:space="0" w:color="8551AE" w:themeColor="accent2" w:themeTint="BF"/>
        <w:insideH w:val="single" w:sz="8" w:space="0" w:color="8551AE" w:themeColor="accent2" w:themeTint="BF"/>
      </w:tblBorders>
    </w:tblPr>
    <w:tblStylePr w:type="firstRow">
      <w:pPr>
        <w:spacing w:before="0" w:after="0" w:line="240" w:lineRule="auto"/>
      </w:pPr>
      <w:rPr>
        <w:b/>
        <w:bCs/>
        <w:color w:val="7F7F7F" w:themeColor="background1"/>
      </w:rPr>
      <w:tblPr/>
      <w:tcPr>
        <w:tcBorders>
          <w:top w:val="single" w:sz="8" w:space="0" w:color="8551AE" w:themeColor="accent2" w:themeTint="BF"/>
          <w:left w:val="single" w:sz="8" w:space="0" w:color="8551AE" w:themeColor="accent2" w:themeTint="BF"/>
          <w:bottom w:val="single" w:sz="8" w:space="0" w:color="8551AE" w:themeColor="accent2" w:themeTint="BF"/>
          <w:right w:val="single" w:sz="8" w:space="0" w:color="8551AE" w:themeColor="accent2" w:themeTint="BF"/>
          <w:insideH w:val="nil"/>
          <w:insideV w:val="nil"/>
        </w:tcBorders>
        <w:shd w:val="clear" w:color="auto" w:fill="593674" w:themeFill="accent2"/>
      </w:tcPr>
    </w:tblStylePr>
    <w:tblStylePr w:type="lastRow">
      <w:pPr>
        <w:spacing w:before="0" w:after="0" w:line="240" w:lineRule="auto"/>
      </w:pPr>
      <w:rPr>
        <w:b/>
        <w:bCs/>
      </w:rPr>
      <w:tblPr/>
      <w:tcPr>
        <w:tcBorders>
          <w:top w:val="double" w:sz="6" w:space="0" w:color="8551AE" w:themeColor="accent2" w:themeTint="BF"/>
          <w:left w:val="single" w:sz="8" w:space="0" w:color="8551AE" w:themeColor="accent2" w:themeTint="BF"/>
          <w:bottom w:val="single" w:sz="8" w:space="0" w:color="8551AE" w:themeColor="accent2" w:themeTint="BF"/>
          <w:right w:val="single" w:sz="8" w:space="0" w:color="8551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C5E4" w:themeFill="accent2" w:themeFillTint="3F"/>
      </w:tcPr>
    </w:tblStylePr>
    <w:tblStylePr w:type="band1Horz">
      <w:tblPr/>
      <w:tcPr>
        <w:tcBorders>
          <w:insideH w:val="nil"/>
          <w:insideV w:val="nil"/>
        </w:tcBorders>
        <w:shd w:val="clear" w:color="auto" w:fill="D6C5E4" w:themeFill="accent2"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1F3061"/>
    <w:pPr>
      <w:spacing w:after="0" w:line="240" w:lineRule="auto"/>
    </w:pPr>
    <w:rPr>
      <w:color w:val="104165" w:themeColor="accent1" w:themeShade="BF"/>
    </w:rPr>
    <w:tblPr>
      <w:tblStyleRowBandSize w:val="1"/>
      <w:tblStyleColBandSize w:val="1"/>
      <w:tblBorders>
        <w:top w:val="single" w:sz="8" w:space="0" w:color="165788" w:themeColor="accent1"/>
        <w:bottom w:val="single" w:sz="8" w:space="0" w:color="165788" w:themeColor="accent1"/>
      </w:tblBorders>
    </w:tblPr>
    <w:tblStylePr w:type="firstRow">
      <w:pPr>
        <w:spacing w:before="0" w:after="0" w:line="240" w:lineRule="auto"/>
      </w:pPr>
      <w:rPr>
        <w:b/>
        <w:bCs/>
      </w:rPr>
      <w:tblPr/>
      <w:tcPr>
        <w:tcBorders>
          <w:top w:val="single" w:sz="8" w:space="0" w:color="165788" w:themeColor="accent1"/>
          <w:left w:val="nil"/>
          <w:bottom w:val="single" w:sz="8" w:space="0" w:color="165788" w:themeColor="accent1"/>
          <w:right w:val="nil"/>
          <w:insideH w:val="nil"/>
          <w:insideV w:val="nil"/>
        </w:tcBorders>
      </w:tcPr>
    </w:tblStylePr>
    <w:tblStylePr w:type="lastRow">
      <w:pPr>
        <w:spacing w:before="0" w:after="0" w:line="240" w:lineRule="auto"/>
      </w:pPr>
      <w:rPr>
        <w:b/>
        <w:bCs/>
      </w:rPr>
      <w:tblPr/>
      <w:tcPr>
        <w:tcBorders>
          <w:top w:val="single" w:sz="8" w:space="0" w:color="165788" w:themeColor="accent1"/>
          <w:left w:val="nil"/>
          <w:bottom w:val="single" w:sz="8" w:space="0" w:color="16578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D7F3" w:themeFill="accent1" w:themeFillTint="3F"/>
      </w:tcPr>
    </w:tblStylePr>
    <w:tblStylePr w:type="band1Horz">
      <w:tblPr/>
      <w:tcPr>
        <w:tcBorders>
          <w:left w:val="nil"/>
          <w:right w:val="nil"/>
          <w:insideH w:val="nil"/>
          <w:insideV w:val="nil"/>
        </w:tcBorders>
        <w:shd w:val="clear" w:color="auto" w:fill="B4D7F3" w:themeFill="accent1" w:themeFillTint="3F"/>
      </w:tcPr>
    </w:tblStylePr>
  </w:style>
  <w:style w:type="table" w:styleId="MediumList2-Accent1">
    <w:name w:val="Medium List 2 Accent 1"/>
    <w:basedOn w:val="TableNormal"/>
    <w:uiPriority w:val="66"/>
    <w:rsid w:val="001F30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65788" w:themeColor="accent1"/>
        <w:left w:val="single" w:sz="8" w:space="0" w:color="165788" w:themeColor="accent1"/>
        <w:bottom w:val="single" w:sz="8" w:space="0" w:color="165788" w:themeColor="accent1"/>
        <w:right w:val="single" w:sz="8" w:space="0" w:color="165788" w:themeColor="accent1"/>
      </w:tblBorders>
    </w:tblPr>
    <w:tblStylePr w:type="firstRow">
      <w:rPr>
        <w:sz w:val="24"/>
        <w:szCs w:val="24"/>
      </w:rPr>
      <w:tblPr/>
      <w:tcPr>
        <w:tcBorders>
          <w:top w:val="nil"/>
          <w:left w:val="nil"/>
          <w:bottom w:val="single" w:sz="24" w:space="0" w:color="165788" w:themeColor="accent1"/>
          <w:right w:val="nil"/>
          <w:insideH w:val="nil"/>
          <w:insideV w:val="nil"/>
        </w:tcBorders>
        <w:shd w:val="clear" w:color="auto" w:fill="7F7F7F" w:themeFill="background1"/>
      </w:tcPr>
    </w:tblStylePr>
    <w:tblStylePr w:type="lastRow">
      <w:tblPr/>
      <w:tcPr>
        <w:tcBorders>
          <w:top w:val="single" w:sz="8" w:space="0" w:color="165788" w:themeColor="accent1"/>
          <w:left w:val="nil"/>
          <w:bottom w:val="nil"/>
          <w:right w:val="nil"/>
          <w:insideH w:val="nil"/>
          <w:insideV w:val="nil"/>
        </w:tcBorders>
        <w:shd w:val="clear" w:color="auto" w:fill="7F7F7F" w:themeFill="background1"/>
      </w:tcPr>
    </w:tblStylePr>
    <w:tblStylePr w:type="firstCol">
      <w:tblPr/>
      <w:tcPr>
        <w:tcBorders>
          <w:top w:val="nil"/>
          <w:left w:val="nil"/>
          <w:bottom w:val="nil"/>
          <w:right w:val="single" w:sz="8" w:space="0" w:color="165788" w:themeColor="accent1"/>
          <w:insideH w:val="nil"/>
          <w:insideV w:val="nil"/>
        </w:tcBorders>
        <w:shd w:val="clear" w:color="auto" w:fill="7F7F7F" w:themeFill="background1"/>
      </w:tcPr>
    </w:tblStylePr>
    <w:tblStylePr w:type="lastCol">
      <w:tblPr/>
      <w:tcPr>
        <w:tcBorders>
          <w:top w:val="nil"/>
          <w:left w:val="single" w:sz="8" w:space="0" w:color="165788" w:themeColor="accent1"/>
          <w:bottom w:val="nil"/>
          <w:right w:val="nil"/>
          <w:insideH w:val="nil"/>
          <w:insideV w:val="nil"/>
        </w:tcBorders>
        <w:shd w:val="clear" w:color="auto" w:fill="7F7F7F" w:themeFill="background1"/>
      </w:tcPr>
    </w:tblStylePr>
    <w:tblStylePr w:type="band1Vert">
      <w:tblPr/>
      <w:tcPr>
        <w:tcBorders>
          <w:left w:val="nil"/>
          <w:right w:val="nil"/>
          <w:insideH w:val="nil"/>
          <w:insideV w:val="nil"/>
        </w:tcBorders>
        <w:shd w:val="clear" w:color="auto" w:fill="B4D7F3" w:themeFill="accent1" w:themeFillTint="3F"/>
      </w:tcPr>
    </w:tblStylePr>
    <w:tblStylePr w:type="band1Horz">
      <w:tblPr/>
      <w:tcPr>
        <w:tcBorders>
          <w:top w:val="nil"/>
          <w:bottom w:val="nil"/>
          <w:insideH w:val="nil"/>
          <w:insideV w:val="nil"/>
        </w:tcBorders>
        <w:shd w:val="clear" w:color="auto" w:fill="B4D7F3" w:themeFill="accent1" w:themeFillTint="3F"/>
      </w:tcPr>
    </w:tblStylePr>
    <w:tblStylePr w:type="nwCell">
      <w:tblPr/>
      <w:tcPr>
        <w:shd w:val="clear" w:color="auto" w:fill="7F7F7F" w:themeFill="background1"/>
      </w:tcPr>
    </w:tblStylePr>
    <w:tblStylePr w:type="swCell">
      <w:tblPr/>
      <w:tcPr>
        <w:tcBorders>
          <w:top w:val="nil"/>
        </w:tcBorders>
      </w:tcPr>
    </w:tblStylePr>
  </w:style>
  <w:style w:type="table" w:styleId="LightGrid-Accent1">
    <w:name w:val="Light Grid Accent 1"/>
    <w:basedOn w:val="TableNormal"/>
    <w:uiPriority w:val="62"/>
    <w:rsid w:val="001F3061"/>
    <w:pPr>
      <w:spacing w:after="0" w:line="240" w:lineRule="auto"/>
    </w:pPr>
    <w:tblPr>
      <w:tblStyleRowBandSize w:val="1"/>
      <w:tblStyleColBandSize w:val="1"/>
      <w:tblBorders>
        <w:top w:val="single" w:sz="8" w:space="0" w:color="165788" w:themeColor="accent1"/>
        <w:left w:val="single" w:sz="8" w:space="0" w:color="165788" w:themeColor="accent1"/>
        <w:bottom w:val="single" w:sz="8" w:space="0" w:color="165788" w:themeColor="accent1"/>
        <w:right w:val="single" w:sz="8" w:space="0" w:color="165788" w:themeColor="accent1"/>
        <w:insideH w:val="single" w:sz="8" w:space="0" w:color="165788" w:themeColor="accent1"/>
        <w:insideV w:val="single" w:sz="8" w:space="0" w:color="16578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65788" w:themeColor="accent1"/>
          <w:left w:val="single" w:sz="8" w:space="0" w:color="165788" w:themeColor="accent1"/>
          <w:bottom w:val="single" w:sz="18" w:space="0" w:color="165788" w:themeColor="accent1"/>
          <w:right w:val="single" w:sz="8" w:space="0" w:color="165788" w:themeColor="accent1"/>
          <w:insideH w:val="nil"/>
          <w:insideV w:val="single" w:sz="8" w:space="0" w:color="16578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65788" w:themeColor="accent1"/>
          <w:left w:val="single" w:sz="8" w:space="0" w:color="165788" w:themeColor="accent1"/>
          <w:bottom w:val="single" w:sz="8" w:space="0" w:color="165788" w:themeColor="accent1"/>
          <w:right w:val="single" w:sz="8" w:space="0" w:color="165788" w:themeColor="accent1"/>
          <w:insideH w:val="nil"/>
          <w:insideV w:val="single" w:sz="8" w:space="0" w:color="16578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tblStylePr w:type="band1Vert">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shd w:val="clear" w:color="auto" w:fill="B4D7F3" w:themeFill="accent1" w:themeFillTint="3F"/>
      </w:tcPr>
    </w:tblStylePr>
    <w:tblStylePr w:type="band1Horz">
      <w:tblPr/>
      <w:tcPr>
        <w:tcBorders>
          <w:top w:val="single" w:sz="8" w:space="0" w:color="165788" w:themeColor="accent1"/>
          <w:left w:val="single" w:sz="8" w:space="0" w:color="165788" w:themeColor="accent1"/>
          <w:bottom w:val="single" w:sz="8" w:space="0" w:color="165788" w:themeColor="accent1"/>
          <w:right w:val="single" w:sz="8" w:space="0" w:color="165788" w:themeColor="accent1"/>
          <w:insideV w:val="single" w:sz="8" w:space="0" w:color="165788" w:themeColor="accent1"/>
        </w:tcBorders>
        <w:shd w:val="clear" w:color="auto" w:fill="B4D7F3" w:themeFill="accent1" w:themeFillTint="3F"/>
      </w:tcPr>
    </w:tblStylePr>
    <w:tblStylePr w:type="band2Horz">
      <w:tblPr/>
      <w:tcPr>
        <w:tcBorders>
          <w:top w:val="single" w:sz="8" w:space="0" w:color="165788" w:themeColor="accent1"/>
          <w:left w:val="single" w:sz="8" w:space="0" w:color="165788" w:themeColor="accent1"/>
          <w:bottom w:val="single" w:sz="8" w:space="0" w:color="165788" w:themeColor="accent1"/>
          <w:right w:val="single" w:sz="8" w:space="0" w:color="165788" w:themeColor="accent1"/>
          <w:insideV w:val="single" w:sz="8" w:space="0" w:color="165788" w:themeColor="accent1"/>
        </w:tcBorders>
      </w:tcPr>
    </w:tblStylePr>
  </w:style>
  <w:style w:type="table" w:styleId="MediumShading1-Accent3">
    <w:name w:val="Medium Shading 1 Accent 3"/>
    <w:basedOn w:val="TableNormal"/>
    <w:uiPriority w:val="63"/>
    <w:rsid w:val="001F3061"/>
    <w:pPr>
      <w:spacing w:after="0" w:line="240" w:lineRule="auto"/>
    </w:pPr>
    <w:tblPr>
      <w:tblStyleRowBandSize w:val="1"/>
      <w:tblStyleColBandSize w:val="1"/>
      <w:tblBorders>
        <w:top w:val="single" w:sz="8" w:space="0" w:color="6AB27B" w:themeColor="accent3" w:themeTint="BF"/>
        <w:left w:val="single" w:sz="8" w:space="0" w:color="6AB27B" w:themeColor="accent3" w:themeTint="BF"/>
        <w:bottom w:val="single" w:sz="8" w:space="0" w:color="6AB27B" w:themeColor="accent3" w:themeTint="BF"/>
        <w:right w:val="single" w:sz="8" w:space="0" w:color="6AB27B" w:themeColor="accent3" w:themeTint="BF"/>
        <w:insideH w:val="single" w:sz="8" w:space="0" w:color="6AB27B" w:themeColor="accent3" w:themeTint="BF"/>
      </w:tblBorders>
    </w:tblPr>
    <w:tblStylePr w:type="firstRow">
      <w:pPr>
        <w:spacing w:before="0" w:after="0" w:line="240" w:lineRule="auto"/>
      </w:pPr>
      <w:rPr>
        <w:b/>
        <w:bCs/>
        <w:color w:val="7F7F7F" w:themeColor="background1"/>
      </w:rPr>
      <w:tblPr/>
      <w:tcPr>
        <w:tcBorders>
          <w:top w:val="single" w:sz="8" w:space="0" w:color="6AB27B" w:themeColor="accent3" w:themeTint="BF"/>
          <w:left w:val="single" w:sz="8" w:space="0" w:color="6AB27B" w:themeColor="accent3" w:themeTint="BF"/>
          <w:bottom w:val="single" w:sz="8" w:space="0" w:color="6AB27B" w:themeColor="accent3" w:themeTint="BF"/>
          <w:right w:val="single" w:sz="8" w:space="0" w:color="6AB27B" w:themeColor="accent3" w:themeTint="BF"/>
          <w:insideH w:val="nil"/>
          <w:insideV w:val="nil"/>
        </w:tcBorders>
        <w:shd w:val="clear" w:color="auto" w:fill="478A57" w:themeFill="accent3"/>
      </w:tcPr>
    </w:tblStylePr>
    <w:tblStylePr w:type="lastRow">
      <w:pPr>
        <w:spacing w:before="0" w:after="0" w:line="240" w:lineRule="auto"/>
      </w:pPr>
      <w:rPr>
        <w:b/>
        <w:bCs/>
      </w:rPr>
      <w:tblPr/>
      <w:tcPr>
        <w:tcBorders>
          <w:top w:val="double" w:sz="6" w:space="0" w:color="6AB27B" w:themeColor="accent3" w:themeTint="BF"/>
          <w:left w:val="single" w:sz="8" w:space="0" w:color="6AB27B" w:themeColor="accent3" w:themeTint="BF"/>
          <w:bottom w:val="single" w:sz="8" w:space="0" w:color="6AB27B" w:themeColor="accent3" w:themeTint="BF"/>
          <w:right w:val="single" w:sz="8" w:space="0" w:color="6AB27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DE5D3" w:themeFill="accent3" w:themeFillTint="3F"/>
      </w:tcPr>
    </w:tblStylePr>
    <w:tblStylePr w:type="band1Horz">
      <w:tblPr/>
      <w:tcPr>
        <w:tcBorders>
          <w:insideH w:val="nil"/>
          <w:insideV w:val="nil"/>
        </w:tcBorders>
        <w:shd w:val="clear" w:color="auto" w:fill="CDE5D3" w:themeFill="accent3"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F3061"/>
    <w:pPr>
      <w:spacing w:after="0" w:line="240" w:lineRule="auto"/>
    </w:pPr>
    <w:tblPr>
      <w:tblStyleRowBandSize w:val="1"/>
      <w:tblStyleColBandSize w:val="1"/>
      <w:tblBorders>
        <w:top w:val="single" w:sz="8" w:space="0" w:color="2287D3" w:themeColor="accent1" w:themeTint="BF"/>
        <w:left w:val="single" w:sz="8" w:space="0" w:color="2287D3" w:themeColor="accent1" w:themeTint="BF"/>
        <w:bottom w:val="single" w:sz="8" w:space="0" w:color="2287D3" w:themeColor="accent1" w:themeTint="BF"/>
        <w:right w:val="single" w:sz="8" w:space="0" w:color="2287D3" w:themeColor="accent1" w:themeTint="BF"/>
        <w:insideH w:val="single" w:sz="8" w:space="0" w:color="2287D3" w:themeColor="accent1" w:themeTint="BF"/>
      </w:tblBorders>
    </w:tblPr>
    <w:tblStylePr w:type="firstRow">
      <w:pPr>
        <w:spacing w:before="0" w:after="0" w:line="240" w:lineRule="auto"/>
      </w:pPr>
      <w:rPr>
        <w:b/>
        <w:bCs/>
        <w:color w:val="7F7F7F" w:themeColor="background1"/>
      </w:rPr>
      <w:tblPr/>
      <w:tcPr>
        <w:tcBorders>
          <w:top w:val="single" w:sz="8" w:space="0" w:color="2287D3" w:themeColor="accent1" w:themeTint="BF"/>
          <w:left w:val="single" w:sz="8" w:space="0" w:color="2287D3" w:themeColor="accent1" w:themeTint="BF"/>
          <w:bottom w:val="single" w:sz="8" w:space="0" w:color="2287D3" w:themeColor="accent1" w:themeTint="BF"/>
          <w:right w:val="single" w:sz="8" w:space="0" w:color="2287D3" w:themeColor="accent1" w:themeTint="BF"/>
          <w:insideH w:val="nil"/>
          <w:insideV w:val="nil"/>
        </w:tcBorders>
        <w:shd w:val="clear" w:color="auto" w:fill="165788" w:themeFill="accent1"/>
      </w:tcPr>
    </w:tblStylePr>
    <w:tblStylePr w:type="lastRow">
      <w:pPr>
        <w:spacing w:before="0" w:after="0" w:line="240" w:lineRule="auto"/>
      </w:pPr>
      <w:rPr>
        <w:b/>
        <w:bCs/>
      </w:rPr>
      <w:tblPr/>
      <w:tcPr>
        <w:tcBorders>
          <w:top w:val="double" w:sz="6" w:space="0" w:color="2287D3" w:themeColor="accent1" w:themeTint="BF"/>
          <w:left w:val="single" w:sz="8" w:space="0" w:color="2287D3" w:themeColor="accent1" w:themeTint="BF"/>
          <w:bottom w:val="single" w:sz="8" w:space="0" w:color="2287D3" w:themeColor="accent1" w:themeTint="BF"/>
          <w:right w:val="single" w:sz="8" w:space="0" w:color="2287D3" w:themeColor="accent1" w:themeTint="BF"/>
          <w:insideH w:val="nil"/>
          <w:insideV w:val="nil"/>
        </w:tcBorders>
      </w:tcPr>
    </w:tblStylePr>
    <w:tblStylePr w:type="firstCol">
      <w:rPr>
        <w:b/>
        <w:bCs/>
      </w:rPr>
    </w:tblStylePr>
    <w:tblStylePr w:type="lastCol">
      <w:rPr>
        <w:b/>
        <w:bCs/>
      </w:rPr>
    </w:tblStylePr>
    <w:tblStylePr w:type="band1Vert">
      <w:tblPr/>
      <w:tcPr>
        <w:shd w:val="clear" w:color="auto" w:fill="B4D7F3" w:themeFill="accent1" w:themeFillTint="3F"/>
      </w:tcPr>
    </w:tblStylePr>
    <w:tblStylePr w:type="band1Horz">
      <w:tblPr/>
      <w:tcPr>
        <w:tcBorders>
          <w:insideH w:val="nil"/>
          <w:insideV w:val="nil"/>
        </w:tcBorders>
        <w:shd w:val="clear" w:color="auto" w:fill="B4D7F3" w:themeFill="accent1"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F3061"/>
    <w:pPr>
      <w:spacing w:after="0" w:line="240" w:lineRule="auto"/>
    </w:pPr>
    <w:tblPr>
      <w:tblStyleRowBandSize w:val="1"/>
      <w:tblStyleColBandSize w:val="1"/>
      <w:tblBorders>
        <w:top w:val="single" w:sz="8" w:space="0" w:color="478A57" w:themeColor="accent3"/>
        <w:left w:val="single" w:sz="8" w:space="0" w:color="478A57" w:themeColor="accent3"/>
        <w:bottom w:val="single" w:sz="8" w:space="0" w:color="478A57" w:themeColor="accent3"/>
        <w:right w:val="single" w:sz="8" w:space="0" w:color="478A57" w:themeColor="accent3"/>
        <w:insideH w:val="single" w:sz="8" w:space="0" w:color="478A57" w:themeColor="accent3"/>
        <w:insideV w:val="single" w:sz="8" w:space="0" w:color="478A5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8A57" w:themeColor="accent3"/>
          <w:left w:val="single" w:sz="8" w:space="0" w:color="478A57" w:themeColor="accent3"/>
          <w:bottom w:val="single" w:sz="18" w:space="0" w:color="478A57" w:themeColor="accent3"/>
          <w:right w:val="single" w:sz="8" w:space="0" w:color="478A57" w:themeColor="accent3"/>
          <w:insideH w:val="nil"/>
          <w:insideV w:val="single" w:sz="8" w:space="0" w:color="478A5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8A57" w:themeColor="accent3"/>
          <w:left w:val="single" w:sz="8" w:space="0" w:color="478A57" w:themeColor="accent3"/>
          <w:bottom w:val="single" w:sz="8" w:space="0" w:color="478A57" w:themeColor="accent3"/>
          <w:right w:val="single" w:sz="8" w:space="0" w:color="478A57" w:themeColor="accent3"/>
          <w:insideH w:val="nil"/>
          <w:insideV w:val="single" w:sz="8" w:space="0" w:color="478A5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8A57" w:themeColor="accent3"/>
          <w:left w:val="single" w:sz="8" w:space="0" w:color="478A57" w:themeColor="accent3"/>
          <w:bottom w:val="single" w:sz="8" w:space="0" w:color="478A57" w:themeColor="accent3"/>
          <w:right w:val="single" w:sz="8" w:space="0" w:color="478A57" w:themeColor="accent3"/>
        </w:tcBorders>
      </w:tcPr>
    </w:tblStylePr>
    <w:tblStylePr w:type="band1Vert">
      <w:tblPr/>
      <w:tcPr>
        <w:tcBorders>
          <w:top w:val="single" w:sz="8" w:space="0" w:color="478A57" w:themeColor="accent3"/>
          <w:left w:val="single" w:sz="8" w:space="0" w:color="478A57" w:themeColor="accent3"/>
          <w:bottom w:val="single" w:sz="8" w:space="0" w:color="478A57" w:themeColor="accent3"/>
          <w:right w:val="single" w:sz="8" w:space="0" w:color="478A57" w:themeColor="accent3"/>
        </w:tcBorders>
        <w:shd w:val="clear" w:color="auto" w:fill="CDE5D3" w:themeFill="accent3" w:themeFillTint="3F"/>
      </w:tcPr>
    </w:tblStylePr>
    <w:tblStylePr w:type="band1Horz">
      <w:tblPr/>
      <w:tcPr>
        <w:tcBorders>
          <w:top w:val="single" w:sz="8" w:space="0" w:color="478A57" w:themeColor="accent3"/>
          <w:left w:val="single" w:sz="8" w:space="0" w:color="478A57" w:themeColor="accent3"/>
          <w:bottom w:val="single" w:sz="8" w:space="0" w:color="478A57" w:themeColor="accent3"/>
          <w:right w:val="single" w:sz="8" w:space="0" w:color="478A57" w:themeColor="accent3"/>
          <w:insideV w:val="single" w:sz="8" w:space="0" w:color="478A57" w:themeColor="accent3"/>
        </w:tcBorders>
        <w:shd w:val="clear" w:color="auto" w:fill="CDE5D3" w:themeFill="accent3" w:themeFillTint="3F"/>
      </w:tcPr>
    </w:tblStylePr>
    <w:tblStylePr w:type="band2Horz">
      <w:tblPr/>
      <w:tcPr>
        <w:tcBorders>
          <w:top w:val="single" w:sz="8" w:space="0" w:color="478A57" w:themeColor="accent3"/>
          <w:left w:val="single" w:sz="8" w:space="0" w:color="478A57" w:themeColor="accent3"/>
          <w:bottom w:val="single" w:sz="8" w:space="0" w:color="478A57" w:themeColor="accent3"/>
          <w:right w:val="single" w:sz="8" w:space="0" w:color="478A57" w:themeColor="accent3"/>
          <w:insideV w:val="single" w:sz="8" w:space="0" w:color="478A57" w:themeColor="accent3"/>
        </w:tcBorders>
      </w:tcPr>
    </w:tblStylePr>
  </w:style>
  <w:style w:type="table" w:styleId="LightGrid-Accent4">
    <w:name w:val="Light Grid Accent 4"/>
    <w:basedOn w:val="TableNormal"/>
    <w:uiPriority w:val="62"/>
    <w:rsid w:val="001F3061"/>
    <w:pPr>
      <w:spacing w:after="0" w:line="240" w:lineRule="auto"/>
    </w:pPr>
    <w:tblPr>
      <w:tblStyleRowBandSize w:val="1"/>
      <w:tblStyleColBandSize w:val="1"/>
      <w:tblBorders>
        <w:top w:val="single" w:sz="8" w:space="0" w:color="969A52" w:themeColor="accent4"/>
        <w:left w:val="single" w:sz="8" w:space="0" w:color="969A52" w:themeColor="accent4"/>
        <w:bottom w:val="single" w:sz="8" w:space="0" w:color="969A52" w:themeColor="accent4"/>
        <w:right w:val="single" w:sz="8" w:space="0" w:color="969A52" w:themeColor="accent4"/>
        <w:insideH w:val="single" w:sz="8" w:space="0" w:color="969A52" w:themeColor="accent4"/>
        <w:insideV w:val="single" w:sz="8" w:space="0" w:color="969A5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A52" w:themeColor="accent4"/>
          <w:left w:val="single" w:sz="8" w:space="0" w:color="969A52" w:themeColor="accent4"/>
          <w:bottom w:val="single" w:sz="18" w:space="0" w:color="969A52" w:themeColor="accent4"/>
          <w:right w:val="single" w:sz="8" w:space="0" w:color="969A52" w:themeColor="accent4"/>
          <w:insideH w:val="nil"/>
          <w:insideV w:val="single" w:sz="8" w:space="0" w:color="969A5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A52" w:themeColor="accent4"/>
          <w:left w:val="single" w:sz="8" w:space="0" w:color="969A52" w:themeColor="accent4"/>
          <w:bottom w:val="single" w:sz="8" w:space="0" w:color="969A52" w:themeColor="accent4"/>
          <w:right w:val="single" w:sz="8" w:space="0" w:color="969A52" w:themeColor="accent4"/>
          <w:insideH w:val="nil"/>
          <w:insideV w:val="single" w:sz="8" w:space="0" w:color="969A5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A52" w:themeColor="accent4"/>
          <w:left w:val="single" w:sz="8" w:space="0" w:color="969A52" w:themeColor="accent4"/>
          <w:bottom w:val="single" w:sz="8" w:space="0" w:color="969A52" w:themeColor="accent4"/>
          <w:right w:val="single" w:sz="8" w:space="0" w:color="969A52" w:themeColor="accent4"/>
        </w:tcBorders>
      </w:tcPr>
    </w:tblStylePr>
    <w:tblStylePr w:type="band1Vert">
      <w:tblPr/>
      <w:tcPr>
        <w:tcBorders>
          <w:top w:val="single" w:sz="8" w:space="0" w:color="969A52" w:themeColor="accent4"/>
          <w:left w:val="single" w:sz="8" w:space="0" w:color="969A52" w:themeColor="accent4"/>
          <w:bottom w:val="single" w:sz="8" w:space="0" w:color="969A52" w:themeColor="accent4"/>
          <w:right w:val="single" w:sz="8" w:space="0" w:color="969A52" w:themeColor="accent4"/>
        </w:tcBorders>
        <w:shd w:val="clear" w:color="auto" w:fill="E6E7D2" w:themeFill="accent4" w:themeFillTint="3F"/>
      </w:tcPr>
    </w:tblStylePr>
    <w:tblStylePr w:type="band1Horz">
      <w:tblPr/>
      <w:tcPr>
        <w:tcBorders>
          <w:top w:val="single" w:sz="8" w:space="0" w:color="969A52" w:themeColor="accent4"/>
          <w:left w:val="single" w:sz="8" w:space="0" w:color="969A52" w:themeColor="accent4"/>
          <w:bottom w:val="single" w:sz="8" w:space="0" w:color="969A52" w:themeColor="accent4"/>
          <w:right w:val="single" w:sz="8" w:space="0" w:color="969A52" w:themeColor="accent4"/>
          <w:insideV w:val="single" w:sz="8" w:space="0" w:color="969A52" w:themeColor="accent4"/>
        </w:tcBorders>
        <w:shd w:val="clear" w:color="auto" w:fill="E6E7D2" w:themeFill="accent4" w:themeFillTint="3F"/>
      </w:tcPr>
    </w:tblStylePr>
    <w:tblStylePr w:type="band2Horz">
      <w:tblPr/>
      <w:tcPr>
        <w:tcBorders>
          <w:top w:val="single" w:sz="8" w:space="0" w:color="969A52" w:themeColor="accent4"/>
          <w:left w:val="single" w:sz="8" w:space="0" w:color="969A52" w:themeColor="accent4"/>
          <w:bottom w:val="single" w:sz="8" w:space="0" w:color="969A52" w:themeColor="accent4"/>
          <w:right w:val="single" w:sz="8" w:space="0" w:color="969A52" w:themeColor="accent4"/>
          <w:insideV w:val="single" w:sz="8" w:space="0" w:color="969A5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112B61"/>
    <w:pPr>
      <w:spacing w:before="120" w:after="0"/>
    </w:pPr>
    <w:rPr>
      <w:rFonts w:cstheme="minorHAnsi"/>
      <w:b/>
      <w:bCs/>
      <w:i/>
      <w:iCs/>
      <w:sz w:val="24"/>
      <w:szCs w:val="24"/>
    </w:rPr>
  </w:style>
  <w:style w:type="paragraph" w:styleId="TOC2">
    <w:name w:val="toc 2"/>
    <w:basedOn w:val="Normal"/>
    <w:next w:val="Normal"/>
    <w:autoRedefine/>
    <w:uiPriority w:val="39"/>
    <w:unhideWhenUsed/>
    <w:qFormat/>
    <w:rsid w:val="00EF4A38"/>
    <w:pPr>
      <w:spacing w:before="120" w:after="0"/>
      <w:ind w:left="220"/>
    </w:pPr>
    <w:rPr>
      <w:rFonts w:cstheme="minorHAnsi"/>
      <w:b/>
      <w:bCs/>
    </w:rPr>
  </w:style>
  <w:style w:type="paragraph" w:styleId="TOC3">
    <w:name w:val="toc 3"/>
    <w:basedOn w:val="Normal"/>
    <w:next w:val="Normal"/>
    <w:autoRedefine/>
    <w:uiPriority w:val="39"/>
    <w:unhideWhenUsed/>
    <w:qFormat/>
    <w:rsid w:val="00EF4A38"/>
    <w:pPr>
      <w:spacing w:after="0"/>
      <w:ind w:left="440"/>
    </w:pPr>
    <w:rPr>
      <w:rFonts w:cstheme="minorHAnsi"/>
      <w:sz w:val="20"/>
      <w:szCs w:val="20"/>
    </w:rPr>
  </w:style>
  <w:style w:type="paragraph" w:styleId="Caption">
    <w:name w:val="caption"/>
    <w:next w:val="Normal"/>
    <w:uiPriority w:val="35"/>
    <w:unhideWhenUsed/>
    <w:rsid w:val="00E02725"/>
    <w:pPr>
      <w:keepNext/>
      <w:spacing w:before="240" w:after="120"/>
    </w:pPr>
    <w:rPr>
      <w:rFonts w:ascii="Calibri" w:eastAsiaTheme="majorEastAsia" w:hAnsi="Calibri" w:cstheme="majorBidi"/>
      <w:b/>
      <w:bCs/>
      <w:i/>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TOC4">
    <w:name w:val="toc 4"/>
    <w:basedOn w:val="Normal"/>
    <w:next w:val="Normal"/>
    <w:autoRedefine/>
    <w:uiPriority w:val="39"/>
    <w:unhideWhenUsed/>
    <w:rsid w:val="00952C5E"/>
    <w:pPr>
      <w:spacing w:after="0"/>
      <w:ind w:left="660"/>
    </w:pPr>
    <w:rPr>
      <w:rFonts w:cstheme="minorHAnsi"/>
      <w:sz w:val="20"/>
      <w:szCs w:val="20"/>
    </w:rPr>
  </w:style>
  <w:style w:type="paragraph" w:styleId="TOC5">
    <w:name w:val="toc 5"/>
    <w:basedOn w:val="Normal"/>
    <w:next w:val="Normal"/>
    <w:autoRedefine/>
    <w:uiPriority w:val="39"/>
    <w:unhideWhenUsed/>
    <w:rsid w:val="00952C5E"/>
    <w:pPr>
      <w:spacing w:after="0"/>
      <w:ind w:left="880"/>
    </w:pPr>
    <w:rPr>
      <w:rFonts w:cstheme="minorHAnsi"/>
      <w:sz w:val="20"/>
      <w:szCs w:val="20"/>
    </w:rPr>
  </w:style>
  <w:style w:type="paragraph" w:styleId="TOC6">
    <w:name w:val="toc 6"/>
    <w:basedOn w:val="Normal"/>
    <w:next w:val="Normal"/>
    <w:autoRedefine/>
    <w:uiPriority w:val="39"/>
    <w:unhideWhenUsed/>
    <w:rsid w:val="00952C5E"/>
    <w:pPr>
      <w:spacing w:after="0"/>
      <w:ind w:left="1100"/>
    </w:pPr>
    <w:rPr>
      <w:rFonts w:cstheme="minorHAnsi"/>
      <w:sz w:val="20"/>
      <w:szCs w:val="20"/>
    </w:rPr>
  </w:style>
  <w:style w:type="paragraph" w:styleId="TOC7">
    <w:name w:val="toc 7"/>
    <w:basedOn w:val="Normal"/>
    <w:next w:val="Normal"/>
    <w:autoRedefine/>
    <w:uiPriority w:val="39"/>
    <w:unhideWhenUsed/>
    <w:rsid w:val="00952C5E"/>
    <w:pPr>
      <w:spacing w:after="0"/>
      <w:ind w:left="1320"/>
    </w:pPr>
    <w:rPr>
      <w:rFonts w:cstheme="minorHAnsi"/>
      <w:sz w:val="20"/>
      <w:szCs w:val="20"/>
    </w:rPr>
  </w:style>
  <w:style w:type="paragraph" w:styleId="TOC8">
    <w:name w:val="toc 8"/>
    <w:basedOn w:val="Normal"/>
    <w:next w:val="Normal"/>
    <w:autoRedefine/>
    <w:uiPriority w:val="39"/>
    <w:unhideWhenUsed/>
    <w:rsid w:val="00952C5E"/>
    <w:pPr>
      <w:spacing w:after="0"/>
      <w:ind w:left="1540"/>
    </w:pPr>
    <w:rPr>
      <w:rFonts w:cstheme="minorHAnsi"/>
      <w:sz w:val="20"/>
      <w:szCs w:val="20"/>
    </w:rPr>
  </w:style>
  <w:style w:type="paragraph" w:styleId="TOC9">
    <w:name w:val="toc 9"/>
    <w:basedOn w:val="Normal"/>
    <w:next w:val="Normal"/>
    <w:autoRedefine/>
    <w:uiPriority w:val="39"/>
    <w:unhideWhenUsed/>
    <w:rsid w:val="00952C5E"/>
    <w:pPr>
      <w:spacing w:after="0"/>
      <w:ind w:left="1760"/>
    </w:pPr>
    <w:rPr>
      <w:rFonts w:cstheme="minorHAnsi"/>
      <w:sz w:val="20"/>
      <w:szCs w:val="20"/>
    </w:rPr>
  </w:style>
  <w:style w:type="character" w:styleId="CommentReference">
    <w:name w:val="annotation reference"/>
    <w:basedOn w:val="DefaultParagraphFont"/>
    <w:uiPriority w:val="99"/>
    <w:semiHidden/>
    <w:unhideWhenUsed/>
    <w:rsid w:val="003A0C66"/>
    <w:rPr>
      <w:sz w:val="18"/>
      <w:szCs w:val="18"/>
    </w:rPr>
  </w:style>
  <w:style w:type="paragraph" w:styleId="CommentText">
    <w:name w:val="annotation text"/>
    <w:basedOn w:val="Normal"/>
    <w:link w:val="CommentTextChar"/>
    <w:uiPriority w:val="99"/>
    <w:unhideWhenUsed/>
    <w:rsid w:val="003A0C66"/>
    <w:pPr>
      <w:spacing w:line="240" w:lineRule="auto"/>
    </w:pPr>
    <w:rPr>
      <w:sz w:val="24"/>
      <w:szCs w:val="24"/>
    </w:rPr>
  </w:style>
  <w:style w:type="character" w:customStyle="1" w:styleId="CommentTextChar">
    <w:name w:val="Comment Text Char"/>
    <w:basedOn w:val="DefaultParagraphFont"/>
    <w:link w:val="CommentText"/>
    <w:uiPriority w:val="99"/>
    <w:rsid w:val="003A0C66"/>
    <w:rPr>
      <w:sz w:val="24"/>
      <w:szCs w:val="24"/>
    </w:rPr>
  </w:style>
  <w:style w:type="paragraph" w:styleId="CommentSubject">
    <w:name w:val="annotation subject"/>
    <w:basedOn w:val="CommentText"/>
    <w:next w:val="CommentText"/>
    <w:link w:val="CommentSubjectChar"/>
    <w:uiPriority w:val="99"/>
    <w:semiHidden/>
    <w:unhideWhenUsed/>
    <w:rsid w:val="003A0C66"/>
    <w:rPr>
      <w:b/>
      <w:bCs/>
      <w:sz w:val="20"/>
      <w:szCs w:val="20"/>
    </w:rPr>
  </w:style>
  <w:style w:type="character" w:customStyle="1" w:styleId="CommentSubjectChar">
    <w:name w:val="Comment Subject Char"/>
    <w:basedOn w:val="CommentTextChar"/>
    <w:link w:val="CommentSubject"/>
    <w:uiPriority w:val="99"/>
    <w:semiHidden/>
    <w:rsid w:val="003A0C66"/>
    <w:rPr>
      <w:b/>
      <w:bCs/>
      <w:sz w:val="20"/>
      <w:szCs w:val="20"/>
    </w:rPr>
  </w:style>
  <w:style w:type="character" w:styleId="PageNumber">
    <w:name w:val="page number"/>
    <w:basedOn w:val="DefaultParagraphFont"/>
    <w:uiPriority w:val="99"/>
    <w:semiHidden/>
    <w:unhideWhenUsed/>
    <w:rsid w:val="0043692A"/>
  </w:style>
  <w:style w:type="paragraph" w:customStyle="1" w:styleId="box">
    <w:name w:val="box"/>
    <w:basedOn w:val="Normal"/>
    <w:qFormat/>
    <w:rsid w:val="000E5583"/>
    <w:pPr>
      <w:pBdr>
        <w:top w:val="single" w:sz="48" w:space="1" w:color="E5E5E5" w:themeColor="background1" w:themeTint="33"/>
        <w:left w:val="single" w:sz="48" w:space="4" w:color="E5E5E5" w:themeColor="background1" w:themeTint="33"/>
        <w:bottom w:val="single" w:sz="48" w:space="1" w:color="E5E5E5" w:themeColor="background1" w:themeTint="33"/>
        <w:right w:val="single" w:sz="48" w:space="4" w:color="E5E5E5" w:themeColor="background1" w:themeTint="33"/>
      </w:pBdr>
      <w:shd w:val="clear" w:color="auto" w:fill="E5E5E5" w:themeFill="background1" w:themeFillTint="33"/>
      <w:spacing w:before="200"/>
    </w:pPr>
  </w:style>
  <w:style w:type="paragraph" w:styleId="TableofFigures">
    <w:name w:val="table of figures"/>
    <w:basedOn w:val="Normal"/>
    <w:next w:val="Normal"/>
    <w:uiPriority w:val="99"/>
    <w:unhideWhenUsed/>
    <w:rsid w:val="00774B33"/>
    <w:pPr>
      <w:ind w:left="440" w:hanging="440"/>
    </w:pPr>
    <w:rPr>
      <w:b/>
    </w:rPr>
  </w:style>
  <w:style w:type="table" w:styleId="LightShading-Accent2">
    <w:name w:val="Light Shading Accent 2"/>
    <w:basedOn w:val="TableNormal"/>
    <w:uiPriority w:val="60"/>
    <w:rsid w:val="00FD1B56"/>
    <w:pPr>
      <w:spacing w:after="0" w:line="240" w:lineRule="auto"/>
    </w:pPr>
    <w:rPr>
      <w:color w:val="422856" w:themeColor="accent2" w:themeShade="BF"/>
    </w:rPr>
    <w:tblPr>
      <w:tblStyleRowBandSize w:val="1"/>
      <w:tblStyleColBandSize w:val="1"/>
      <w:tblBorders>
        <w:top w:val="single" w:sz="8" w:space="0" w:color="593674" w:themeColor="accent2"/>
        <w:bottom w:val="single" w:sz="8" w:space="0" w:color="593674" w:themeColor="accent2"/>
      </w:tblBorders>
    </w:tblPr>
    <w:tblStylePr w:type="firstRow">
      <w:pPr>
        <w:spacing w:before="0" w:after="0" w:line="240" w:lineRule="auto"/>
      </w:pPr>
      <w:rPr>
        <w:b/>
        <w:bCs/>
      </w:rPr>
      <w:tblPr/>
      <w:tcPr>
        <w:tcBorders>
          <w:top w:val="single" w:sz="8" w:space="0" w:color="593674" w:themeColor="accent2"/>
          <w:left w:val="nil"/>
          <w:bottom w:val="single" w:sz="8" w:space="0" w:color="593674" w:themeColor="accent2"/>
          <w:right w:val="nil"/>
          <w:insideH w:val="nil"/>
          <w:insideV w:val="nil"/>
        </w:tcBorders>
      </w:tcPr>
    </w:tblStylePr>
    <w:tblStylePr w:type="lastRow">
      <w:pPr>
        <w:spacing w:before="0" w:after="0" w:line="240" w:lineRule="auto"/>
      </w:pPr>
      <w:rPr>
        <w:b/>
        <w:bCs/>
      </w:rPr>
      <w:tblPr/>
      <w:tcPr>
        <w:tcBorders>
          <w:top w:val="single" w:sz="8" w:space="0" w:color="593674" w:themeColor="accent2"/>
          <w:left w:val="nil"/>
          <w:bottom w:val="single" w:sz="8" w:space="0" w:color="59367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C5E4" w:themeFill="accent2" w:themeFillTint="3F"/>
      </w:tcPr>
    </w:tblStylePr>
    <w:tblStylePr w:type="band1Horz">
      <w:tblPr/>
      <w:tcPr>
        <w:tcBorders>
          <w:left w:val="nil"/>
          <w:right w:val="nil"/>
          <w:insideH w:val="nil"/>
          <w:insideV w:val="nil"/>
        </w:tcBorders>
        <w:shd w:val="clear" w:color="auto" w:fill="D6C5E4" w:themeFill="accent2" w:themeFillTint="3F"/>
      </w:tcPr>
    </w:tblStylePr>
  </w:style>
  <w:style w:type="table" w:styleId="LightList-Accent2">
    <w:name w:val="Light List Accent 2"/>
    <w:basedOn w:val="TableNormal"/>
    <w:uiPriority w:val="61"/>
    <w:rsid w:val="00FD1B56"/>
    <w:pPr>
      <w:spacing w:after="0" w:line="240" w:lineRule="auto"/>
    </w:pPr>
    <w:tblPr>
      <w:tblStyleRowBandSize w:val="1"/>
      <w:tblStyleColBandSize w:val="1"/>
      <w:tblBorders>
        <w:top w:val="single" w:sz="8" w:space="0" w:color="593674" w:themeColor="accent2"/>
        <w:left w:val="single" w:sz="8" w:space="0" w:color="593674" w:themeColor="accent2"/>
        <w:bottom w:val="single" w:sz="8" w:space="0" w:color="593674" w:themeColor="accent2"/>
        <w:right w:val="single" w:sz="8" w:space="0" w:color="593674" w:themeColor="accent2"/>
      </w:tblBorders>
    </w:tblPr>
    <w:tblStylePr w:type="firstRow">
      <w:pPr>
        <w:spacing w:before="0" w:after="0" w:line="240" w:lineRule="auto"/>
      </w:pPr>
      <w:rPr>
        <w:b/>
        <w:bCs/>
        <w:color w:val="7F7F7F" w:themeColor="background1"/>
      </w:rPr>
      <w:tblPr/>
      <w:tcPr>
        <w:shd w:val="clear" w:color="auto" w:fill="593674" w:themeFill="accent2"/>
      </w:tcPr>
    </w:tblStylePr>
    <w:tblStylePr w:type="lastRow">
      <w:pPr>
        <w:spacing w:before="0" w:after="0" w:line="240" w:lineRule="auto"/>
      </w:pPr>
      <w:rPr>
        <w:b/>
        <w:bCs/>
      </w:rPr>
      <w:tblPr/>
      <w:tcPr>
        <w:tcBorders>
          <w:top w:val="double" w:sz="6" w:space="0" w:color="593674" w:themeColor="accent2"/>
          <w:left w:val="single" w:sz="8" w:space="0" w:color="593674" w:themeColor="accent2"/>
          <w:bottom w:val="single" w:sz="8" w:space="0" w:color="593674" w:themeColor="accent2"/>
          <w:right w:val="single" w:sz="8" w:space="0" w:color="593674" w:themeColor="accent2"/>
        </w:tcBorders>
      </w:tcPr>
    </w:tblStylePr>
    <w:tblStylePr w:type="firstCol">
      <w:rPr>
        <w:b/>
        <w:bCs/>
      </w:rPr>
    </w:tblStylePr>
    <w:tblStylePr w:type="lastCol">
      <w:rPr>
        <w:b/>
        <w:bCs/>
      </w:rPr>
    </w:tblStylePr>
    <w:tblStylePr w:type="band1Vert">
      <w:tblPr/>
      <w:tcPr>
        <w:tcBorders>
          <w:top w:val="single" w:sz="8" w:space="0" w:color="593674" w:themeColor="accent2"/>
          <w:left w:val="single" w:sz="8" w:space="0" w:color="593674" w:themeColor="accent2"/>
          <w:bottom w:val="single" w:sz="8" w:space="0" w:color="593674" w:themeColor="accent2"/>
          <w:right w:val="single" w:sz="8" w:space="0" w:color="593674" w:themeColor="accent2"/>
        </w:tcBorders>
      </w:tcPr>
    </w:tblStylePr>
    <w:tblStylePr w:type="band1Horz">
      <w:tblPr/>
      <w:tcPr>
        <w:tcBorders>
          <w:top w:val="single" w:sz="8" w:space="0" w:color="593674" w:themeColor="accent2"/>
          <w:left w:val="single" w:sz="8" w:space="0" w:color="593674" w:themeColor="accent2"/>
          <w:bottom w:val="single" w:sz="8" w:space="0" w:color="593674" w:themeColor="accent2"/>
          <w:right w:val="single" w:sz="8" w:space="0" w:color="593674" w:themeColor="accent2"/>
        </w:tcBorders>
      </w:tcPr>
    </w:tblStylePr>
  </w:style>
  <w:style w:type="paragraph" w:styleId="Revision">
    <w:name w:val="Revision"/>
    <w:hidden/>
    <w:uiPriority w:val="99"/>
    <w:semiHidden/>
    <w:rsid w:val="00F65065"/>
    <w:pPr>
      <w:spacing w:after="0" w:line="240" w:lineRule="auto"/>
    </w:pPr>
  </w:style>
  <w:style w:type="paragraph" w:styleId="FootnoteText">
    <w:name w:val="footnote text"/>
    <w:basedOn w:val="Normal"/>
    <w:link w:val="FootnoteTextChar"/>
    <w:uiPriority w:val="99"/>
    <w:unhideWhenUsed/>
    <w:rsid w:val="00EF786F"/>
    <w:pPr>
      <w:spacing w:after="0" w:line="240" w:lineRule="auto"/>
    </w:pPr>
    <w:rPr>
      <w:sz w:val="20"/>
      <w:szCs w:val="20"/>
    </w:rPr>
  </w:style>
  <w:style w:type="character" w:customStyle="1" w:styleId="FootnoteTextChar">
    <w:name w:val="Footnote Text Char"/>
    <w:basedOn w:val="DefaultParagraphFont"/>
    <w:link w:val="FootnoteText"/>
    <w:uiPriority w:val="99"/>
    <w:rsid w:val="00EF786F"/>
    <w:rPr>
      <w:sz w:val="20"/>
      <w:szCs w:val="20"/>
    </w:rPr>
  </w:style>
  <w:style w:type="character" w:styleId="FootnoteReference">
    <w:name w:val="footnote reference"/>
    <w:basedOn w:val="DefaultParagraphFont"/>
    <w:uiPriority w:val="99"/>
    <w:unhideWhenUsed/>
    <w:rsid w:val="00EF786F"/>
    <w:rPr>
      <w:vertAlign w:val="superscript"/>
    </w:rPr>
  </w:style>
  <w:style w:type="character" w:styleId="FollowedHyperlink">
    <w:name w:val="FollowedHyperlink"/>
    <w:basedOn w:val="DefaultParagraphFont"/>
    <w:uiPriority w:val="99"/>
    <w:semiHidden/>
    <w:unhideWhenUsed/>
    <w:rsid w:val="00D44DE8"/>
    <w:rPr>
      <w:color w:val="000000" w:themeColor="followedHyperlink"/>
      <w:u w:val="single"/>
    </w:rPr>
  </w:style>
  <w:style w:type="paragraph" w:customStyle="1" w:styleId="Brief-BULLET">
    <w:name w:val="Brief - BULLET"/>
    <w:basedOn w:val="Normal"/>
    <w:rsid w:val="00F464C5"/>
    <w:pPr>
      <w:numPr>
        <w:numId w:val="41"/>
      </w:numPr>
      <w:spacing w:after="0" w:line="230" w:lineRule="exact"/>
    </w:pPr>
    <w:rPr>
      <w:rFonts w:ascii="Times New Roman" w:eastAsia="Times New Roman" w:hAnsi="Times New Roman" w:cs="Times New Roman"/>
      <w:szCs w:val="20"/>
    </w:rPr>
  </w:style>
  <w:style w:type="paragraph" w:styleId="PlainText">
    <w:name w:val="Plain Text"/>
    <w:basedOn w:val="Normal"/>
    <w:link w:val="PlainTextChar"/>
    <w:uiPriority w:val="99"/>
    <w:unhideWhenUsed/>
    <w:rsid w:val="00467FF9"/>
    <w:pPr>
      <w:spacing w:after="0" w:line="240" w:lineRule="auto"/>
    </w:pPr>
    <w:rPr>
      <w:rFonts w:ascii="Calibri" w:eastAsia="Times New Roman" w:hAnsi="Calibri" w:cs="Consolas"/>
      <w:szCs w:val="21"/>
    </w:rPr>
  </w:style>
  <w:style w:type="character" w:customStyle="1" w:styleId="PlainTextChar">
    <w:name w:val="Plain Text Char"/>
    <w:basedOn w:val="DefaultParagraphFont"/>
    <w:link w:val="PlainText"/>
    <w:uiPriority w:val="99"/>
    <w:rsid w:val="00467FF9"/>
    <w:rPr>
      <w:rFonts w:ascii="Calibri" w:eastAsia="Times New Roman" w:hAnsi="Calibri" w:cs="Consolas"/>
      <w:szCs w:val="21"/>
    </w:rPr>
  </w:style>
  <w:style w:type="table" w:styleId="LightGrid-Accent2">
    <w:name w:val="Light Grid Accent 2"/>
    <w:basedOn w:val="TableNormal"/>
    <w:uiPriority w:val="62"/>
    <w:rsid w:val="001F3061"/>
    <w:pPr>
      <w:spacing w:after="0" w:line="240" w:lineRule="auto"/>
    </w:pPr>
    <w:tblPr>
      <w:tblStyleRowBandSize w:val="1"/>
      <w:tblStyleColBandSize w:val="1"/>
      <w:tblBorders>
        <w:top w:val="single" w:sz="8" w:space="0" w:color="593674" w:themeColor="accent2"/>
        <w:left w:val="single" w:sz="8" w:space="0" w:color="593674" w:themeColor="accent2"/>
        <w:bottom w:val="single" w:sz="8" w:space="0" w:color="593674" w:themeColor="accent2"/>
        <w:right w:val="single" w:sz="8" w:space="0" w:color="593674" w:themeColor="accent2"/>
        <w:insideH w:val="single" w:sz="8" w:space="0" w:color="593674" w:themeColor="accent2"/>
        <w:insideV w:val="single" w:sz="8" w:space="0" w:color="59367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3674" w:themeColor="accent2"/>
          <w:left w:val="single" w:sz="8" w:space="0" w:color="593674" w:themeColor="accent2"/>
          <w:bottom w:val="single" w:sz="18" w:space="0" w:color="593674" w:themeColor="accent2"/>
          <w:right w:val="single" w:sz="8" w:space="0" w:color="593674" w:themeColor="accent2"/>
          <w:insideH w:val="nil"/>
          <w:insideV w:val="single" w:sz="8" w:space="0" w:color="59367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3674" w:themeColor="accent2"/>
          <w:left w:val="single" w:sz="8" w:space="0" w:color="593674" w:themeColor="accent2"/>
          <w:bottom w:val="single" w:sz="8" w:space="0" w:color="593674" w:themeColor="accent2"/>
          <w:right w:val="single" w:sz="8" w:space="0" w:color="593674" w:themeColor="accent2"/>
          <w:insideH w:val="nil"/>
          <w:insideV w:val="single" w:sz="8" w:space="0" w:color="59367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3674" w:themeColor="accent2"/>
          <w:left w:val="single" w:sz="8" w:space="0" w:color="593674" w:themeColor="accent2"/>
          <w:bottom w:val="single" w:sz="8" w:space="0" w:color="593674" w:themeColor="accent2"/>
          <w:right w:val="single" w:sz="8" w:space="0" w:color="593674" w:themeColor="accent2"/>
        </w:tcBorders>
      </w:tcPr>
    </w:tblStylePr>
    <w:tblStylePr w:type="band1Vert">
      <w:tblPr/>
      <w:tcPr>
        <w:tcBorders>
          <w:top w:val="single" w:sz="8" w:space="0" w:color="593674" w:themeColor="accent2"/>
          <w:left w:val="single" w:sz="8" w:space="0" w:color="593674" w:themeColor="accent2"/>
          <w:bottom w:val="single" w:sz="8" w:space="0" w:color="593674" w:themeColor="accent2"/>
          <w:right w:val="single" w:sz="8" w:space="0" w:color="593674" w:themeColor="accent2"/>
        </w:tcBorders>
        <w:shd w:val="clear" w:color="auto" w:fill="D6C5E4" w:themeFill="accent2" w:themeFillTint="3F"/>
      </w:tcPr>
    </w:tblStylePr>
    <w:tblStylePr w:type="band1Horz">
      <w:tblPr/>
      <w:tcPr>
        <w:tcBorders>
          <w:top w:val="single" w:sz="8" w:space="0" w:color="593674" w:themeColor="accent2"/>
          <w:left w:val="single" w:sz="8" w:space="0" w:color="593674" w:themeColor="accent2"/>
          <w:bottom w:val="single" w:sz="8" w:space="0" w:color="593674" w:themeColor="accent2"/>
          <w:right w:val="single" w:sz="8" w:space="0" w:color="593674" w:themeColor="accent2"/>
          <w:insideV w:val="single" w:sz="8" w:space="0" w:color="593674" w:themeColor="accent2"/>
        </w:tcBorders>
        <w:shd w:val="clear" w:color="auto" w:fill="D6C5E4" w:themeFill="accent2" w:themeFillTint="3F"/>
      </w:tcPr>
    </w:tblStylePr>
    <w:tblStylePr w:type="band2Horz">
      <w:tblPr/>
      <w:tcPr>
        <w:tcBorders>
          <w:top w:val="single" w:sz="8" w:space="0" w:color="593674" w:themeColor="accent2"/>
          <w:left w:val="single" w:sz="8" w:space="0" w:color="593674" w:themeColor="accent2"/>
          <w:bottom w:val="single" w:sz="8" w:space="0" w:color="593674" w:themeColor="accent2"/>
          <w:right w:val="single" w:sz="8" w:space="0" w:color="593674" w:themeColor="accent2"/>
          <w:insideV w:val="single" w:sz="8" w:space="0" w:color="593674" w:themeColor="accent2"/>
        </w:tcBorders>
      </w:tcPr>
    </w:tblStylePr>
  </w:style>
  <w:style w:type="table" w:styleId="MediumList2-Accent2">
    <w:name w:val="Medium List 2 Accent 2"/>
    <w:basedOn w:val="TableNormal"/>
    <w:uiPriority w:val="66"/>
    <w:rsid w:val="001F30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3674" w:themeColor="accent2"/>
        <w:left w:val="single" w:sz="8" w:space="0" w:color="593674" w:themeColor="accent2"/>
        <w:bottom w:val="single" w:sz="8" w:space="0" w:color="593674" w:themeColor="accent2"/>
        <w:right w:val="single" w:sz="8" w:space="0" w:color="593674" w:themeColor="accent2"/>
      </w:tblBorders>
    </w:tblPr>
    <w:tblStylePr w:type="firstRow">
      <w:rPr>
        <w:sz w:val="24"/>
        <w:szCs w:val="24"/>
      </w:rPr>
      <w:tblPr/>
      <w:tcPr>
        <w:tcBorders>
          <w:top w:val="nil"/>
          <w:left w:val="nil"/>
          <w:bottom w:val="single" w:sz="24" w:space="0" w:color="593674" w:themeColor="accent2"/>
          <w:right w:val="nil"/>
          <w:insideH w:val="nil"/>
          <w:insideV w:val="nil"/>
        </w:tcBorders>
        <w:shd w:val="clear" w:color="auto" w:fill="7F7F7F" w:themeFill="background1"/>
      </w:tcPr>
    </w:tblStylePr>
    <w:tblStylePr w:type="lastRow">
      <w:tblPr/>
      <w:tcPr>
        <w:tcBorders>
          <w:top w:val="single" w:sz="8" w:space="0" w:color="593674" w:themeColor="accent2"/>
          <w:left w:val="nil"/>
          <w:bottom w:val="nil"/>
          <w:right w:val="nil"/>
          <w:insideH w:val="nil"/>
          <w:insideV w:val="nil"/>
        </w:tcBorders>
        <w:shd w:val="clear" w:color="auto" w:fill="7F7F7F" w:themeFill="background1"/>
      </w:tcPr>
    </w:tblStylePr>
    <w:tblStylePr w:type="firstCol">
      <w:tblPr/>
      <w:tcPr>
        <w:tcBorders>
          <w:top w:val="nil"/>
          <w:left w:val="nil"/>
          <w:bottom w:val="nil"/>
          <w:right w:val="single" w:sz="8" w:space="0" w:color="593674" w:themeColor="accent2"/>
          <w:insideH w:val="nil"/>
          <w:insideV w:val="nil"/>
        </w:tcBorders>
        <w:shd w:val="clear" w:color="auto" w:fill="7F7F7F" w:themeFill="background1"/>
      </w:tcPr>
    </w:tblStylePr>
    <w:tblStylePr w:type="lastCol">
      <w:tblPr/>
      <w:tcPr>
        <w:tcBorders>
          <w:top w:val="nil"/>
          <w:left w:val="single" w:sz="8" w:space="0" w:color="593674" w:themeColor="accent2"/>
          <w:bottom w:val="nil"/>
          <w:right w:val="nil"/>
          <w:insideH w:val="nil"/>
          <w:insideV w:val="nil"/>
        </w:tcBorders>
        <w:shd w:val="clear" w:color="auto" w:fill="7F7F7F" w:themeFill="background1"/>
      </w:tcPr>
    </w:tblStylePr>
    <w:tblStylePr w:type="band1Vert">
      <w:tblPr/>
      <w:tcPr>
        <w:tcBorders>
          <w:left w:val="nil"/>
          <w:right w:val="nil"/>
          <w:insideH w:val="nil"/>
          <w:insideV w:val="nil"/>
        </w:tcBorders>
        <w:shd w:val="clear" w:color="auto" w:fill="D6C5E4" w:themeFill="accent2" w:themeFillTint="3F"/>
      </w:tcPr>
    </w:tblStylePr>
    <w:tblStylePr w:type="band1Horz">
      <w:tblPr/>
      <w:tcPr>
        <w:tcBorders>
          <w:top w:val="nil"/>
          <w:bottom w:val="nil"/>
          <w:insideH w:val="nil"/>
          <w:insideV w:val="nil"/>
        </w:tcBorders>
        <w:shd w:val="clear" w:color="auto" w:fill="D6C5E4" w:themeFill="accent2" w:themeFillTint="3F"/>
      </w:tcPr>
    </w:tblStylePr>
    <w:tblStylePr w:type="nwCell">
      <w:tblPr/>
      <w:tcPr>
        <w:shd w:val="clear" w:color="auto" w:fill="7F7F7F" w:themeFill="background1"/>
      </w:tcPr>
    </w:tblStylePr>
    <w:tblStylePr w:type="swCell">
      <w:tblPr/>
      <w:tcPr>
        <w:tcBorders>
          <w:top w:val="nil"/>
        </w:tcBorders>
      </w:tcPr>
    </w:tblStylePr>
  </w:style>
  <w:style w:type="table" w:styleId="MediumGrid1-Accent2">
    <w:name w:val="Medium Grid 1 Accent 2"/>
    <w:basedOn w:val="TableNormal"/>
    <w:uiPriority w:val="67"/>
    <w:rsid w:val="001F3061"/>
    <w:pPr>
      <w:spacing w:after="0" w:line="240" w:lineRule="auto"/>
    </w:pPr>
    <w:tblPr>
      <w:tblStyleRowBandSize w:val="1"/>
      <w:tblStyleColBandSize w:val="1"/>
      <w:tblBorders>
        <w:top w:val="single" w:sz="8" w:space="0" w:color="8551AE" w:themeColor="accent2" w:themeTint="BF"/>
        <w:left w:val="single" w:sz="8" w:space="0" w:color="8551AE" w:themeColor="accent2" w:themeTint="BF"/>
        <w:bottom w:val="single" w:sz="8" w:space="0" w:color="8551AE" w:themeColor="accent2" w:themeTint="BF"/>
        <w:right w:val="single" w:sz="8" w:space="0" w:color="8551AE" w:themeColor="accent2" w:themeTint="BF"/>
        <w:insideH w:val="single" w:sz="8" w:space="0" w:color="8551AE" w:themeColor="accent2" w:themeTint="BF"/>
        <w:insideV w:val="single" w:sz="8" w:space="0" w:color="8551AE" w:themeColor="accent2" w:themeTint="BF"/>
      </w:tblBorders>
    </w:tblPr>
    <w:tcPr>
      <w:shd w:val="clear" w:color="auto" w:fill="D6C5E4" w:themeFill="accent2" w:themeFillTint="3F"/>
    </w:tcPr>
    <w:tblStylePr w:type="firstRow">
      <w:rPr>
        <w:b/>
        <w:bCs/>
      </w:rPr>
    </w:tblStylePr>
    <w:tblStylePr w:type="lastRow">
      <w:rPr>
        <w:b/>
        <w:bCs/>
      </w:rPr>
      <w:tblPr/>
      <w:tcPr>
        <w:tcBorders>
          <w:top w:val="single" w:sz="18" w:space="0" w:color="8551AE" w:themeColor="accent2" w:themeTint="BF"/>
        </w:tcBorders>
      </w:tcPr>
    </w:tblStylePr>
    <w:tblStylePr w:type="firstCol">
      <w:rPr>
        <w:b/>
        <w:bCs/>
      </w:rPr>
    </w:tblStylePr>
    <w:tblStylePr w:type="lastCol">
      <w:rPr>
        <w:b/>
        <w:bCs/>
      </w:rPr>
    </w:tblStylePr>
    <w:tblStylePr w:type="band1Vert">
      <w:tblPr/>
      <w:tcPr>
        <w:shd w:val="clear" w:color="auto" w:fill="AE8BC9" w:themeFill="accent2" w:themeFillTint="7F"/>
      </w:tcPr>
    </w:tblStylePr>
    <w:tblStylePr w:type="band1Horz">
      <w:tblPr/>
      <w:tcPr>
        <w:shd w:val="clear" w:color="auto" w:fill="AE8BC9" w:themeFill="accent2" w:themeFillTint="7F"/>
      </w:tcPr>
    </w:tblStylePr>
  </w:style>
  <w:style w:type="table" w:styleId="MediumGrid3-Accent2">
    <w:name w:val="Medium Grid 3 Accent 2"/>
    <w:basedOn w:val="TableNormal"/>
    <w:uiPriority w:val="69"/>
    <w:rsid w:val="001F3061"/>
    <w:pPr>
      <w:spacing w:after="0" w:line="240" w:lineRule="auto"/>
    </w:pPr>
    <w:tblPr>
      <w:tblStyleRowBandSize w:val="1"/>
      <w:tblStyleColBandSize w:val="1"/>
      <w:tblBorders>
        <w:top w:val="single" w:sz="8" w:space="0" w:color="7F7F7F" w:themeColor="background1"/>
        <w:left w:val="single" w:sz="8" w:space="0" w:color="7F7F7F" w:themeColor="background1"/>
        <w:bottom w:val="single" w:sz="8" w:space="0" w:color="7F7F7F" w:themeColor="background1"/>
        <w:right w:val="single" w:sz="8" w:space="0" w:color="7F7F7F" w:themeColor="background1"/>
        <w:insideH w:val="single" w:sz="6" w:space="0" w:color="7F7F7F" w:themeColor="background1"/>
        <w:insideV w:val="single" w:sz="6" w:space="0" w:color="7F7F7F" w:themeColor="background1"/>
      </w:tblBorders>
    </w:tblPr>
    <w:tcPr>
      <w:shd w:val="clear" w:color="auto" w:fill="D6C5E4" w:themeFill="accent2" w:themeFillTint="3F"/>
    </w:tcPr>
    <w:tblStylePr w:type="firstRow">
      <w:rPr>
        <w:b/>
        <w:bCs/>
        <w:i w:val="0"/>
        <w:iCs w:val="0"/>
        <w:color w:val="7F7F7F" w:themeColor="background1"/>
      </w:rPr>
      <w:tblPr/>
      <w:tcPr>
        <w:tcBorders>
          <w:top w:val="single" w:sz="8" w:space="0" w:color="7F7F7F" w:themeColor="background1"/>
          <w:left w:val="single" w:sz="8" w:space="0" w:color="7F7F7F" w:themeColor="background1"/>
          <w:bottom w:val="single" w:sz="24" w:space="0" w:color="7F7F7F" w:themeColor="background1"/>
          <w:right w:val="single" w:sz="8" w:space="0" w:color="7F7F7F" w:themeColor="background1"/>
          <w:insideH w:val="nil"/>
          <w:insideV w:val="single" w:sz="8" w:space="0" w:color="7F7F7F" w:themeColor="background1"/>
        </w:tcBorders>
        <w:shd w:val="clear" w:color="auto" w:fill="593674" w:themeFill="accent2"/>
      </w:tcPr>
    </w:tblStylePr>
    <w:tblStylePr w:type="lastRow">
      <w:rPr>
        <w:b/>
        <w:bCs/>
        <w:i w:val="0"/>
        <w:iCs w:val="0"/>
        <w:color w:val="7F7F7F" w:themeColor="background1"/>
      </w:rPr>
      <w:tblPr/>
      <w:tcPr>
        <w:tcBorders>
          <w:top w:val="single" w:sz="24" w:space="0" w:color="7F7F7F" w:themeColor="background1"/>
          <w:left w:val="single" w:sz="8" w:space="0" w:color="7F7F7F" w:themeColor="background1"/>
          <w:bottom w:val="single" w:sz="8" w:space="0" w:color="7F7F7F" w:themeColor="background1"/>
          <w:right w:val="single" w:sz="8" w:space="0" w:color="7F7F7F" w:themeColor="background1"/>
          <w:insideH w:val="nil"/>
          <w:insideV w:val="single" w:sz="8" w:space="0" w:color="7F7F7F" w:themeColor="background1"/>
        </w:tcBorders>
        <w:shd w:val="clear" w:color="auto" w:fill="593674" w:themeFill="accent2"/>
      </w:tcPr>
    </w:tblStylePr>
    <w:tblStylePr w:type="firstCol">
      <w:rPr>
        <w:b/>
        <w:bCs/>
        <w:i w:val="0"/>
        <w:iCs w:val="0"/>
        <w:color w:val="7F7F7F" w:themeColor="background1"/>
      </w:rPr>
      <w:tblPr/>
      <w:tcPr>
        <w:tcBorders>
          <w:left w:val="single" w:sz="8" w:space="0" w:color="7F7F7F" w:themeColor="background1"/>
          <w:right w:val="single" w:sz="24" w:space="0" w:color="7F7F7F" w:themeColor="background1"/>
          <w:insideH w:val="nil"/>
          <w:insideV w:val="nil"/>
        </w:tcBorders>
        <w:shd w:val="clear" w:color="auto" w:fill="593674" w:themeFill="accent2"/>
      </w:tcPr>
    </w:tblStylePr>
    <w:tblStylePr w:type="lastCol">
      <w:rPr>
        <w:b/>
        <w:bCs/>
        <w:i w:val="0"/>
        <w:iCs w:val="0"/>
        <w:color w:val="7F7F7F" w:themeColor="background1"/>
      </w:rPr>
      <w:tblPr/>
      <w:tcPr>
        <w:tcBorders>
          <w:top w:val="nil"/>
          <w:left w:val="single" w:sz="24" w:space="0" w:color="7F7F7F" w:themeColor="background1"/>
          <w:bottom w:val="nil"/>
          <w:right w:val="nil"/>
          <w:insideH w:val="nil"/>
          <w:insideV w:val="nil"/>
        </w:tcBorders>
        <w:shd w:val="clear" w:color="auto" w:fill="593674" w:themeFill="accent2"/>
      </w:tcPr>
    </w:tblStylePr>
    <w:tblStylePr w:type="band1Vert">
      <w:tblPr/>
      <w:tcPr>
        <w:tcBorders>
          <w:top w:val="single" w:sz="8" w:space="0" w:color="7F7F7F" w:themeColor="background1"/>
          <w:left w:val="single" w:sz="8" w:space="0" w:color="7F7F7F" w:themeColor="background1"/>
          <w:bottom w:val="single" w:sz="8" w:space="0" w:color="7F7F7F" w:themeColor="background1"/>
          <w:right w:val="single" w:sz="8" w:space="0" w:color="7F7F7F" w:themeColor="background1"/>
          <w:insideH w:val="nil"/>
          <w:insideV w:val="nil"/>
        </w:tcBorders>
        <w:shd w:val="clear" w:color="auto" w:fill="AE8BC9" w:themeFill="accent2" w:themeFillTint="7F"/>
      </w:tcPr>
    </w:tblStylePr>
    <w:tblStylePr w:type="band1Horz">
      <w:tblPr/>
      <w:tcPr>
        <w:tcBorders>
          <w:top w:val="single" w:sz="8" w:space="0" w:color="7F7F7F" w:themeColor="background1"/>
          <w:left w:val="single" w:sz="8" w:space="0" w:color="7F7F7F" w:themeColor="background1"/>
          <w:bottom w:val="single" w:sz="8" w:space="0" w:color="7F7F7F" w:themeColor="background1"/>
          <w:right w:val="single" w:sz="8" w:space="0" w:color="7F7F7F" w:themeColor="background1"/>
          <w:insideH w:val="single" w:sz="8" w:space="0" w:color="7F7F7F" w:themeColor="background1"/>
          <w:insideV w:val="single" w:sz="8" w:space="0" w:color="7F7F7F" w:themeColor="background1"/>
        </w:tcBorders>
        <w:shd w:val="clear" w:color="auto" w:fill="AE8BC9" w:themeFill="accent2" w:themeFillTint="7F"/>
      </w:tcPr>
    </w:tblStylePr>
  </w:style>
  <w:style w:type="table" w:styleId="ColorfulList-Accent2">
    <w:name w:val="Colorful List Accent 2"/>
    <w:basedOn w:val="TableNormal"/>
    <w:uiPriority w:val="72"/>
    <w:rsid w:val="001F3061"/>
    <w:pPr>
      <w:spacing w:after="0" w:line="240" w:lineRule="auto"/>
    </w:pPr>
    <w:rPr>
      <w:color w:val="000000" w:themeColor="text1"/>
    </w:rPr>
    <w:tblPr>
      <w:tblStyleRowBandSize w:val="1"/>
      <w:tblStyleColBandSize w:val="1"/>
    </w:tblPr>
    <w:tcPr>
      <w:shd w:val="clear" w:color="auto" w:fill="EFE8F4" w:themeFill="accent2" w:themeFillTint="19"/>
    </w:tcPr>
    <w:tblStylePr w:type="firstRow">
      <w:rPr>
        <w:b/>
        <w:bCs/>
        <w:color w:val="7F7F7F" w:themeColor="background1"/>
      </w:rPr>
      <w:tblPr/>
      <w:tcPr>
        <w:tcBorders>
          <w:bottom w:val="single" w:sz="12" w:space="0" w:color="7F7F7F" w:themeColor="background1"/>
        </w:tcBorders>
        <w:shd w:val="clear" w:color="auto" w:fill="462B5C" w:themeFill="accent2" w:themeFillShade="CC"/>
      </w:tcPr>
    </w:tblStylePr>
    <w:tblStylePr w:type="lastRow">
      <w:rPr>
        <w:b/>
        <w:bCs/>
        <w:color w:val="462B5C" w:themeColor="accent2" w:themeShade="CC"/>
      </w:rPr>
      <w:tblPr/>
      <w:tcPr>
        <w:tcBorders>
          <w:top w:val="single" w:sz="12" w:space="0" w:color="000000" w:themeColor="text1"/>
        </w:tcBorders>
        <w:shd w:val="clear" w:color="auto" w:fill="7F7F7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C5E4" w:themeFill="accent2" w:themeFillTint="3F"/>
      </w:tcPr>
    </w:tblStylePr>
    <w:tblStylePr w:type="band1Horz">
      <w:tblPr/>
      <w:tcPr>
        <w:shd w:val="clear" w:color="auto" w:fill="DED0E9" w:themeFill="accent2" w:themeFillTint="33"/>
      </w:tcPr>
    </w:tblStylePr>
  </w:style>
  <w:style w:type="table" w:styleId="ColorfulGrid-Accent2">
    <w:name w:val="Colorful Grid Accent 2"/>
    <w:basedOn w:val="TableNormal"/>
    <w:uiPriority w:val="73"/>
    <w:rsid w:val="001F3061"/>
    <w:pPr>
      <w:spacing w:after="0" w:line="240" w:lineRule="auto"/>
    </w:pPr>
    <w:rPr>
      <w:color w:val="000000" w:themeColor="text1"/>
    </w:rPr>
    <w:tblPr>
      <w:tblStyleRowBandSize w:val="1"/>
      <w:tblStyleColBandSize w:val="1"/>
      <w:tblBorders>
        <w:insideH w:val="single" w:sz="4" w:space="0" w:color="7F7F7F" w:themeColor="background1"/>
      </w:tblBorders>
    </w:tblPr>
    <w:tcPr>
      <w:shd w:val="clear" w:color="auto" w:fill="DED0E9" w:themeFill="accent2" w:themeFillTint="33"/>
    </w:tcPr>
    <w:tblStylePr w:type="firstRow">
      <w:rPr>
        <w:b/>
        <w:bCs/>
      </w:rPr>
      <w:tblPr/>
      <w:tcPr>
        <w:shd w:val="clear" w:color="auto" w:fill="BEA2D3" w:themeFill="accent2" w:themeFillTint="66"/>
      </w:tcPr>
    </w:tblStylePr>
    <w:tblStylePr w:type="lastRow">
      <w:rPr>
        <w:b/>
        <w:bCs/>
        <w:color w:val="000000" w:themeColor="text1"/>
      </w:rPr>
      <w:tblPr/>
      <w:tcPr>
        <w:shd w:val="clear" w:color="auto" w:fill="BEA2D3" w:themeFill="accent2" w:themeFillTint="66"/>
      </w:tcPr>
    </w:tblStylePr>
    <w:tblStylePr w:type="firstCol">
      <w:rPr>
        <w:color w:val="7F7F7F" w:themeColor="background1"/>
      </w:rPr>
      <w:tblPr/>
      <w:tcPr>
        <w:shd w:val="clear" w:color="auto" w:fill="422856" w:themeFill="accent2" w:themeFillShade="BF"/>
      </w:tcPr>
    </w:tblStylePr>
    <w:tblStylePr w:type="lastCol">
      <w:rPr>
        <w:color w:val="7F7F7F" w:themeColor="background1"/>
      </w:rPr>
      <w:tblPr/>
      <w:tcPr>
        <w:shd w:val="clear" w:color="auto" w:fill="422856" w:themeFill="accent2" w:themeFillShade="BF"/>
      </w:tcPr>
    </w:tblStylePr>
    <w:tblStylePr w:type="band1Vert">
      <w:tblPr/>
      <w:tcPr>
        <w:shd w:val="clear" w:color="auto" w:fill="AE8BC9" w:themeFill="accent2" w:themeFillTint="7F"/>
      </w:tcPr>
    </w:tblStylePr>
    <w:tblStylePr w:type="band1Horz">
      <w:tblPr/>
      <w:tcPr>
        <w:shd w:val="clear" w:color="auto" w:fill="AE8BC9" w:themeFill="accent2" w:themeFillTint="7F"/>
      </w:tcPr>
    </w:tblStylePr>
  </w:style>
  <w:style w:type="table" w:styleId="ColorfulShading-Accent2">
    <w:name w:val="Colorful Shading Accent 2"/>
    <w:basedOn w:val="TableNormal"/>
    <w:uiPriority w:val="71"/>
    <w:rsid w:val="001F3061"/>
    <w:pPr>
      <w:spacing w:after="0" w:line="240" w:lineRule="auto"/>
    </w:pPr>
    <w:rPr>
      <w:color w:val="000000" w:themeColor="text1"/>
    </w:rPr>
    <w:tblPr>
      <w:tblStyleRowBandSize w:val="1"/>
      <w:tblStyleColBandSize w:val="1"/>
      <w:tblBorders>
        <w:top w:val="single" w:sz="24" w:space="0" w:color="593674" w:themeColor="accent2"/>
        <w:left w:val="single" w:sz="4" w:space="0" w:color="593674" w:themeColor="accent2"/>
        <w:bottom w:val="single" w:sz="4" w:space="0" w:color="593674" w:themeColor="accent2"/>
        <w:right w:val="single" w:sz="4" w:space="0" w:color="593674" w:themeColor="accent2"/>
        <w:insideH w:val="single" w:sz="4" w:space="0" w:color="7F7F7F" w:themeColor="background1"/>
        <w:insideV w:val="single" w:sz="4" w:space="0" w:color="7F7F7F" w:themeColor="background1"/>
      </w:tblBorders>
    </w:tblPr>
    <w:tcPr>
      <w:shd w:val="clear" w:color="auto" w:fill="EFE8F4" w:themeFill="accent2" w:themeFillTint="19"/>
    </w:tcPr>
    <w:tblStylePr w:type="firstRow">
      <w:rPr>
        <w:b/>
        <w:bCs/>
      </w:rPr>
      <w:tblPr/>
      <w:tcPr>
        <w:tcBorders>
          <w:top w:val="nil"/>
          <w:left w:val="nil"/>
          <w:bottom w:val="single" w:sz="24" w:space="0" w:color="593674" w:themeColor="accent2"/>
          <w:right w:val="nil"/>
          <w:insideH w:val="nil"/>
          <w:insideV w:val="nil"/>
        </w:tcBorders>
        <w:shd w:val="clear" w:color="auto" w:fill="7F7F7F" w:themeFill="background1"/>
      </w:tcPr>
    </w:tblStylePr>
    <w:tblStylePr w:type="lastRow">
      <w:rPr>
        <w:b/>
        <w:bCs/>
        <w:color w:val="7F7F7F" w:themeColor="background1"/>
      </w:rPr>
      <w:tblPr/>
      <w:tcPr>
        <w:tcBorders>
          <w:top w:val="single" w:sz="6" w:space="0" w:color="7F7F7F" w:themeColor="background1"/>
        </w:tcBorders>
        <w:shd w:val="clear" w:color="auto" w:fill="352045" w:themeFill="accent2" w:themeFillShade="99"/>
      </w:tcPr>
    </w:tblStylePr>
    <w:tblStylePr w:type="firstCol">
      <w:rPr>
        <w:color w:val="7F7F7F" w:themeColor="background1"/>
      </w:rPr>
      <w:tblPr/>
      <w:tcPr>
        <w:tcBorders>
          <w:top w:val="nil"/>
          <w:left w:val="nil"/>
          <w:bottom w:val="nil"/>
          <w:right w:val="nil"/>
          <w:insideH w:val="single" w:sz="4" w:space="0" w:color="352045" w:themeColor="accent2" w:themeShade="99"/>
          <w:insideV w:val="nil"/>
        </w:tcBorders>
        <w:shd w:val="clear" w:color="auto" w:fill="352045" w:themeFill="accent2" w:themeFillShade="99"/>
      </w:tcPr>
    </w:tblStylePr>
    <w:tblStylePr w:type="lastCol">
      <w:rPr>
        <w:color w:val="7F7F7F" w:themeColor="background1"/>
      </w:rPr>
      <w:tblPr/>
      <w:tcPr>
        <w:tcBorders>
          <w:top w:val="nil"/>
          <w:left w:val="nil"/>
          <w:bottom w:val="nil"/>
          <w:right w:val="nil"/>
          <w:insideH w:val="nil"/>
          <w:insideV w:val="nil"/>
        </w:tcBorders>
        <w:shd w:val="clear" w:color="auto" w:fill="352045" w:themeFill="accent2" w:themeFillShade="99"/>
      </w:tcPr>
    </w:tblStylePr>
    <w:tblStylePr w:type="band1Vert">
      <w:tblPr/>
      <w:tcPr>
        <w:shd w:val="clear" w:color="auto" w:fill="BEA2D3" w:themeFill="accent2" w:themeFillTint="66"/>
      </w:tcPr>
    </w:tblStylePr>
    <w:tblStylePr w:type="band1Horz">
      <w:tblPr/>
      <w:tcPr>
        <w:shd w:val="clear" w:color="auto" w:fill="AE8BC9" w:themeFill="accent2" w:themeFillTint="7F"/>
      </w:tcPr>
    </w:tblStylePr>
    <w:tblStylePr w:type="neCell">
      <w:rPr>
        <w:color w:val="000000" w:themeColor="text1"/>
      </w:rPr>
    </w:tblStylePr>
    <w:tblStylePr w:type="nwCell">
      <w:rPr>
        <w:color w:val="000000" w:themeColor="text1"/>
      </w:rPr>
    </w:tblStylePr>
  </w:style>
  <w:style w:type="table" w:styleId="MediumList1-Accent2">
    <w:name w:val="Medium List 1 Accent 2"/>
    <w:basedOn w:val="TableNormal"/>
    <w:uiPriority w:val="65"/>
    <w:rsid w:val="001F3061"/>
    <w:pPr>
      <w:spacing w:after="0" w:line="240" w:lineRule="auto"/>
    </w:pPr>
    <w:rPr>
      <w:color w:val="000000" w:themeColor="text1"/>
    </w:rPr>
    <w:tblPr>
      <w:tblStyleRowBandSize w:val="1"/>
      <w:tblStyleColBandSize w:val="1"/>
      <w:tblBorders>
        <w:top w:val="single" w:sz="8" w:space="0" w:color="593674" w:themeColor="accent2"/>
        <w:bottom w:val="single" w:sz="8" w:space="0" w:color="593674" w:themeColor="accent2"/>
      </w:tblBorders>
    </w:tblPr>
    <w:tblStylePr w:type="firstRow">
      <w:rPr>
        <w:rFonts w:asciiTheme="majorHAnsi" w:eastAsiaTheme="majorEastAsia" w:hAnsiTheme="majorHAnsi" w:cstheme="majorBidi"/>
      </w:rPr>
      <w:tblPr/>
      <w:tcPr>
        <w:tcBorders>
          <w:top w:val="nil"/>
          <w:bottom w:val="single" w:sz="8" w:space="0" w:color="593674" w:themeColor="accent2"/>
        </w:tcBorders>
      </w:tcPr>
    </w:tblStylePr>
    <w:tblStylePr w:type="lastRow">
      <w:rPr>
        <w:b/>
        <w:bCs/>
        <w:color w:val="165788" w:themeColor="text2"/>
      </w:rPr>
      <w:tblPr/>
      <w:tcPr>
        <w:tcBorders>
          <w:top w:val="single" w:sz="8" w:space="0" w:color="593674" w:themeColor="accent2"/>
          <w:bottom w:val="single" w:sz="8" w:space="0" w:color="593674" w:themeColor="accent2"/>
        </w:tcBorders>
      </w:tcPr>
    </w:tblStylePr>
    <w:tblStylePr w:type="firstCol">
      <w:rPr>
        <w:b/>
        <w:bCs/>
      </w:rPr>
    </w:tblStylePr>
    <w:tblStylePr w:type="lastCol">
      <w:rPr>
        <w:b/>
        <w:bCs/>
      </w:rPr>
      <w:tblPr/>
      <w:tcPr>
        <w:tcBorders>
          <w:top w:val="single" w:sz="8" w:space="0" w:color="593674" w:themeColor="accent2"/>
          <w:bottom w:val="single" w:sz="8" w:space="0" w:color="593674" w:themeColor="accent2"/>
        </w:tcBorders>
      </w:tcPr>
    </w:tblStylePr>
    <w:tblStylePr w:type="band1Vert">
      <w:tblPr/>
      <w:tcPr>
        <w:shd w:val="clear" w:color="auto" w:fill="D6C5E4" w:themeFill="accent2" w:themeFillTint="3F"/>
      </w:tcPr>
    </w:tblStylePr>
    <w:tblStylePr w:type="band1Horz">
      <w:tblPr/>
      <w:tcPr>
        <w:shd w:val="clear" w:color="auto" w:fill="D6C5E4" w:themeFill="accent2" w:themeFillTint="3F"/>
      </w:tcPr>
    </w:tblStylePr>
  </w:style>
  <w:style w:type="table" w:styleId="MediumShading1-Accent2">
    <w:name w:val="Medium Shading 1 Accent 2"/>
    <w:basedOn w:val="TableNormal"/>
    <w:uiPriority w:val="63"/>
    <w:rsid w:val="001F3061"/>
    <w:pPr>
      <w:spacing w:after="0" w:line="240" w:lineRule="auto"/>
    </w:pPr>
    <w:tblPr>
      <w:tblStyleRowBandSize w:val="1"/>
      <w:tblStyleColBandSize w:val="1"/>
      <w:tblBorders>
        <w:top w:val="single" w:sz="8" w:space="0" w:color="8551AE" w:themeColor="accent2" w:themeTint="BF"/>
        <w:left w:val="single" w:sz="8" w:space="0" w:color="8551AE" w:themeColor="accent2" w:themeTint="BF"/>
        <w:bottom w:val="single" w:sz="8" w:space="0" w:color="8551AE" w:themeColor="accent2" w:themeTint="BF"/>
        <w:right w:val="single" w:sz="8" w:space="0" w:color="8551AE" w:themeColor="accent2" w:themeTint="BF"/>
        <w:insideH w:val="single" w:sz="8" w:space="0" w:color="8551AE" w:themeColor="accent2" w:themeTint="BF"/>
      </w:tblBorders>
    </w:tblPr>
    <w:tblStylePr w:type="firstRow">
      <w:pPr>
        <w:spacing w:before="0" w:after="0" w:line="240" w:lineRule="auto"/>
      </w:pPr>
      <w:rPr>
        <w:b/>
        <w:bCs/>
        <w:color w:val="7F7F7F" w:themeColor="background1"/>
      </w:rPr>
      <w:tblPr/>
      <w:tcPr>
        <w:tcBorders>
          <w:top w:val="single" w:sz="8" w:space="0" w:color="8551AE" w:themeColor="accent2" w:themeTint="BF"/>
          <w:left w:val="single" w:sz="8" w:space="0" w:color="8551AE" w:themeColor="accent2" w:themeTint="BF"/>
          <w:bottom w:val="single" w:sz="8" w:space="0" w:color="8551AE" w:themeColor="accent2" w:themeTint="BF"/>
          <w:right w:val="single" w:sz="8" w:space="0" w:color="8551AE" w:themeColor="accent2" w:themeTint="BF"/>
          <w:insideH w:val="nil"/>
          <w:insideV w:val="nil"/>
        </w:tcBorders>
        <w:shd w:val="clear" w:color="auto" w:fill="593674" w:themeFill="accent2"/>
      </w:tcPr>
    </w:tblStylePr>
    <w:tblStylePr w:type="lastRow">
      <w:pPr>
        <w:spacing w:before="0" w:after="0" w:line="240" w:lineRule="auto"/>
      </w:pPr>
      <w:rPr>
        <w:b/>
        <w:bCs/>
      </w:rPr>
      <w:tblPr/>
      <w:tcPr>
        <w:tcBorders>
          <w:top w:val="double" w:sz="6" w:space="0" w:color="8551AE" w:themeColor="accent2" w:themeTint="BF"/>
          <w:left w:val="single" w:sz="8" w:space="0" w:color="8551AE" w:themeColor="accent2" w:themeTint="BF"/>
          <w:bottom w:val="single" w:sz="8" w:space="0" w:color="8551AE" w:themeColor="accent2" w:themeTint="BF"/>
          <w:right w:val="single" w:sz="8" w:space="0" w:color="8551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C5E4" w:themeFill="accent2" w:themeFillTint="3F"/>
      </w:tcPr>
    </w:tblStylePr>
    <w:tblStylePr w:type="band1Horz">
      <w:tblPr/>
      <w:tcPr>
        <w:tcBorders>
          <w:insideH w:val="nil"/>
          <w:insideV w:val="nil"/>
        </w:tcBorders>
        <w:shd w:val="clear" w:color="auto" w:fill="D6C5E4" w:themeFill="accent2"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1F3061"/>
    <w:pPr>
      <w:spacing w:after="0" w:line="240" w:lineRule="auto"/>
    </w:pPr>
    <w:rPr>
      <w:color w:val="104165" w:themeColor="accent1" w:themeShade="BF"/>
    </w:rPr>
    <w:tblPr>
      <w:tblStyleRowBandSize w:val="1"/>
      <w:tblStyleColBandSize w:val="1"/>
      <w:tblBorders>
        <w:top w:val="single" w:sz="8" w:space="0" w:color="165788" w:themeColor="accent1"/>
        <w:bottom w:val="single" w:sz="8" w:space="0" w:color="165788" w:themeColor="accent1"/>
      </w:tblBorders>
    </w:tblPr>
    <w:tblStylePr w:type="firstRow">
      <w:pPr>
        <w:spacing w:before="0" w:after="0" w:line="240" w:lineRule="auto"/>
      </w:pPr>
      <w:rPr>
        <w:b/>
        <w:bCs/>
      </w:rPr>
      <w:tblPr/>
      <w:tcPr>
        <w:tcBorders>
          <w:top w:val="single" w:sz="8" w:space="0" w:color="165788" w:themeColor="accent1"/>
          <w:left w:val="nil"/>
          <w:bottom w:val="single" w:sz="8" w:space="0" w:color="165788" w:themeColor="accent1"/>
          <w:right w:val="nil"/>
          <w:insideH w:val="nil"/>
          <w:insideV w:val="nil"/>
        </w:tcBorders>
      </w:tcPr>
    </w:tblStylePr>
    <w:tblStylePr w:type="lastRow">
      <w:pPr>
        <w:spacing w:before="0" w:after="0" w:line="240" w:lineRule="auto"/>
      </w:pPr>
      <w:rPr>
        <w:b/>
        <w:bCs/>
      </w:rPr>
      <w:tblPr/>
      <w:tcPr>
        <w:tcBorders>
          <w:top w:val="single" w:sz="8" w:space="0" w:color="165788" w:themeColor="accent1"/>
          <w:left w:val="nil"/>
          <w:bottom w:val="single" w:sz="8" w:space="0" w:color="16578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D7F3" w:themeFill="accent1" w:themeFillTint="3F"/>
      </w:tcPr>
    </w:tblStylePr>
    <w:tblStylePr w:type="band1Horz">
      <w:tblPr/>
      <w:tcPr>
        <w:tcBorders>
          <w:left w:val="nil"/>
          <w:right w:val="nil"/>
          <w:insideH w:val="nil"/>
          <w:insideV w:val="nil"/>
        </w:tcBorders>
        <w:shd w:val="clear" w:color="auto" w:fill="B4D7F3" w:themeFill="accent1" w:themeFillTint="3F"/>
      </w:tcPr>
    </w:tblStylePr>
  </w:style>
  <w:style w:type="table" w:styleId="MediumList2-Accent1">
    <w:name w:val="Medium List 2 Accent 1"/>
    <w:basedOn w:val="TableNormal"/>
    <w:uiPriority w:val="66"/>
    <w:rsid w:val="001F30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65788" w:themeColor="accent1"/>
        <w:left w:val="single" w:sz="8" w:space="0" w:color="165788" w:themeColor="accent1"/>
        <w:bottom w:val="single" w:sz="8" w:space="0" w:color="165788" w:themeColor="accent1"/>
        <w:right w:val="single" w:sz="8" w:space="0" w:color="165788" w:themeColor="accent1"/>
      </w:tblBorders>
    </w:tblPr>
    <w:tblStylePr w:type="firstRow">
      <w:rPr>
        <w:sz w:val="24"/>
        <w:szCs w:val="24"/>
      </w:rPr>
      <w:tblPr/>
      <w:tcPr>
        <w:tcBorders>
          <w:top w:val="nil"/>
          <w:left w:val="nil"/>
          <w:bottom w:val="single" w:sz="24" w:space="0" w:color="165788" w:themeColor="accent1"/>
          <w:right w:val="nil"/>
          <w:insideH w:val="nil"/>
          <w:insideV w:val="nil"/>
        </w:tcBorders>
        <w:shd w:val="clear" w:color="auto" w:fill="7F7F7F" w:themeFill="background1"/>
      </w:tcPr>
    </w:tblStylePr>
    <w:tblStylePr w:type="lastRow">
      <w:tblPr/>
      <w:tcPr>
        <w:tcBorders>
          <w:top w:val="single" w:sz="8" w:space="0" w:color="165788" w:themeColor="accent1"/>
          <w:left w:val="nil"/>
          <w:bottom w:val="nil"/>
          <w:right w:val="nil"/>
          <w:insideH w:val="nil"/>
          <w:insideV w:val="nil"/>
        </w:tcBorders>
        <w:shd w:val="clear" w:color="auto" w:fill="7F7F7F" w:themeFill="background1"/>
      </w:tcPr>
    </w:tblStylePr>
    <w:tblStylePr w:type="firstCol">
      <w:tblPr/>
      <w:tcPr>
        <w:tcBorders>
          <w:top w:val="nil"/>
          <w:left w:val="nil"/>
          <w:bottom w:val="nil"/>
          <w:right w:val="single" w:sz="8" w:space="0" w:color="165788" w:themeColor="accent1"/>
          <w:insideH w:val="nil"/>
          <w:insideV w:val="nil"/>
        </w:tcBorders>
        <w:shd w:val="clear" w:color="auto" w:fill="7F7F7F" w:themeFill="background1"/>
      </w:tcPr>
    </w:tblStylePr>
    <w:tblStylePr w:type="lastCol">
      <w:tblPr/>
      <w:tcPr>
        <w:tcBorders>
          <w:top w:val="nil"/>
          <w:left w:val="single" w:sz="8" w:space="0" w:color="165788" w:themeColor="accent1"/>
          <w:bottom w:val="nil"/>
          <w:right w:val="nil"/>
          <w:insideH w:val="nil"/>
          <w:insideV w:val="nil"/>
        </w:tcBorders>
        <w:shd w:val="clear" w:color="auto" w:fill="7F7F7F" w:themeFill="background1"/>
      </w:tcPr>
    </w:tblStylePr>
    <w:tblStylePr w:type="band1Vert">
      <w:tblPr/>
      <w:tcPr>
        <w:tcBorders>
          <w:left w:val="nil"/>
          <w:right w:val="nil"/>
          <w:insideH w:val="nil"/>
          <w:insideV w:val="nil"/>
        </w:tcBorders>
        <w:shd w:val="clear" w:color="auto" w:fill="B4D7F3" w:themeFill="accent1" w:themeFillTint="3F"/>
      </w:tcPr>
    </w:tblStylePr>
    <w:tblStylePr w:type="band1Horz">
      <w:tblPr/>
      <w:tcPr>
        <w:tcBorders>
          <w:top w:val="nil"/>
          <w:bottom w:val="nil"/>
          <w:insideH w:val="nil"/>
          <w:insideV w:val="nil"/>
        </w:tcBorders>
        <w:shd w:val="clear" w:color="auto" w:fill="B4D7F3" w:themeFill="accent1" w:themeFillTint="3F"/>
      </w:tcPr>
    </w:tblStylePr>
    <w:tblStylePr w:type="nwCell">
      <w:tblPr/>
      <w:tcPr>
        <w:shd w:val="clear" w:color="auto" w:fill="7F7F7F" w:themeFill="background1"/>
      </w:tcPr>
    </w:tblStylePr>
    <w:tblStylePr w:type="swCell">
      <w:tblPr/>
      <w:tcPr>
        <w:tcBorders>
          <w:top w:val="nil"/>
        </w:tcBorders>
      </w:tcPr>
    </w:tblStylePr>
  </w:style>
  <w:style w:type="table" w:styleId="LightGrid-Accent1">
    <w:name w:val="Light Grid Accent 1"/>
    <w:basedOn w:val="TableNormal"/>
    <w:uiPriority w:val="62"/>
    <w:rsid w:val="001F3061"/>
    <w:pPr>
      <w:spacing w:after="0" w:line="240" w:lineRule="auto"/>
    </w:pPr>
    <w:tblPr>
      <w:tblStyleRowBandSize w:val="1"/>
      <w:tblStyleColBandSize w:val="1"/>
      <w:tblBorders>
        <w:top w:val="single" w:sz="8" w:space="0" w:color="165788" w:themeColor="accent1"/>
        <w:left w:val="single" w:sz="8" w:space="0" w:color="165788" w:themeColor="accent1"/>
        <w:bottom w:val="single" w:sz="8" w:space="0" w:color="165788" w:themeColor="accent1"/>
        <w:right w:val="single" w:sz="8" w:space="0" w:color="165788" w:themeColor="accent1"/>
        <w:insideH w:val="single" w:sz="8" w:space="0" w:color="165788" w:themeColor="accent1"/>
        <w:insideV w:val="single" w:sz="8" w:space="0" w:color="16578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65788" w:themeColor="accent1"/>
          <w:left w:val="single" w:sz="8" w:space="0" w:color="165788" w:themeColor="accent1"/>
          <w:bottom w:val="single" w:sz="18" w:space="0" w:color="165788" w:themeColor="accent1"/>
          <w:right w:val="single" w:sz="8" w:space="0" w:color="165788" w:themeColor="accent1"/>
          <w:insideH w:val="nil"/>
          <w:insideV w:val="single" w:sz="8" w:space="0" w:color="16578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65788" w:themeColor="accent1"/>
          <w:left w:val="single" w:sz="8" w:space="0" w:color="165788" w:themeColor="accent1"/>
          <w:bottom w:val="single" w:sz="8" w:space="0" w:color="165788" w:themeColor="accent1"/>
          <w:right w:val="single" w:sz="8" w:space="0" w:color="165788" w:themeColor="accent1"/>
          <w:insideH w:val="nil"/>
          <w:insideV w:val="single" w:sz="8" w:space="0" w:color="16578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tblStylePr w:type="band1Vert">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shd w:val="clear" w:color="auto" w:fill="B4D7F3" w:themeFill="accent1" w:themeFillTint="3F"/>
      </w:tcPr>
    </w:tblStylePr>
    <w:tblStylePr w:type="band1Horz">
      <w:tblPr/>
      <w:tcPr>
        <w:tcBorders>
          <w:top w:val="single" w:sz="8" w:space="0" w:color="165788" w:themeColor="accent1"/>
          <w:left w:val="single" w:sz="8" w:space="0" w:color="165788" w:themeColor="accent1"/>
          <w:bottom w:val="single" w:sz="8" w:space="0" w:color="165788" w:themeColor="accent1"/>
          <w:right w:val="single" w:sz="8" w:space="0" w:color="165788" w:themeColor="accent1"/>
          <w:insideV w:val="single" w:sz="8" w:space="0" w:color="165788" w:themeColor="accent1"/>
        </w:tcBorders>
        <w:shd w:val="clear" w:color="auto" w:fill="B4D7F3" w:themeFill="accent1" w:themeFillTint="3F"/>
      </w:tcPr>
    </w:tblStylePr>
    <w:tblStylePr w:type="band2Horz">
      <w:tblPr/>
      <w:tcPr>
        <w:tcBorders>
          <w:top w:val="single" w:sz="8" w:space="0" w:color="165788" w:themeColor="accent1"/>
          <w:left w:val="single" w:sz="8" w:space="0" w:color="165788" w:themeColor="accent1"/>
          <w:bottom w:val="single" w:sz="8" w:space="0" w:color="165788" w:themeColor="accent1"/>
          <w:right w:val="single" w:sz="8" w:space="0" w:color="165788" w:themeColor="accent1"/>
          <w:insideV w:val="single" w:sz="8" w:space="0" w:color="165788" w:themeColor="accent1"/>
        </w:tcBorders>
      </w:tcPr>
    </w:tblStylePr>
  </w:style>
  <w:style w:type="table" w:styleId="MediumShading1-Accent3">
    <w:name w:val="Medium Shading 1 Accent 3"/>
    <w:basedOn w:val="TableNormal"/>
    <w:uiPriority w:val="63"/>
    <w:rsid w:val="001F3061"/>
    <w:pPr>
      <w:spacing w:after="0" w:line="240" w:lineRule="auto"/>
    </w:pPr>
    <w:tblPr>
      <w:tblStyleRowBandSize w:val="1"/>
      <w:tblStyleColBandSize w:val="1"/>
      <w:tblBorders>
        <w:top w:val="single" w:sz="8" w:space="0" w:color="6AB27B" w:themeColor="accent3" w:themeTint="BF"/>
        <w:left w:val="single" w:sz="8" w:space="0" w:color="6AB27B" w:themeColor="accent3" w:themeTint="BF"/>
        <w:bottom w:val="single" w:sz="8" w:space="0" w:color="6AB27B" w:themeColor="accent3" w:themeTint="BF"/>
        <w:right w:val="single" w:sz="8" w:space="0" w:color="6AB27B" w:themeColor="accent3" w:themeTint="BF"/>
        <w:insideH w:val="single" w:sz="8" w:space="0" w:color="6AB27B" w:themeColor="accent3" w:themeTint="BF"/>
      </w:tblBorders>
    </w:tblPr>
    <w:tblStylePr w:type="firstRow">
      <w:pPr>
        <w:spacing w:before="0" w:after="0" w:line="240" w:lineRule="auto"/>
      </w:pPr>
      <w:rPr>
        <w:b/>
        <w:bCs/>
        <w:color w:val="7F7F7F" w:themeColor="background1"/>
      </w:rPr>
      <w:tblPr/>
      <w:tcPr>
        <w:tcBorders>
          <w:top w:val="single" w:sz="8" w:space="0" w:color="6AB27B" w:themeColor="accent3" w:themeTint="BF"/>
          <w:left w:val="single" w:sz="8" w:space="0" w:color="6AB27B" w:themeColor="accent3" w:themeTint="BF"/>
          <w:bottom w:val="single" w:sz="8" w:space="0" w:color="6AB27B" w:themeColor="accent3" w:themeTint="BF"/>
          <w:right w:val="single" w:sz="8" w:space="0" w:color="6AB27B" w:themeColor="accent3" w:themeTint="BF"/>
          <w:insideH w:val="nil"/>
          <w:insideV w:val="nil"/>
        </w:tcBorders>
        <w:shd w:val="clear" w:color="auto" w:fill="478A57" w:themeFill="accent3"/>
      </w:tcPr>
    </w:tblStylePr>
    <w:tblStylePr w:type="lastRow">
      <w:pPr>
        <w:spacing w:before="0" w:after="0" w:line="240" w:lineRule="auto"/>
      </w:pPr>
      <w:rPr>
        <w:b/>
        <w:bCs/>
      </w:rPr>
      <w:tblPr/>
      <w:tcPr>
        <w:tcBorders>
          <w:top w:val="double" w:sz="6" w:space="0" w:color="6AB27B" w:themeColor="accent3" w:themeTint="BF"/>
          <w:left w:val="single" w:sz="8" w:space="0" w:color="6AB27B" w:themeColor="accent3" w:themeTint="BF"/>
          <w:bottom w:val="single" w:sz="8" w:space="0" w:color="6AB27B" w:themeColor="accent3" w:themeTint="BF"/>
          <w:right w:val="single" w:sz="8" w:space="0" w:color="6AB27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DE5D3" w:themeFill="accent3" w:themeFillTint="3F"/>
      </w:tcPr>
    </w:tblStylePr>
    <w:tblStylePr w:type="band1Horz">
      <w:tblPr/>
      <w:tcPr>
        <w:tcBorders>
          <w:insideH w:val="nil"/>
          <w:insideV w:val="nil"/>
        </w:tcBorders>
        <w:shd w:val="clear" w:color="auto" w:fill="CDE5D3" w:themeFill="accent3"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F3061"/>
    <w:pPr>
      <w:spacing w:after="0" w:line="240" w:lineRule="auto"/>
    </w:pPr>
    <w:tblPr>
      <w:tblStyleRowBandSize w:val="1"/>
      <w:tblStyleColBandSize w:val="1"/>
      <w:tblBorders>
        <w:top w:val="single" w:sz="8" w:space="0" w:color="2287D3" w:themeColor="accent1" w:themeTint="BF"/>
        <w:left w:val="single" w:sz="8" w:space="0" w:color="2287D3" w:themeColor="accent1" w:themeTint="BF"/>
        <w:bottom w:val="single" w:sz="8" w:space="0" w:color="2287D3" w:themeColor="accent1" w:themeTint="BF"/>
        <w:right w:val="single" w:sz="8" w:space="0" w:color="2287D3" w:themeColor="accent1" w:themeTint="BF"/>
        <w:insideH w:val="single" w:sz="8" w:space="0" w:color="2287D3" w:themeColor="accent1" w:themeTint="BF"/>
      </w:tblBorders>
    </w:tblPr>
    <w:tblStylePr w:type="firstRow">
      <w:pPr>
        <w:spacing w:before="0" w:after="0" w:line="240" w:lineRule="auto"/>
      </w:pPr>
      <w:rPr>
        <w:b/>
        <w:bCs/>
        <w:color w:val="7F7F7F" w:themeColor="background1"/>
      </w:rPr>
      <w:tblPr/>
      <w:tcPr>
        <w:tcBorders>
          <w:top w:val="single" w:sz="8" w:space="0" w:color="2287D3" w:themeColor="accent1" w:themeTint="BF"/>
          <w:left w:val="single" w:sz="8" w:space="0" w:color="2287D3" w:themeColor="accent1" w:themeTint="BF"/>
          <w:bottom w:val="single" w:sz="8" w:space="0" w:color="2287D3" w:themeColor="accent1" w:themeTint="BF"/>
          <w:right w:val="single" w:sz="8" w:space="0" w:color="2287D3" w:themeColor="accent1" w:themeTint="BF"/>
          <w:insideH w:val="nil"/>
          <w:insideV w:val="nil"/>
        </w:tcBorders>
        <w:shd w:val="clear" w:color="auto" w:fill="165788" w:themeFill="accent1"/>
      </w:tcPr>
    </w:tblStylePr>
    <w:tblStylePr w:type="lastRow">
      <w:pPr>
        <w:spacing w:before="0" w:after="0" w:line="240" w:lineRule="auto"/>
      </w:pPr>
      <w:rPr>
        <w:b/>
        <w:bCs/>
      </w:rPr>
      <w:tblPr/>
      <w:tcPr>
        <w:tcBorders>
          <w:top w:val="double" w:sz="6" w:space="0" w:color="2287D3" w:themeColor="accent1" w:themeTint="BF"/>
          <w:left w:val="single" w:sz="8" w:space="0" w:color="2287D3" w:themeColor="accent1" w:themeTint="BF"/>
          <w:bottom w:val="single" w:sz="8" w:space="0" w:color="2287D3" w:themeColor="accent1" w:themeTint="BF"/>
          <w:right w:val="single" w:sz="8" w:space="0" w:color="2287D3" w:themeColor="accent1" w:themeTint="BF"/>
          <w:insideH w:val="nil"/>
          <w:insideV w:val="nil"/>
        </w:tcBorders>
      </w:tcPr>
    </w:tblStylePr>
    <w:tblStylePr w:type="firstCol">
      <w:rPr>
        <w:b/>
        <w:bCs/>
      </w:rPr>
    </w:tblStylePr>
    <w:tblStylePr w:type="lastCol">
      <w:rPr>
        <w:b/>
        <w:bCs/>
      </w:rPr>
    </w:tblStylePr>
    <w:tblStylePr w:type="band1Vert">
      <w:tblPr/>
      <w:tcPr>
        <w:shd w:val="clear" w:color="auto" w:fill="B4D7F3" w:themeFill="accent1" w:themeFillTint="3F"/>
      </w:tcPr>
    </w:tblStylePr>
    <w:tblStylePr w:type="band1Horz">
      <w:tblPr/>
      <w:tcPr>
        <w:tcBorders>
          <w:insideH w:val="nil"/>
          <w:insideV w:val="nil"/>
        </w:tcBorders>
        <w:shd w:val="clear" w:color="auto" w:fill="B4D7F3" w:themeFill="accent1"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F3061"/>
    <w:pPr>
      <w:spacing w:after="0" w:line="240" w:lineRule="auto"/>
    </w:pPr>
    <w:tblPr>
      <w:tblStyleRowBandSize w:val="1"/>
      <w:tblStyleColBandSize w:val="1"/>
      <w:tblBorders>
        <w:top w:val="single" w:sz="8" w:space="0" w:color="478A57" w:themeColor="accent3"/>
        <w:left w:val="single" w:sz="8" w:space="0" w:color="478A57" w:themeColor="accent3"/>
        <w:bottom w:val="single" w:sz="8" w:space="0" w:color="478A57" w:themeColor="accent3"/>
        <w:right w:val="single" w:sz="8" w:space="0" w:color="478A57" w:themeColor="accent3"/>
        <w:insideH w:val="single" w:sz="8" w:space="0" w:color="478A57" w:themeColor="accent3"/>
        <w:insideV w:val="single" w:sz="8" w:space="0" w:color="478A5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8A57" w:themeColor="accent3"/>
          <w:left w:val="single" w:sz="8" w:space="0" w:color="478A57" w:themeColor="accent3"/>
          <w:bottom w:val="single" w:sz="18" w:space="0" w:color="478A57" w:themeColor="accent3"/>
          <w:right w:val="single" w:sz="8" w:space="0" w:color="478A57" w:themeColor="accent3"/>
          <w:insideH w:val="nil"/>
          <w:insideV w:val="single" w:sz="8" w:space="0" w:color="478A5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8A57" w:themeColor="accent3"/>
          <w:left w:val="single" w:sz="8" w:space="0" w:color="478A57" w:themeColor="accent3"/>
          <w:bottom w:val="single" w:sz="8" w:space="0" w:color="478A57" w:themeColor="accent3"/>
          <w:right w:val="single" w:sz="8" w:space="0" w:color="478A57" w:themeColor="accent3"/>
          <w:insideH w:val="nil"/>
          <w:insideV w:val="single" w:sz="8" w:space="0" w:color="478A5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8A57" w:themeColor="accent3"/>
          <w:left w:val="single" w:sz="8" w:space="0" w:color="478A57" w:themeColor="accent3"/>
          <w:bottom w:val="single" w:sz="8" w:space="0" w:color="478A57" w:themeColor="accent3"/>
          <w:right w:val="single" w:sz="8" w:space="0" w:color="478A57" w:themeColor="accent3"/>
        </w:tcBorders>
      </w:tcPr>
    </w:tblStylePr>
    <w:tblStylePr w:type="band1Vert">
      <w:tblPr/>
      <w:tcPr>
        <w:tcBorders>
          <w:top w:val="single" w:sz="8" w:space="0" w:color="478A57" w:themeColor="accent3"/>
          <w:left w:val="single" w:sz="8" w:space="0" w:color="478A57" w:themeColor="accent3"/>
          <w:bottom w:val="single" w:sz="8" w:space="0" w:color="478A57" w:themeColor="accent3"/>
          <w:right w:val="single" w:sz="8" w:space="0" w:color="478A57" w:themeColor="accent3"/>
        </w:tcBorders>
        <w:shd w:val="clear" w:color="auto" w:fill="CDE5D3" w:themeFill="accent3" w:themeFillTint="3F"/>
      </w:tcPr>
    </w:tblStylePr>
    <w:tblStylePr w:type="band1Horz">
      <w:tblPr/>
      <w:tcPr>
        <w:tcBorders>
          <w:top w:val="single" w:sz="8" w:space="0" w:color="478A57" w:themeColor="accent3"/>
          <w:left w:val="single" w:sz="8" w:space="0" w:color="478A57" w:themeColor="accent3"/>
          <w:bottom w:val="single" w:sz="8" w:space="0" w:color="478A57" w:themeColor="accent3"/>
          <w:right w:val="single" w:sz="8" w:space="0" w:color="478A57" w:themeColor="accent3"/>
          <w:insideV w:val="single" w:sz="8" w:space="0" w:color="478A57" w:themeColor="accent3"/>
        </w:tcBorders>
        <w:shd w:val="clear" w:color="auto" w:fill="CDE5D3" w:themeFill="accent3" w:themeFillTint="3F"/>
      </w:tcPr>
    </w:tblStylePr>
    <w:tblStylePr w:type="band2Horz">
      <w:tblPr/>
      <w:tcPr>
        <w:tcBorders>
          <w:top w:val="single" w:sz="8" w:space="0" w:color="478A57" w:themeColor="accent3"/>
          <w:left w:val="single" w:sz="8" w:space="0" w:color="478A57" w:themeColor="accent3"/>
          <w:bottom w:val="single" w:sz="8" w:space="0" w:color="478A57" w:themeColor="accent3"/>
          <w:right w:val="single" w:sz="8" w:space="0" w:color="478A57" w:themeColor="accent3"/>
          <w:insideV w:val="single" w:sz="8" w:space="0" w:color="478A57" w:themeColor="accent3"/>
        </w:tcBorders>
      </w:tcPr>
    </w:tblStylePr>
  </w:style>
  <w:style w:type="table" w:styleId="LightGrid-Accent4">
    <w:name w:val="Light Grid Accent 4"/>
    <w:basedOn w:val="TableNormal"/>
    <w:uiPriority w:val="62"/>
    <w:rsid w:val="001F3061"/>
    <w:pPr>
      <w:spacing w:after="0" w:line="240" w:lineRule="auto"/>
    </w:pPr>
    <w:tblPr>
      <w:tblStyleRowBandSize w:val="1"/>
      <w:tblStyleColBandSize w:val="1"/>
      <w:tblBorders>
        <w:top w:val="single" w:sz="8" w:space="0" w:color="969A52" w:themeColor="accent4"/>
        <w:left w:val="single" w:sz="8" w:space="0" w:color="969A52" w:themeColor="accent4"/>
        <w:bottom w:val="single" w:sz="8" w:space="0" w:color="969A52" w:themeColor="accent4"/>
        <w:right w:val="single" w:sz="8" w:space="0" w:color="969A52" w:themeColor="accent4"/>
        <w:insideH w:val="single" w:sz="8" w:space="0" w:color="969A52" w:themeColor="accent4"/>
        <w:insideV w:val="single" w:sz="8" w:space="0" w:color="969A5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A52" w:themeColor="accent4"/>
          <w:left w:val="single" w:sz="8" w:space="0" w:color="969A52" w:themeColor="accent4"/>
          <w:bottom w:val="single" w:sz="18" w:space="0" w:color="969A52" w:themeColor="accent4"/>
          <w:right w:val="single" w:sz="8" w:space="0" w:color="969A52" w:themeColor="accent4"/>
          <w:insideH w:val="nil"/>
          <w:insideV w:val="single" w:sz="8" w:space="0" w:color="969A5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A52" w:themeColor="accent4"/>
          <w:left w:val="single" w:sz="8" w:space="0" w:color="969A52" w:themeColor="accent4"/>
          <w:bottom w:val="single" w:sz="8" w:space="0" w:color="969A52" w:themeColor="accent4"/>
          <w:right w:val="single" w:sz="8" w:space="0" w:color="969A52" w:themeColor="accent4"/>
          <w:insideH w:val="nil"/>
          <w:insideV w:val="single" w:sz="8" w:space="0" w:color="969A5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A52" w:themeColor="accent4"/>
          <w:left w:val="single" w:sz="8" w:space="0" w:color="969A52" w:themeColor="accent4"/>
          <w:bottom w:val="single" w:sz="8" w:space="0" w:color="969A52" w:themeColor="accent4"/>
          <w:right w:val="single" w:sz="8" w:space="0" w:color="969A52" w:themeColor="accent4"/>
        </w:tcBorders>
      </w:tcPr>
    </w:tblStylePr>
    <w:tblStylePr w:type="band1Vert">
      <w:tblPr/>
      <w:tcPr>
        <w:tcBorders>
          <w:top w:val="single" w:sz="8" w:space="0" w:color="969A52" w:themeColor="accent4"/>
          <w:left w:val="single" w:sz="8" w:space="0" w:color="969A52" w:themeColor="accent4"/>
          <w:bottom w:val="single" w:sz="8" w:space="0" w:color="969A52" w:themeColor="accent4"/>
          <w:right w:val="single" w:sz="8" w:space="0" w:color="969A52" w:themeColor="accent4"/>
        </w:tcBorders>
        <w:shd w:val="clear" w:color="auto" w:fill="E6E7D2" w:themeFill="accent4" w:themeFillTint="3F"/>
      </w:tcPr>
    </w:tblStylePr>
    <w:tblStylePr w:type="band1Horz">
      <w:tblPr/>
      <w:tcPr>
        <w:tcBorders>
          <w:top w:val="single" w:sz="8" w:space="0" w:color="969A52" w:themeColor="accent4"/>
          <w:left w:val="single" w:sz="8" w:space="0" w:color="969A52" w:themeColor="accent4"/>
          <w:bottom w:val="single" w:sz="8" w:space="0" w:color="969A52" w:themeColor="accent4"/>
          <w:right w:val="single" w:sz="8" w:space="0" w:color="969A52" w:themeColor="accent4"/>
          <w:insideV w:val="single" w:sz="8" w:space="0" w:color="969A52" w:themeColor="accent4"/>
        </w:tcBorders>
        <w:shd w:val="clear" w:color="auto" w:fill="E6E7D2" w:themeFill="accent4" w:themeFillTint="3F"/>
      </w:tcPr>
    </w:tblStylePr>
    <w:tblStylePr w:type="band2Horz">
      <w:tblPr/>
      <w:tcPr>
        <w:tcBorders>
          <w:top w:val="single" w:sz="8" w:space="0" w:color="969A52" w:themeColor="accent4"/>
          <w:left w:val="single" w:sz="8" w:space="0" w:color="969A52" w:themeColor="accent4"/>
          <w:bottom w:val="single" w:sz="8" w:space="0" w:color="969A52" w:themeColor="accent4"/>
          <w:right w:val="single" w:sz="8" w:space="0" w:color="969A52" w:themeColor="accent4"/>
          <w:insideV w:val="single" w:sz="8" w:space="0" w:color="969A5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997655386">
      <w:bodyDiv w:val="1"/>
      <w:marLeft w:val="0"/>
      <w:marRight w:val="0"/>
      <w:marTop w:val="0"/>
      <w:marBottom w:val="0"/>
      <w:divBdr>
        <w:top w:val="none" w:sz="0" w:space="0" w:color="auto"/>
        <w:left w:val="none" w:sz="0" w:space="0" w:color="auto"/>
        <w:bottom w:val="none" w:sz="0" w:space="0" w:color="auto"/>
        <w:right w:val="none" w:sz="0" w:space="0" w:color="auto"/>
      </w:divBdr>
    </w:div>
    <w:div w:id="1893728411">
      <w:bodyDiv w:val="1"/>
      <w:marLeft w:val="0"/>
      <w:marRight w:val="0"/>
      <w:marTop w:val="0"/>
      <w:marBottom w:val="0"/>
      <w:divBdr>
        <w:top w:val="none" w:sz="0" w:space="0" w:color="auto"/>
        <w:left w:val="none" w:sz="0" w:space="0" w:color="auto"/>
        <w:bottom w:val="none" w:sz="0" w:space="0" w:color="auto"/>
        <w:right w:val="none" w:sz="0" w:space="0" w:color="auto"/>
      </w:divBdr>
    </w:div>
    <w:div w:id="209678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image" Target="cid:image001.png@01CC5B5E.C6C84990" TargetMode="External"/><Relationship Id="rId34" Type="http://schemas.openxmlformats.org/officeDocument/2006/relationships/image" Target="media/image13.jpg"/><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image" Target="media/image4.jpg"/><Relationship Id="rId33" Type="http://schemas.openxmlformats.org/officeDocument/2006/relationships/image" Target="media/image12.jp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image" Target="media/image11.jpeg"/><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creativecommons.org/licenses/by/3.0/au/legalcode" TargetMode="External"/><Relationship Id="rId28" Type="http://schemas.openxmlformats.org/officeDocument/2006/relationships/image" Target="media/image7.jpe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creativecommons.org/licenses/by/3.0/au/"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g"/></Relationships>
</file>

<file path=word/_rels/footnotes.xml.rels><?xml version="1.0" encoding="UTF-8" standalone="yes"?>
<Relationships xmlns="http://schemas.openxmlformats.org/package/2006/relationships"><Relationship Id="rId1" Type="http://schemas.openxmlformats.org/officeDocument/2006/relationships/hyperlink" Target="file:///I:/IE/IES/IntResearchAnalysis/Research/2014%20International%20Student%20Survey/2014%20ISS%20Overview%20Report/Final%20Report_Drafted%20by%20SN/ISS%202014%20Report%20Final%20submission%20260215_SB%20and%20Sonny%20comments.doc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B4AC482279E44D3ADC3E9C8BEC80892"/>
        <w:category>
          <w:name w:val="General"/>
          <w:gallery w:val="placeholder"/>
        </w:category>
        <w:types>
          <w:type w:val="bbPlcHdr"/>
        </w:types>
        <w:behaviors>
          <w:behavior w:val="content"/>
        </w:behaviors>
        <w:guid w:val="{42D69998-F11E-43AE-AEA7-96276E7C34DF}"/>
      </w:docPartPr>
      <w:docPartBody>
        <w:p w:rsidR="001E60A1" w:rsidRDefault="004406D6" w:rsidP="004406D6">
          <w:pPr>
            <w:pStyle w:val="9B4AC482279E44D3ADC3E9C8BEC8089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6D6"/>
    <w:rsid w:val="001E60A1"/>
    <w:rsid w:val="004406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B6FFE6E3F0493894B6F771A39C7060">
    <w:name w:val="5FB6FFE6E3F0493894B6F771A39C7060"/>
    <w:rsid w:val="004406D6"/>
  </w:style>
  <w:style w:type="paragraph" w:customStyle="1" w:styleId="53178834C05C4FE99FF24A877805DF81">
    <w:name w:val="53178834C05C4FE99FF24A877805DF81"/>
    <w:rsid w:val="004406D6"/>
  </w:style>
  <w:style w:type="paragraph" w:customStyle="1" w:styleId="C022F9A9A6B54606BA4B6A3CE1E78FC1">
    <w:name w:val="C022F9A9A6B54606BA4B6A3CE1E78FC1"/>
    <w:rsid w:val="004406D6"/>
  </w:style>
  <w:style w:type="paragraph" w:customStyle="1" w:styleId="EAC8AB6FC773411E97E8BA336E8B7CD2">
    <w:name w:val="EAC8AB6FC773411E97E8BA336E8B7CD2"/>
    <w:rsid w:val="004406D6"/>
  </w:style>
  <w:style w:type="paragraph" w:customStyle="1" w:styleId="C22DE338FAEB4F7C887F39FE3B6B66E6">
    <w:name w:val="C22DE338FAEB4F7C887F39FE3B6B66E6"/>
    <w:rsid w:val="004406D6"/>
  </w:style>
  <w:style w:type="paragraph" w:customStyle="1" w:styleId="F869773BC6CE4CD7ACD089061D11D3DB">
    <w:name w:val="F869773BC6CE4CD7ACD089061D11D3DB"/>
    <w:rsid w:val="004406D6"/>
  </w:style>
  <w:style w:type="paragraph" w:customStyle="1" w:styleId="535A986BD723485D9DF7ED5E20BCB4A0">
    <w:name w:val="535A986BD723485D9DF7ED5E20BCB4A0"/>
    <w:rsid w:val="004406D6"/>
  </w:style>
  <w:style w:type="paragraph" w:customStyle="1" w:styleId="40583BBBFAAE482BA033A86176012A98">
    <w:name w:val="40583BBBFAAE482BA033A86176012A98"/>
    <w:rsid w:val="004406D6"/>
  </w:style>
  <w:style w:type="paragraph" w:customStyle="1" w:styleId="0D93019F0DCF408DBB34C67D91FA1215">
    <w:name w:val="0D93019F0DCF408DBB34C67D91FA1215"/>
    <w:rsid w:val="004406D6"/>
  </w:style>
  <w:style w:type="paragraph" w:customStyle="1" w:styleId="2AD57933BA264B689EA066979506C316">
    <w:name w:val="2AD57933BA264B689EA066979506C316"/>
    <w:rsid w:val="004406D6"/>
  </w:style>
  <w:style w:type="paragraph" w:customStyle="1" w:styleId="9B4AC482279E44D3ADC3E9C8BEC80892">
    <w:name w:val="9B4AC482279E44D3ADC3E9C8BEC80892"/>
    <w:rsid w:val="004406D6"/>
  </w:style>
  <w:style w:type="paragraph" w:customStyle="1" w:styleId="4F9517AB15F4448EA0FDC800E1E4406C">
    <w:name w:val="4F9517AB15F4448EA0FDC800E1E4406C"/>
    <w:rsid w:val="004406D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B6FFE6E3F0493894B6F771A39C7060">
    <w:name w:val="5FB6FFE6E3F0493894B6F771A39C7060"/>
    <w:rsid w:val="004406D6"/>
  </w:style>
  <w:style w:type="paragraph" w:customStyle="1" w:styleId="53178834C05C4FE99FF24A877805DF81">
    <w:name w:val="53178834C05C4FE99FF24A877805DF81"/>
    <w:rsid w:val="004406D6"/>
  </w:style>
  <w:style w:type="paragraph" w:customStyle="1" w:styleId="C022F9A9A6B54606BA4B6A3CE1E78FC1">
    <w:name w:val="C022F9A9A6B54606BA4B6A3CE1E78FC1"/>
    <w:rsid w:val="004406D6"/>
  </w:style>
  <w:style w:type="paragraph" w:customStyle="1" w:styleId="EAC8AB6FC773411E97E8BA336E8B7CD2">
    <w:name w:val="EAC8AB6FC773411E97E8BA336E8B7CD2"/>
    <w:rsid w:val="004406D6"/>
  </w:style>
  <w:style w:type="paragraph" w:customStyle="1" w:styleId="C22DE338FAEB4F7C887F39FE3B6B66E6">
    <w:name w:val="C22DE338FAEB4F7C887F39FE3B6B66E6"/>
    <w:rsid w:val="004406D6"/>
  </w:style>
  <w:style w:type="paragraph" w:customStyle="1" w:styleId="F869773BC6CE4CD7ACD089061D11D3DB">
    <w:name w:val="F869773BC6CE4CD7ACD089061D11D3DB"/>
    <w:rsid w:val="004406D6"/>
  </w:style>
  <w:style w:type="paragraph" w:customStyle="1" w:styleId="535A986BD723485D9DF7ED5E20BCB4A0">
    <w:name w:val="535A986BD723485D9DF7ED5E20BCB4A0"/>
    <w:rsid w:val="004406D6"/>
  </w:style>
  <w:style w:type="paragraph" w:customStyle="1" w:styleId="40583BBBFAAE482BA033A86176012A98">
    <w:name w:val="40583BBBFAAE482BA033A86176012A98"/>
    <w:rsid w:val="004406D6"/>
  </w:style>
  <w:style w:type="paragraph" w:customStyle="1" w:styleId="0D93019F0DCF408DBB34C67D91FA1215">
    <w:name w:val="0D93019F0DCF408DBB34C67D91FA1215"/>
    <w:rsid w:val="004406D6"/>
  </w:style>
  <w:style w:type="paragraph" w:customStyle="1" w:styleId="2AD57933BA264B689EA066979506C316">
    <w:name w:val="2AD57933BA264B689EA066979506C316"/>
    <w:rsid w:val="004406D6"/>
  </w:style>
  <w:style w:type="paragraph" w:customStyle="1" w:styleId="9B4AC482279E44D3ADC3E9C8BEC80892">
    <w:name w:val="9B4AC482279E44D3ADC3E9C8BEC80892"/>
    <w:rsid w:val="004406D6"/>
  </w:style>
  <w:style w:type="paragraph" w:customStyle="1" w:styleId="4F9517AB15F4448EA0FDC800E1E4406C">
    <w:name w:val="4F9517AB15F4448EA0FDC800E1E4406C"/>
    <w:rsid w:val="00440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27A9AF6904CE4BB4CA0C969D8DBB7D" ma:contentTypeVersion="1" ma:contentTypeDescription="Create a new document." ma:contentTypeScope="" ma:versionID="c95e0e89db607cda48c87df2569f6b6b">
  <xsd:schema xmlns:xsd="http://www.w3.org/2001/XMLSchema" xmlns:xs="http://www.w3.org/2001/XMLSchema" xmlns:p="http://schemas.microsoft.com/office/2006/metadata/properties" xmlns:ns1="http://schemas.microsoft.com/sharepoint/v3" targetNamespace="http://schemas.microsoft.com/office/2006/metadata/properties" ma:root="true" ma:fieldsID="f66abc2e75104a1e2665fbc11a6ee9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334EF03-087C-4644-ABD5-A4E474403683}"/>
</file>

<file path=customXml/itemProps2.xml><?xml version="1.0" encoding="utf-8"?>
<ds:datastoreItem xmlns:ds="http://schemas.openxmlformats.org/officeDocument/2006/customXml" ds:itemID="{06A533CA-015D-4C1D-AEC3-1A6A2CB09D9B}"/>
</file>

<file path=customXml/itemProps3.xml><?xml version="1.0" encoding="utf-8"?>
<ds:datastoreItem xmlns:ds="http://schemas.openxmlformats.org/officeDocument/2006/customXml" ds:itemID="{94FBCAA8-41A6-4226-AF92-6FB9C7450D95}"/>
</file>

<file path=customXml/itemProps4.xml><?xml version="1.0" encoding="utf-8"?>
<ds:datastoreItem xmlns:ds="http://schemas.openxmlformats.org/officeDocument/2006/customXml" ds:itemID="{CCC04838-1018-44CC-87B2-98BDA425C137}"/>
</file>

<file path=docProps/app.xml><?xml version="1.0" encoding="utf-8"?>
<Properties xmlns="http://schemas.openxmlformats.org/officeDocument/2006/extended-properties" xmlns:vt="http://schemas.openxmlformats.org/officeDocument/2006/docPropsVTypes">
  <Template>77F800C6.dotm</Template>
  <TotalTime>0</TotalTime>
  <Pages>29</Pages>
  <Words>7939</Words>
  <Characters>45256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53089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2015-04-20T05:18:00Z</dcterms:created>
  <dcterms:modified xsi:type="dcterms:W3CDTF">2015-04-20T05:23:00Z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0x0101001127A9AF6904CE4BB4CA0C969D8DBB7D</vt:lpwstr>
  </property>
  <property fmtid="{D5CDD505-2E9C-101B-9397-08002B2CF9AE}" pid="3" name="Order">
    <vt:r8>3400</vt:r8>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