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61" w:rsidRPr="00A0654A" w:rsidRDefault="001835DE" w:rsidP="0077603E">
      <w:pPr>
        <w:spacing w:before="160" w:after="160"/>
        <w:jc w:val="center"/>
        <w:rPr>
          <w:b/>
          <w:sz w:val="28"/>
          <w:szCs w:val="28"/>
        </w:rPr>
      </w:pPr>
      <w:r w:rsidRPr="00706F0F">
        <w:rPr>
          <w:rFonts w:cstheme="minorHAnsi"/>
          <w:i/>
          <w:noProof/>
          <w:color w:val="333399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A5BC4" wp14:editId="02AF38FC">
                <wp:simplePos x="0" y="0"/>
                <wp:positionH relativeFrom="column">
                  <wp:posOffset>-432435</wp:posOffset>
                </wp:positionH>
                <wp:positionV relativeFrom="paragraph">
                  <wp:posOffset>-1235710</wp:posOffset>
                </wp:positionV>
                <wp:extent cx="1879600" cy="1104265"/>
                <wp:effectExtent l="0" t="0" r="2540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104265"/>
                        </a:xfrm>
                        <a:prstGeom prst="rect">
                          <a:avLst/>
                        </a:prstGeom>
                        <a:solidFill>
                          <a:srgbClr val="001C5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DE" w:rsidRDefault="001835DE" w:rsidP="001835DE">
                            <w:r>
                              <w:rPr>
                                <w:rFonts w:cs="Calibri"/>
                                <w:noProof/>
                                <w:sz w:val="20"/>
                                <w:lang w:eastAsia="en-AU"/>
                              </w:rPr>
                              <w:drawing>
                                <wp:inline distT="0" distB="0" distL="0" distR="0" wp14:anchorId="36853E23" wp14:editId="30AD8E85">
                                  <wp:extent cx="1647825" cy="962025"/>
                                  <wp:effectExtent l="0" t="0" r="9525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27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05pt;margin-top:-97.3pt;width:148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" fillcolor="#001c54">
                <v:textbox>
                  <w:txbxContent>
                    <w:p w:rsidR="001835DE" w:rsidRDefault="001835DE" w:rsidP="001835DE">
                      <w:r>
                        <w:rPr>
                          <w:rFonts w:cs="Calibri"/>
                          <w:noProof/>
                          <w:sz w:val="20"/>
                          <w:lang w:eastAsia="en-AU"/>
                        </w:rPr>
                        <w:drawing>
                          <wp:inline distT="0" distB="0" distL="0" distR="0" wp14:anchorId="36853E23" wp14:editId="30AD8E85">
                            <wp:extent cx="1647825" cy="962025"/>
                            <wp:effectExtent l="0" t="0" r="9525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27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78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D63" w:rsidRPr="00886190">
        <w:rPr>
          <w:rFonts w:cstheme="minorHAnsi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BFD48E0" wp14:editId="2EE19457">
            <wp:simplePos x="0" y="0"/>
            <wp:positionH relativeFrom="column">
              <wp:posOffset>-424815</wp:posOffset>
            </wp:positionH>
            <wp:positionV relativeFrom="paragraph">
              <wp:posOffset>-601345</wp:posOffset>
            </wp:positionV>
            <wp:extent cx="6953885" cy="1120775"/>
            <wp:effectExtent l="19050" t="0" r="0" b="0"/>
            <wp:wrapTight wrapText="bothSides">
              <wp:wrapPolygon edited="0">
                <wp:start x="-59" y="0"/>
                <wp:lineTo x="-59" y="21294"/>
                <wp:lineTo x="21598" y="21294"/>
                <wp:lineTo x="21598" y="0"/>
                <wp:lineTo x="-59" y="0"/>
              </wp:wrapPolygon>
            </wp:wrapTight>
            <wp:docPr id="12" name="Picture 1" descr="research-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arch-pap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B8">
        <w:rPr>
          <w:b/>
          <w:sz w:val="28"/>
          <w:szCs w:val="28"/>
        </w:rPr>
        <w:t xml:space="preserve">2014 </w:t>
      </w:r>
      <w:r w:rsidR="001028BF">
        <w:rPr>
          <w:b/>
          <w:sz w:val="28"/>
          <w:szCs w:val="28"/>
        </w:rPr>
        <w:t>sample stocktake of international student accommodation in Australia</w:t>
      </w:r>
    </w:p>
    <w:p w:rsidR="001028BF" w:rsidRDefault="00E44EB8">
      <w:r>
        <w:rPr>
          <w:b/>
        </w:rPr>
        <w:t xml:space="preserve">Purpose: </w:t>
      </w:r>
      <w:r w:rsidR="001028BF">
        <w:t xml:space="preserve">This document </w:t>
      </w:r>
      <w:r w:rsidR="00736B41">
        <w:t>provides</w:t>
      </w:r>
      <w:r w:rsidR="001028BF">
        <w:t xml:space="preserve"> a sample stocktake of international student accommodation usage in 2014, </w:t>
      </w:r>
      <w:r w:rsidR="00736B41">
        <w:t>being sample data</w:t>
      </w:r>
      <w:r w:rsidR="001028BF">
        <w:t xml:space="preserve"> from a national survey of international students</w:t>
      </w:r>
      <w:r w:rsidR="00736B41">
        <w:t>, further</w:t>
      </w:r>
      <w:r w:rsidR="001028BF">
        <w:t xml:space="preserve"> supplemented by findings of a 2014 </w:t>
      </w:r>
      <w:r w:rsidR="00DC33D0">
        <w:t xml:space="preserve">national </w:t>
      </w:r>
      <w:r w:rsidR="001028BF">
        <w:t xml:space="preserve">census of </w:t>
      </w:r>
      <w:r w:rsidR="00736B41">
        <w:t>university</w:t>
      </w:r>
      <w:r w:rsidR="001028BF">
        <w:t xml:space="preserve"> student accommodation providers.  </w:t>
      </w:r>
    </w:p>
    <w:p w:rsidR="008D5DFB" w:rsidRDefault="008D5DFB" w:rsidP="003D4D5C">
      <w:pPr>
        <w:spacing w:after="120"/>
        <w:rPr>
          <w:b/>
        </w:rPr>
      </w:pPr>
      <w:r w:rsidRPr="008D5DFB">
        <w:rPr>
          <w:b/>
        </w:rPr>
        <w:t>2014 International Student Survey –</w:t>
      </w:r>
      <w:r w:rsidR="00807A5D">
        <w:rPr>
          <w:b/>
        </w:rPr>
        <w:t xml:space="preserve"> Student accommodation findings</w:t>
      </w:r>
    </w:p>
    <w:p w:rsidR="008D5DFB" w:rsidRPr="008D5DFB" w:rsidRDefault="008D5DFB">
      <w:r w:rsidRPr="008D5DFB">
        <w:t xml:space="preserve">The </w:t>
      </w:r>
      <w:r w:rsidRPr="00DC33D0">
        <w:rPr>
          <w:i/>
        </w:rPr>
        <w:t>2014 International Student Survey</w:t>
      </w:r>
      <w:r w:rsidRPr="008D5DFB">
        <w:t xml:space="preserve"> </w:t>
      </w:r>
      <w:r>
        <w:t xml:space="preserve">overview report </w:t>
      </w:r>
      <w:r w:rsidRPr="008D5DFB">
        <w:t xml:space="preserve">released </w:t>
      </w:r>
      <w:r>
        <w:t xml:space="preserve">by the Hon Christopher Pyne MP, Minister for Education and Training </w:t>
      </w:r>
      <w:r w:rsidRPr="008D5DFB">
        <w:t>in April 2015</w:t>
      </w:r>
      <w:r>
        <w:t xml:space="preserve">, collated national survey responses from </w:t>
      </w:r>
      <w:r w:rsidR="00DC33D0">
        <w:t xml:space="preserve">over 50,000 </w:t>
      </w:r>
      <w:r>
        <w:t>tertiary students across higher education, vocational education and training (VET) and English language intensive courses for overseas students (ELICOS), as below.</w:t>
      </w:r>
    </w:p>
    <w:p w:rsidR="008D5DFB" w:rsidRDefault="003D4D5C" w:rsidP="0077603E">
      <w:pPr>
        <w:pStyle w:val="Caption"/>
        <w:spacing w:before="120" w:after="0"/>
      </w:pPr>
      <w:r>
        <w:t>International t</w:t>
      </w:r>
      <w:r w:rsidR="008D5DFB">
        <w:t>ertiary student</w:t>
      </w:r>
      <w:r>
        <w:t xml:space="preserve"> </w:t>
      </w:r>
      <w:r w:rsidR="008D5DFB">
        <w:t>accommodation choices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2: Tertiary Respondents Accommodation Choices"/>
        <w:tblDescription w:val="The table shows Percentage of respondents from each sector ( higher education, VET and ELICOS) who have used various types of accommodations e.g. Friends or relatives, Private halls or student hostel, Private rented house/flat/room, staying with host family, student house or flat controlled by university, university or college halls of residence and other.  "/>
      </w:tblPr>
      <w:tblGrid>
        <w:gridCol w:w="4460"/>
        <w:gridCol w:w="1274"/>
        <w:gridCol w:w="1129"/>
        <w:gridCol w:w="1041"/>
        <w:gridCol w:w="1338"/>
      </w:tblGrid>
      <w:tr w:rsidR="008D5DFB" w:rsidTr="0077603E">
        <w:trPr>
          <w:cantSplit/>
          <w:trHeight w:val="421"/>
          <w:tblHeader/>
        </w:trPr>
        <w:tc>
          <w:tcPr>
            <w:tcW w:w="2413" w:type="pct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DFB" w:rsidRDefault="008D5DFB" w:rsidP="0077603E">
            <w:pPr>
              <w:keepNext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Accommodation</w:t>
            </w:r>
          </w:p>
        </w:tc>
        <w:tc>
          <w:tcPr>
            <w:tcW w:w="689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736B41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Higher</w:t>
            </w:r>
          </w:p>
          <w:p w:rsidR="008D5DFB" w:rsidRDefault="008D5DFB" w:rsidP="00736B41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education</w:t>
            </w:r>
          </w:p>
        </w:tc>
        <w:tc>
          <w:tcPr>
            <w:tcW w:w="611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>
            <w:pPr>
              <w:keepNext/>
              <w:jc w:val="center"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VET</w:t>
            </w:r>
          </w:p>
        </w:tc>
        <w:tc>
          <w:tcPr>
            <w:tcW w:w="563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>
            <w:pPr>
              <w:keepNext/>
              <w:jc w:val="center"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ELICOS</w:t>
            </w:r>
          </w:p>
        </w:tc>
        <w:tc>
          <w:tcPr>
            <w:tcW w:w="724" w:type="pct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736B41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Total tertiary</w:t>
            </w:r>
          </w:p>
        </w:tc>
      </w:tr>
      <w:tr w:rsidR="008D5DFB" w:rsidTr="003D4D5C">
        <w:trPr>
          <w:trHeight w:val="219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Friends or relative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20%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33%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18%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21%</w:t>
            </w:r>
          </w:p>
        </w:tc>
      </w:tr>
      <w:tr w:rsidR="008D5DFB" w:rsidTr="00953753">
        <w:trPr>
          <w:trHeight w:val="223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Private halls or student hostel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3%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3%</w:t>
            </w:r>
          </w:p>
        </w:tc>
      </w:tr>
      <w:tr w:rsidR="008D5DFB" w:rsidTr="00953753">
        <w:trPr>
          <w:trHeight w:val="271"/>
        </w:trPr>
        <w:tc>
          <w:tcPr>
            <w:tcW w:w="2413" w:type="pct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Private rented house/flat/room</w:t>
            </w:r>
          </w:p>
        </w:tc>
        <w:tc>
          <w:tcPr>
            <w:tcW w:w="689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55%</w:t>
            </w:r>
          </w:p>
        </w:tc>
        <w:tc>
          <w:tcPr>
            <w:tcW w:w="611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47%</w:t>
            </w:r>
          </w:p>
        </w:tc>
        <w:tc>
          <w:tcPr>
            <w:tcW w:w="563" w:type="pct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51%</w:t>
            </w:r>
          </w:p>
        </w:tc>
        <w:tc>
          <w:tcPr>
            <w:tcW w:w="724" w:type="pct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53%</w:t>
            </w:r>
          </w:p>
        </w:tc>
      </w:tr>
      <w:tr w:rsidR="008D5DFB" w:rsidTr="003D4D5C">
        <w:trPr>
          <w:trHeight w:val="300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Staying with host family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21%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8%</w:t>
            </w:r>
          </w:p>
        </w:tc>
      </w:tr>
      <w:tr w:rsidR="008D5DFB" w:rsidTr="003D4D5C">
        <w:trPr>
          <w:trHeight w:val="280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Student house or flat controlled by university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2%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1%</w:t>
            </w:r>
          </w:p>
        </w:tc>
      </w:tr>
      <w:tr w:rsidR="008D5DFB" w:rsidTr="003D4D5C">
        <w:trPr>
          <w:trHeight w:val="257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University or College Halls of Residence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11%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9%</w:t>
            </w:r>
          </w:p>
        </w:tc>
      </w:tr>
      <w:tr w:rsidR="008D5DFB" w:rsidTr="003D4D5C">
        <w:trPr>
          <w:trHeight w:val="275"/>
        </w:trPr>
        <w:tc>
          <w:tcPr>
            <w:tcW w:w="2413" w:type="pct"/>
            <w:tcBorders>
              <w:top w:val="nil"/>
              <w:left w:val="single" w:sz="8" w:space="0" w:color="CF7B79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t>Other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6%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CF7B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2%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CF7B79"/>
              <w:right w:val="single" w:sz="8" w:space="0" w:color="CF7B7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5%</w:t>
            </w:r>
          </w:p>
        </w:tc>
      </w:tr>
    </w:tbl>
    <w:p w:rsidR="008D5DFB" w:rsidRDefault="003D4D5C" w:rsidP="0077603E">
      <w:pPr>
        <w:spacing w:after="120"/>
        <w:ind w:left="648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8D5DFB">
        <w:rPr>
          <w:i/>
          <w:iCs/>
          <w:sz w:val="20"/>
          <w:szCs w:val="20"/>
        </w:rPr>
        <w:t>(Base: 54,397 respondents)</w:t>
      </w:r>
    </w:p>
    <w:p w:rsidR="00953753" w:rsidRPr="00274413" w:rsidRDefault="00953753" w:rsidP="00953753">
      <w:r w:rsidRPr="00274413">
        <w:t xml:space="preserve">A different survey instrument (and question) was used to survey the accommodation options chosen by </w:t>
      </w:r>
      <w:r w:rsidR="00DC33D0">
        <w:t xml:space="preserve">over 1,000 </w:t>
      </w:r>
      <w:r w:rsidRPr="00274413">
        <w:t xml:space="preserve">international students in Australian public </w:t>
      </w:r>
      <w:r w:rsidR="00274413">
        <w:t>and private schools</w:t>
      </w:r>
      <w:r w:rsidR="00DC33D0">
        <w:t>.</w:t>
      </w:r>
      <w:r w:rsidR="00274413">
        <w:t xml:space="preserve"> </w:t>
      </w:r>
    </w:p>
    <w:p w:rsidR="008D5DFB" w:rsidRDefault="003D4D5C" w:rsidP="0077603E">
      <w:pPr>
        <w:pStyle w:val="Caption"/>
        <w:spacing w:before="120" w:after="0"/>
      </w:pPr>
      <w:r>
        <w:t xml:space="preserve">International </w:t>
      </w:r>
      <w:r w:rsidR="007F56EA">
        <w:t xml:space="preserve">secondary </w:t>
      </w:r>
      <w:r>
        <w:t>s</w:t>
      </w:r>
      <w:r w:rsidR="008D5DFB">
        <w:t xml:space="preserve">chool </w:t>
      </w:r>
      <w:r>
        <w:t>student accommodation c</w:t>
      </w:r>
      <w:r w:rsidR="008D5DFB">
        <w:t>hoices</w:t>
      </w:r>
    </w:p>
    <w:tbl>
      <w:tblPr>
        <w:tblW w:w="5000" w:type="pct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3: School Respondents Accommodation Choices"/>
        <w:tblDescription w:val="The table shows Percentage of respondents from schools sector who have used various types of accommodations e.g. Relatives/other family member, Boarding school or equivalent, staying with host family and other. "/>
      </w:tblPr>
      <w:tblGrid>
        <w:gridCol w:w="7394"/>
        <w:gridCol w:w="1848"/>
      </w:tblGrid>
      <w:tr w:rsidR="008D5DFB" w:rsidTr="00736B41">
        <w:trPr>
          <w:cantSplit/>
          <w:trHeight w:val="499"/>
          <w:tblHeader/>
        </w:trPr>
        <w:tc>
          <w:tcPr>
            <w:tcW w:w="4000" w:type="pct"/>
            <w:tcBorders>
              <w:bottom w:val="single" w:sz="8" w:space="0" w:color="CF7B7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B" w:rsidRDefault="008D5DFB" w:rsidP="00736B41">
            <w:pPr>
              <w:keepNext/>
              <w:spacing w:after="0" w:line="240" w:lineRule="auto"/>
              <w:rPr>
                <w:rFonts w:ascii="Calibri" w:hAnsi="Calibri" w:cs="Calibri"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Accommodation</w:t>
            </w:r>
          </w:p>
        </w:tc>
        <w:tc>
          <w:tcPr>
            <w:tcW w:w="1000" w:type="pct"/>
            <w:tcBorders>
              <w:bottom w:val="single" w:sz="8" w:space="0" w:color="CF7B7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DFB" w:rsidRDefault="008D5DFB" w:rsidP="00736B41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ECE1"/>
                <w:sz w:val="24"/>
                <w:szCs w:val="24"/>
              </w:rPr>
            </w:pPr>
            <w:r>
              <w:rPr>
                <w:b/>
                <w:bCs/>
                <w:color w:val="EEECE1"/>
                <w:sz w:val="24"/>
                <w:szCs w:val="24"/>
              </w:rPr>
              <w:t>Total</w:t>
            </w:r>
          </w:p>
        </w:tc>
      </w:tr>
      <w:tr w:rsidR="008D5DFB" w:rsidTr="00274413">
        <w:trPr>
          <w:trHeight w:val="315"/>
        </w:trPr>
        <w:tc>
          <w:tcPr>
            <w:tcW w:w="4000" w:type="pct"/>
            <w:tcBorders>
              <w:bottom w:val="single" w:sz="8" w:space="0" w:color="CF7B7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953753" w:rsidRDefault="008D5DFB" w:rsidP="003D4D5C">
            <w:pPr>
              <w:keepNext/>
              <w:spacing w:after="0"/>
              <w:rPr>
                <w:rFonts w:ascii="Calibri" w:hAnsi="Calibri" w:cs="Calibri"/>
                <w:b/>
              </w:rPr>
            </w:pPr>
            <w:r w:rsidRPr="00953753">
              <w:rPr>
                <w:b/>
              </w:rPr>
              <w:t>Relative/other family member</w:t>
            </w:r>
          </w:p>
        </w:tc>
        <w:tc>
          <w:tcPr>
            <w:tcW w:w="1000" w:type="pct"/>
            <w:tcBorders>
              <w:bottom w:val="single" w:sz="8" w:space="0" w:color="CF7B7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>
              <w:t>32%</w:t>
            </w:r>
          </w:p>
        </w:tc>
      </w:tr>
      <w:tr w:rsidR="00274413" w:rsidTr="00274413">
        <w:trPr>
          <w:trHeight w:val="295"/>
        </w:trPr>
        <w:tc>
          <w:tcPr>
            <w:tcW w:w="4000" w:type="pct"/>
            <w:tcBorders>
              <w:bottom w:val="single" w:sz="8" w:space="0" w:color="CF7B7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953753" w:rsidRDefault="008D5DFB" w:rsidP="00953753">
            <w:pPr>
              <w:keepNext/>
              <w:spacing w:after="0" w:line="240" w:lineRule="auto"/>
              <w:rPr>
                <w:b/>
                <w:bCs/>
              </w:rPr>
            </w:pPr>
            <w:r w:rsidRPr="00953753">
              <w:rPr>
                <w:b/>
                <w:bCs/>
              </w:rPr>
              <w:t>Boarding school or equivalent</w:t>
            </w:r>
          </w:p>
        </w:tc>
        <w:tc>
          <w:tcPr>
            <w:tcW w:w="1000" w:type="pct"/>
            <w:tcBorders>
              <w:bottom w:val="single" w:sz="8" w:space="0" w:color="CF7B7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953753" w:rsidRDefault="008D5DFB" w:rsidP="00953753">
            <w:pPr>
              <w:keepNext/>
              <w:spacing w:after="0" w:line="240" w:lineRule="auto"/>
              <w:jc w:val="center"/>
              <w:rPr>
                <w:bCs/>
              </w:rPr>
            </w:pPr>
            <w:r w:rsidRPr="00953753">
              <w:rPr>
                <w:bCs/>
              </w:rPr>
              <w:t>17%</w:t>
            </w:r>
          </w:p>
        </w:tc>
      </w:tr>
      <w:tr w:rsidR="008D5DFB" w:rsidTr="00274413">
        <w:trPr>
          <w:trHeight w:val="261"/>
        </w:trPr>
        <w:tc>
          <w:tcPr>
            <w:tcW w:w="4000" w:type="pct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274413" w:rsidRDefault="008D5DFB" w:rsidP="00274413">
            <w:pPr>
              <w:keepNext/>
              <w:spacing w:after="0" w:line="240" w:lineRule="auto"/>
              <w:rPr>
                <w:b/>
                <w:bCs/>
              </w:rPr>
            </w:pPr>
            <w:r w:rsidRPr="00274413">
              <w:rPr>
                <w:b/>
                <w:bCs/>
              </w:rPr>
              <w:t>Staying with host family</w:t>
            </w:r>
          </w:p>
        </w:tc>
        <w:tc>
          <w:tcPr>
            <w:tcW w:w="1000" w:type="pct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274413" w:rsidRDefault="008D5DFB" w:rsidP="00274413">
            <w:pPr>
              <w:keepNext/>
              <w:spacing w:after="0" w:line="240" w:lineRule="auto"/>
              <w:jc w:val="center"/>
              <w:rPr>
                <w:bCs/>
              </w:rPr>
            </w:pPr>
            <w:r w:rsidRPr="00274413">
              <w:rPr>
                <w:bCs/>
              </w:rPr>
              <w:t>39%</w:t>
            </w:r>
          </w:p>
        </w:tc>
      </w:tr>
      <w:tr w:rsidR="008D5DFB" w:rsidTr="009F2B4E">
        <w:trPr>
          <w:trHeight w:val="179"/>
        </w:trPr>
        <w:tc>
          <w:tcPr>
            <w:tcW w:w="4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Pr="00953753" w:rsidRDefault="008D5DFB" w:rsidP="003D4D5C">
            <w:pPr>
              <w:keepNext/>
              <w:spacing w:after="0"/>
              <w:rPr>
                <w:rFonts w:ascii="Calibri" w:hAnsi="Calibri" w:cs="Calibri"/>
                <w:b/>
              </w:rPr>
            </w:pPr>
            <w:r w:rsidRPr="00953753">
              <w:rPr>
                <w:b/>
              </w:rPr>
              <w:t>Other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B" w:rsidRDefault="008D5DFB" w:rsidP="003D4D5C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>
              <w:t>12%</w:t>
            </w:r>
          </w:p>
        </w:tc>
      </w:tr>
    </w:tbl>
    <w:p w:rsidR="008D5DFB" w:rsidRDefault="003D4D5C" w:rsidP="0077603E">
      <w:pPr>
        <w:spacing w:after="120"/>
        <w:ind w:left="5761" w:firstLine="720"/>
        <w:rPr>
          <w:rFonts w:ascii="Calibri" w:hAnsi="Calibri" w:cs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  <w:r w:rsidR="008D5DFB">
        <w:rPr>
          <w:i/>
          <w:iCs/>
          <w:sz w:val="20"/>
          <w:szCs w:val="20"/>
        </w:rPr>
        <w:t>(Base: 1,225 respondents)</w:t>
      </w:r>
    </w:p>
    <w:p w:rsidR="008D5DFB" w:rsidRDefault="00DC33D0" w:rsidP="0077603E">
      <w:pPr>
        <w:spacing w:after="120"/>
      </w:pPr>
      <w:r>
        <w:t>The most popular options used by international students, being private rental accommodation for tertiary students and ‘homestay’ boarding for school students, indicate</w:t>
      </w:r>
      <w:r w:rsidR="00274413">
        <w:t xml:space="preserve"> that international students in Australia are comfortable </w:t>
      </w:r>
      <w:r>
        <w:t>with</w:t>
      </w:r>
      <w:r w:rsidR="00274413">
        <w:t xml:space="preserve"> accommodation </w:t>
      </w:r>
      <w:r w:rsidR="00CC6A7F">
        <w:t xml:space="preserve">options </w:t>
      </w:r>
      <w:r w:rsidR="00274413">
        <w:t xml:space="preserve">in the wider community, </w:t>
      </w:r>
      <w:r>
        <w:t>ahead of purpose-built student</w:t>
      </w:r>
      <w:r w:rsidR="00274413">
        <w:t xml:space="preserve"> accommodation</w:t>
      </w:r>
      <w:r>
        <w:t xml:space="preserve">, either </w:t>
      </w:r>
      <w:r w:rsidR="00274413">
        <w:t>on campus or</w:t>
      </w:r>
      <w:r w:rsidR="00203A2F">
        <w:t xml:space="preserve"> otherwise</w:t>
      </w:r>
      <w:r w:rsidR="00274413">
        <w:t xml:space="preserve">. </w:t>
      </w:r>
      <w:r w:rsidR="0077603E">
        <w:t>For comparison, the United Kingdom</w:t>
      </w:r>
      <w:r w:rsidR="0077603E" w:rsidRPr="0077603E">
        <w:t xml:space="preserve"> </w:t>
      </w:r>
      <w:r w:rsidR="00203A2F">
        <w:t>is estimated to have</w:t>
      </w:r>
      <w:r w:rsidR="0077603E" w:rsidRPr="0077603E">
        <w:t xml:space="preserve"> 7 times as many on‐campus places as Austr</w:t>
      </w:r>
      <w:r w:rsidR="0077603E">
        <w:t>alia</w:t>
      </w:r>
      <w:r w:rsidR="00203A2F">
        <w:t>,</w:t>
      </w:r>
      <w:r w:rsidR="0077603E">
        <w:t xml:space="preserve"> </w:t>
      </w:r>
      <w:r w:rsidR="00203A2F">
        <w:t>while it only hosts</w:t>
      </w:r>
      <w:r w:rsidR="0077603E">
        <w:t xml:space="preserve"> 2.3 times as many </w:t>
      </w:r>
      <w:r w:rsidR="0077603E" w:rsidRPr="0077603E">
        <w:t>inbound international students</w:t>
      </w:r>
      <w:r w:rsidR="00CC6A7F">
        <w:rPr>
          <w:rStyle w:val="FootnoteReference"/>
        </w:rPr>
        <w:footnoteReference w:id="1"/>
      </w:r>
      <w:r w:rsidR="0077603E" w:rsidRPr="0077603E">
        <w:t>.</w:t>
      </w:r>
      <w:r w:rsidR="0077603E">
        <w:t xml:space="preserve"> </w:t>
      </w:r>
      <w:r w:rsidR="008D5DFB">
        <w:br w:type="page"/>
      </w:r>
    </w:p>
    <w:p w:rsidR="008D5DFB" w:rsidRPr="008D5DFB" w:rsidRDefault="009F2B4E">
      <w:pPr>
        <w:rPr>
          <w:b/>
        </w:rPr>
      </w:pPr>
      <w:r>
        <w:rPr>
          <w:b/>
        </w:rPr>
        <w:t>2014 n</w:t>
      </w:r>
      <w:r w:rsidR="008D5DFB" w:rsidRPr="008D5DFB">
        <w:rPr>
          <w:b/>
        </w:rPr>
        <w:t>ational census of university student accommodation providers</w:t>
      </w:r>
    </w:p>
    <w:p w:rsidR="00E44EB8" w:rsidRDefault="009F2B4E">
      <w:pPr>
        <w:rPr>
          <w:b/>
        </w:rPr>
      </w:pPr>
      <w:r>
        <w:t>In 2014, t</w:t>
      </w:r>
      <w:r w:rsidR="001028BF">
        <w:t xml:space="preserve">he </w:t>
      </w:r>
      <w:r>
        <w:t xml:space="preserve">Australian Government </w:t>
      </w:r>
      <w:r w:rsidR="001028BF">
        <w:t xml:space="preserve">also supported a </w:t>
      </w:r>
      <w:r w:rsidR="00E44EB8" w:rsidRPr="00E44EB8">
        <w:t>national census of providers of purpose-built accommodation for university students in Australia</w:t>
      </w:r>
      <w:r w:rsidR="008D5DFB">
        <w:t xml:space="preserve"> in 2014</w:t>
      </w:r>
      <w:r w:rsidR="00E44EB8" w:rsidRPr="00E44EB8">
        <w:t>.</w:t>
      </w:r>
      <w:r w:rsidR="008D5DFB">
        <w:t xml:space="preserve"> K</w:t>
      </w:r>
      <w:r w:rsidR="008D5DFB" w:rsidRPr="00E44EB8">
        <w:t xml:space="preserve">ey findings </w:t>
      </w:r>
      <w:r w:rsidR="008D5DFB">
        <w:t>which may be of interest</w:t>
      </w:r>
      <w:r w:rsidR="008D5DFB" w:rsidRPr="00E44EB8">
        <w:t xml:space="preserve"> to international education stakeholders</w:t>
      </w:r>
      <w:r w:rsidR="008D5DFB">
        <w:t xml:space="preserve"> are outlined below.</w:t>
      </w:r>
    </w:p>
    <w:p w:rsidR="005D7E0E" w:rsidRPr="00107A66" w:rsidRDefault="005D7E0E" w:rsidP="00E44EB8">
      <w:pPr>
        <w:spacing w:after="120"/>
        <w:rPr>
          <w:b/>
        </w:rPr>
      </w:pPr>
      <w:r w:rsidRPr="00107A66">
        <w:rPr>
          <w:b/>
        </w:rPr>
        <w:t xml:space="preserve">Size of the </w:t>
      </w:r>
      <w:r w:rsidR="00107A66" w:rsidRPr="00107A66">
        <w:rPr>
          <w:b/>
        </w:rPr>
        <w:t xml:space="preserve">purpose built student accommodation </w:t>
      </w:r>
      <w:r w:rsidRPr="00107A66">
        <w:rPr>
          <w:b/>
        </w:rPr>
        <w:t>sector</w:t>
      </w:r>
    </w:p>
    <w:p w:rsidR="00107A66" w:rsidRDefault="001E3E3B" w:rsidP="00427288">
      <w:pPr>
        <w:spacing w:after="0"/>
      </w:pPr>
      <w:r>
        <w:t>The 2014 census involved</w:t>
      </w:r>
      <w:r w:rsidR="005D7E0E">
        <w:t xml:space="preserve"> 315 accommodation sites with more than 100 beds </w:t>
      </w:r>
      <w:r w:rsidR="00107A66">
        <w:t>around Australia,</w:t>
      </w:r>
      <w:r w:rsidR="00B41D6A">
        <w:t xml:space="preserve"> which</w:t>
      </w:r>
      <w:r w:rsidR="00107A66">
        <w:t xml:space="preserve"> were primarily </w:t>
      </w:r>
      <w:r w:rsidR="005D7E0E">
        <w:t>available to university students</w:t>
      </w:r>
      <w:r w:rsidR="00107A66">
        <w:rPr>
          <w:rStyle w:val="FootnoteReference"/>
        </w:rPr>
        <w:footnoteReference w:id="2"/>
      </w:r>
      <w:r w:rsidR="005D7E0E">
        <w:t>. The sites contributed a total of 74,482 places</w:t>
      </w:r>
      <w:r w:rsidR="005D7E0E">
        <w:rPr>
          <w:rStyle w:val="FootnoteReference"/>
        </w:rPr>
        <w:footnoteReference w:id="3"/>
      </w:r>
      <w:r w:rsidR="005D7E0E">
        <w:t xml:space="preserve"> </w:t>
      </w:r>
      <w:r w:rsidR="00A00DEF">
        <w:t xml:space="preserve">that were primarily </w:t>
      </w:r>
      <w:r w:rsidR="005D7E0E">
        <w:t>available for Australian university students</w:t>
      </w:r>
      <w:r w:rsidR="00A00DEF">
        <w:t xml:space="preserve"> in 2014</w:t>
      </w:r>
      <w:r w:rsidR="005D7E0E">
        <w:t xml:space="preserve">. </w:t>
      </w:r>
      <w:r w:rsidR="00107A66">
        <w:t>Of these</w:t>
      </w:r>
      <w:r w:rsidR="00A00DEF">
        <w:t xml:space="preserve"> places</w:t>
      </w:r>
      <w:r w:rsidR="00107A66">
        <w:t>:</w:t>
      </w:r>
    </w:p>
    <w:p w:rsidR="00107A66" w:rsidRDefault="00107A66" w:rsidP="00A00DEF">
      <w:pPr>
        <w:pStyle w:val="ListParagraph"/>
        <w:numPr>
          <w:ilvl w:val="0"/>
          <w:numId w:val="1"/>
        </w:numPr>
      </w:pPr>
      <w:r>
        <w:t>67</w:t>
      </w:r>
      <w:r w:rsidR="00B41D6A">
        <w:t xml:space="preserve"> per cent</w:t>
      </w:r>
      <w:r>
        <w:t xml:space="preserve"> were on campus</w:t>
      </w:r>
      <w:r w:rsidR="00427288">
        <w:t>;</w:t>
      </w:r>
    </w:p>
    <w:p w:rsidR="00107A66" w:rsidRDefault="00107A66" w:rsidP="00A00DEF">
      <w:pPr>
        <w:pStyle w:val="ListParagraph"/>
        <w:numPr>
          <w:ilvl w:val="0"/>
          <w:numId w:val="1"/>
        </w:numPr>
      </w:pPr>
      <w:r>
        <w:t>81</w:t>
      </w:r>
      <w:r w:rsidR="00B41D6A">
        <w:t xml:space="preserve"> per cent</w:t>
      </w:r>
      <w:r>
        <w:t xml:space="preserve"> were in metropolitan areas</w:t>
      </w:r>
      <w:r w:rsidR="00427288">
        <w:t>; and</w:t>
      </w:r>
    </w:p>
    <w:p w:rsidR="00A00DEF" w:rsidRDefault="00A00DEF" w:rsidP="00A00DEF">
      <w:pPr>
        <w:pStyle w:val="ListParagraph"/>
        <w:numPr>
          <w:ilvl w:val="0"/>
          <w:numId w:val="1"/>
        </w:numPr>
      </w:pPr>
      <w:r>
        <w:t>NSW had the largest share (30</w:t>
      </w:r>
      <w:r w:rsidR="00B41D6A">
        <w:t xml:space="preserve"> per cent</w:t>
      </w:r>
      <w:r>
        <w:t>), although Melbourne had the largest number (16,393) of any capital city.</w:t>
      </w:r>
    </w:p>
    <w:p w:rsidR="005D7E0E" w:rsidRDefault="00107A66">
      <w:r>
        <w:t xml:space="preserve">Although out </w:t>
      </w:r>
      <w:r w:rsidR="00A00DEF">
        <w:t>of scope for this project, it was</w:t>
      </w:r>
      <w:r w:rsidR="001E3E3B">
        <w:t xml:space="preserve"> estimated that other purpose-</w:t>
      </w:r>
      <w:r>
        <w:t xml:space="preserve">built </w:t>
      </w:r>
      <w:r w:rsidR="001E3E3B">
        <w:t xml:space="preserve">student </w:t>
      </w:r>
      <w:r>
        <w:t>accommodation sites</w:t>
      </w:r>
      <w:r w:rsidR="00B41D6A">
        <w:t>,</w:t>
      </w:r>
      <w:r>
        <w:t xml:space="preserve"> with less than 100 beds, may contribute a further 15,000 places nationally.</w:t>
      </w:r>
    </w:p>
    <w:p w:rsidR="00107A66" w:rsidRPr="00A00DEF" w:rsidRDefault="00107A66" w:rsidP="00E44EB8">
      <w:pPr>
        <w:spacing w:after="120"/>
        <w:rPr>
          <w:b/>
        </w:rPr>
      </w:pPr>
      <w:r w:rsidRPr="00A00DEF">
        <w:rPr>
          <w:b/>
        </w:rPr>
        <w:t>Usage by international students</w:t>
      </w:r>
    </w:p>
    <w:p w:rsidR="00107A66" w:rsidRDefault="00107A66">
      <w:r>
        <w:t xml:space="preserve">The </w:t>
      </w:r>
      <w:r w:rsidR="001E3E3B">
        <w:t>census</w:t>
      </w:r>
      <w:r>
        <w:t xml:space="preserve"> identified approximately </w:t>
      </w:r>
      <w:r w:rsidR="00A00DEF">
        <w:t>40</w:t>
      </w:r>
      <w:r w:rsidR="00B41D6A">
        <w:t xml:space="preserve"> per cent</w:t>
      </w:r>
      <w:r w:rsidR="00A00DEF">
        <w:t xml:space="preserve"> of the 74,482 places (or approximately 30,000) were taken by international students in 2014. This suggests the sector as a whole provided places for around 13</w:t>
      </w:r>
      <w:r w:rsidR="00B41D6A">
        <w:t xml:space="preserve"> per cent</w:t>
      </w:r>
      <w:r w:rsidR="00A00DEF">
        <w:t xml:space="preserve"> of all international higher education students in 2014 (</w:t>
      </w:r>
      <w:r w:rsidR="0039075D">
        <w:t>236,249).</w:t>
      </w:r>
    </w:p>
    <w:p w:rsidR="0039075D" w:rsidRPr="008A00B0" w:rsidRDefault="001E3E3B">
      <w:r>
        <w:t>T</w:t>
      </w:r>
      <w:r w:rsidR="0039075D" w:rsidRPr="008A00B0">
        <w:t xml:space="preserve">he remaining places taken by Australian domestic students </w:t>
      </w:r>
      <w:r>
        <w:t>were estimated to</w:t>
      </w:r>
      <w:r w:rsidR="0039075D" w:rsidRPr="008A00B0">
        <w:t xml:space="preserve"> represent a</w:t>
      </w:r>
      <w:r>
        <w:t>bout</w:t>
      </w:r>
      <w:r w:rsidR="0039075D" w:rsidRPr="008A00B0">
        <w:t xml:space="preserve"> </w:t>
      </w:r>
      <w:r w:rsidR="00F84999">
        <w:t xml:space="preserve">    </w:t>
      </w:r>
      <w:r w:rsidR="008A00B0">
        <w:t>33</w:t>
      </w:r>
      <w:r w:rsidR="00B41D6A">
        <w:t xml:space="preserve"> per cent</w:t>
      </w:r>
      <w:r w:rsidR="008A00B0">
        <w:t xml:space="preserve"> of Australian </w:t>
      </w:r>
      <w:r w:rsidR="00E44EB8">
        <w:t xml:space="preserve">‘mobile’ </w:t>
      </w:r>
      <w:r w:rsidR="008A00B0">
        <w:t>domestic</w:t>
      </w:r>
      <w:r w:rsidR="00E44EB8">
        <w:t xml:space="preserve"> students, </w:t>
      </w:r>
      <w:r w:rsidR="0039075D" w:rsidRPr="008A00B0">
        <w:t xml:space="preserve">studying at a location that was more than </w:t>
      </w:r>
      <w:r w:rsidR="00F84999">
        <w:t xml:space="preserve">      </w:t>
      </w:r>
      <w:r w:rsidR="0039075D" w:rsidRPr="008A00B0">
        <w:t>60 kilometres from their permanent home address</w:t>
      </w:r>
      <w:r w:rsidR="0039075D" w:rsidRPr="008A00B0">
        <w:rPr>
          <w:rStyle w:val="FootnoteReference"/>
        </w:rPr>
        <w:footnoteReference w:id="4"/>
      </w:r>
      <w:r w:rsidR="0039075D" w:rsidRPr="008A00B0">
        <w:t>.</w:t>
      </w:r>
    </w:p>
    <w:p w:rsidR="00925EB1" w:rsidRDefault="00F84999">
      <w:r>
        <w:t>Although</w:t>
      </w:r>
      <w:r w:rsidR="00925EB1">
        <w:t xml:space="preserve"> international students have a lower statistical propensity for </w:t>
      </w:r>
      <w:r>
        <w:t xml:space="preserve">using </w:t>
      </w:r>
      <w:r w:rsidR="00925EB1">
        <w:t xml:space="preserve">purpose-built student accommodation than </w:t>
      </w:r>
      <w:r w:rsidR="001E3E3B">
        <w:t>domestic student</w:t>
      </w:r>
      <w:r w:rsidR="00925EB1">
        <w:t>s</w:t>
      </w:r>
      <w:r>
        <w:t xml:space="preserve"> (who are living away from home), i</w:t>
      </w:r>
      <w:r w:rsidR="008A00B0">
        <w:t>t is unknown whether this represents individual preference or a difference in access</w:t>
      </w:r>
      <w:r w:rsidR="001E3E3B">
        <w:t xml:space="preserve"> </w:t>
      </w:r>
      <w:r w:rsidR="008A00B0">
        <w:t>by either group.</w:t>
      </w:r>
    </w:p>
    <w:p w:rsidR="008A00B0" w:rsidRPr="00C25322" w:rsidRDefault="008A00B0" w:rsidP="00E44EB8">
      <w:pPr>
        <w:spacing w:after="120"/>
        <w:rPr>
          <w:b/>
        </w:rPr>
      </w:pPr>
      <w:r w:rsidRPr="00C25322">
        <w:rPr>
          <w:b/>
        </w:rPr>
        <w:t>Growth in the sector</w:t>
      </w:r>
    </w:p>
    <w:p w:rsidR="00C25322" w:rsidRDefault="00C25322">
      <w:r>
        <w:t>Th</w:t>
      </w:r>
      <w:r w:rsidR="000447D2">
        <w:t>is</w:t>
      </w:r>
      <w:r>
        <w:t xml:space="preserve"> is the first national census of this type undertaken since 1999, when 39,561 places were identified. T</w:t>
      </w:r>
      <w:r w:rsidR="00427288">
        <w:t>his</w:t>
      </w:r>
      <w:r>
        <w:t xml:space="preserve"> </w:t>
      </w:r>
      <w:r w:rsidR="00427288">
        <w:t>indicates</w:t>
      </w:r>
      <w:r>
        <w:t xml:space="preserve"> an average annual growth in places of 4.3</w:t>
      </w:r>
      <w:r w:rsidR="00B41D6A">
        <w:t xml:space="preserve"> per cent</w:t>
      </w:r>
      <w:r>
        <w:t xml:space="preserve"> </w:t>
      </w:r>
      <w:r w:rsidR="001E3E3B">
        <w:t>from</w:t>
      </w:r>
      <w:r>
        <w:t xml:space="preserve"> 1999</w:t>
      </w:r>
      <w:r w:rsidR="001E3E3B">
        <w:t xml:space="preserve"> to 2014</w:t>
      </w:r>
      <w:r>
        <w:t xml:space="preserve">. </w:t>
      </w:r>
    </w:p>
    <w:p w:rsidR="001028BF" w:rsidRDefault="000447D2">
      <w:r>
        <w:t xml:space="preserve">Survey respondents were asked to anticipate the number of additional places they would establish by 2018, which was a total of 15,119 additional places (giving a total of 89,601 places in 2018), which represents an average annual growth of </w:t>
      </w:r>
      <w:r w:rsidR="008A17D7">
        <w:t>4.7</w:t>
      </w:r>
      <w:r w:rsidR="00B41D6A">
        <w:t xml:space="preserve"> per cent</w:t>
      </w:r>
      <w:r w:rsidR="008A17D7">
        <w:t>.</w:t>
      </w:r>
      <w:r>
        <w:t xml:space="preserve"> On this basis, the report authors have claimed that </w:t>
      </w:r>
      <w:r w:rsidR="001E3E3B">
        <w:t xml:space="preserve">the </w:t>
      </w:r>
      <w:r w:rsidR="00B41D6A">
        <w:t>number of available places is</w:t>
      </w:r>
      <w:r>
        <w:t xml:space="preserve"> likely to exceed 100,000 by 2020.</w:t>
      </w:r>
    </w:p>
    <w:p w:rsidR="001028BF" w:rsidRDefault="001028BF">
      <w:r>
        <w:br w:type="page"/>
      </w:r>
    </w:p>
    <w:p w:rsidR="00685B99" w:rsidRDefault="0027441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Appendix</w:t>
      </w:r>
      <w:r w:rsidR="00685B99" w:rsidRPr="00F30D3B">
        <w:rPr>
          <w:b/>
          <w:sz w:val="28"/>
          <w:szCs w:val="28"/>
        </w:rPr>
        <w:t>: Figures and charts</w:t>
      </w:r>
      <w:r>
        <w:rPr>
          <w:b/>
          <w:sz w:val="28"/>
          <w:szCs w:val="28"/>
        </w:rPr>
        <w:t xml:space="preserve"> from the university student accommodation census report</w:t>
      </w:r>
      <w:r w:rsidR="009F2B4E">
        <w:rPr>
          <w:b/>
          <w:sz w:val="28"/>
          <w:szCs w:val="28"/>
        </w:rPr>
        <w:t>.</w:t>
      </w:r>
    </w:p>
    <w:p w:rsidR="00F30D3B" w:rsidRPr="00F30D3B" w:rsidRDefault="00F30D3B">
      <w:pPr>
        <w:rPr>
          <w:b/>
          <w:sz w:val="16"/>
          <w:szCs w:val="16"/>
        </w:rPr>
      </w:pPr>
    </w:p>
    <w:p w:rsidR="00685B99" w:rsidRPr="002A0DDA" w:rsidRDefault="00685B99" w:rsidP="00685B99">
      <w:pPr>
        <w:rPr>
          <w:b/>
          <w:noProof/>
          <w:lang w:eastAsia="en-AU"/>
        </w:rPr>
      </w:pPr>
      <w:r>
        <w:rPr>
          <w:b/>
          <w:noProof/>
          <w:lang w:eastAsia="en-AU"/>
        </w:rPr>
        <w:t>1.</w:t>
      </w:r>
      <w:r w:rsidRPr="002A0DDA">
        <w:rPr>
          <w:b/>
          <w:noProof/>
          <w:lang w:eastAsia="en-AU"/>
        </w:rPr>
        <w:t xml:space="preserve"> Location of </w:t>
      </w:r>
      <w:r>
        <w:rPr>
          <w:b/>
          <w:noProof/>
          <w:lang w:eastAsia="en-AU"/>
        </w:rPr>
        <w:t xml:space="preserve">student </w:t>
      </w:r>
      <w:r w:rsidRPr="002A0DDA">
        <w:rPr>
          <w:b/>
          <w:noProof/>
          <w:lang w:eastAsia="en-AU"/>
        </w:rPr>
        <w:t>places by state</w:t>
      </w:r>
      <w:r>
        <w:rPr>
          <w:b/>
          <w:noProof/>
          <w:lang w:eastAsia="en-AU"/>
        </w:rPr>
        <w:t xml:space="preserve"> and territor</w:t>
      </w:r>
      <w:r w:rsidR="00414ED6">
        <w:rPr>
          <w:b/>
          <w:noProof/>
          <w:lang w:eastAsia="en-AU"/>
        </w:rPr>
        <w:t>y</w:t>
      </w:r>
      <w:r>
        <w:rPr>
          <w:b/>
          <w:noProof/>
          <w:lang w:eastAsia="en-AU"/>
        </w:rPr>
        <w:t xml:space="preserve"> in 2014</w:t>
      </w:r>
    </w:p>
    <w:p w:rsidR="00685B99" w:rsidRDefault="00685B99" w:rsidP="00685B99">
      <w:pPr>
        <w:rPr>
          <w:noProof/>
          <w:lang w:eastAsia="en-AU"/>
        </w:rPr>
      </w:pPr>
    </w:p>
    <w:p w:rsidR="00685B99" w:rsidRDefault="00685B99" w:rsidP="00685B99">
      <w:r>
        <w:rPr>
          <w:noProof/>
          <w:lang w:eastAsia="en-AU"/>
        </w:rPr>
        <w:drawing>
          <wp:inline distT="0" distB="0" distL="0" distR="0" wp14:anchorId="7D16736F" wp14:editId="6157693A">
            <wp:extent cx="3838575" cy="31296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86" cy="31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DDA" w:rsidRDefault="00685B99" w:rsidP="00DF4C4F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685B99">
        <w:rPr>
          <w:b/>
        </w:rPr>
        <w:t xml:space="preserve">2. </w:t>
      </w:r>
      <w:r w:rsidR="002A0DDA" w:rsidRPr="00685B99">
        <w:rPr>
          <w:rFonts w:ascii="Arial" w:hAnsi="Arial" w:cs="Arial"/>
          <w:b/>
          <w:bCs/>
          <w:sz w:val="20"/>
          <w:szCs w:val="20"/>
        </w:rPr>
        <w:t>Locations</w:t>
      </w:r>
      <w:r w:rsidR="002A0DDA">
        <w:rPr>
          <w:rFonts w:ascii="Arial" w:hAnsi="Arial" w:cs="Arial"/>
          <w:b/>
          <w:bCs/>
          <w:sz w:val="20"/>
          <w:szCs w:val="20"/>
        </w:rPr>
        <w:t xml:space="preserve"> of student places by </w:t>
      </w:r>
      <w:r w:rsidR="00414ED6">
        <w:rPr>
          <w:rFonts w:ascii="Arial" w:hAnsi="Arial" w:cs="Arial"/>
          <w:b/>
          <w:bCs/>
          <w:sz w:val="20"/>
          <w:szCs w:val="20"/>
        </w:rPr>
        <w:t>capital city</w:t>
      </w:r>
      <w:r>
        <w:rPr>
          <w:rFonts w:ascii="Arial" w:hAnsi="Arial" w:cs="Arial"/>
          <w:b/>
          <w:bCs/>
          <w:sz w:val="20"/>
          <w:szCs w:val="20"/>
        </w:rPr>
        <w:t xml:space="preserve"> in 2014</w:t>
      </w:r>
    </w:p>
    <w:p w:rsidR="002A0DDA" w:rsidRDefault="002A0DDA" w:rsidP="002A0D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A0DDA" w:rsidRPr="002A0DDA" w:rsidRDefault="002A0DDA" w:rsidP="002A0D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AU"/>
        </w:rPr>
        <w:drawing>
          <wp:inline distT="0" distB="0" distL="0" distR="0">
            <wp:extent cx="4041538" cy="324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538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B0" w:rsidRDefault="008A00B0">
      <w:pPr>
        <w:rPr>
          <w:noProof/>
          <w:lang w:eastAsia="en-AU"/>
        </w:rPr>
      </w:pPr>
    </w:p>
    <w:p w:rsidR="00A31C71" w:rsidRDefault="0085483B" w:rsidP="00A31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="00A31C71">
        <w:rPr>
          <w:rFonts w:ascii="Arial" w:hAnsi="Arial" w:cs="Arial"/>
          <w:b/>
          <w:bCs/>
          <w:sz w:val="20"/>
          <w:szCs w:val="20"/>
        </w:rPr>
        <w:t xml:space="preserve">Breakdown of places between </w:t>
      </w:r>
      <w:r>
        <w:rPr>
          <w:rFonts w:ascii="Arial" w:hAnsi="Arial" w:cs="Arial"/>
          <w:b/>
          <w:bCs/>
          <w:sz w:val="20"/>
          <w:szCs w:val="20"/>
        </w:rPr>
        <w:t>regional and metropolitan,</w:t>
      </w:r>
      <w:r w:rsidR="00A31C71">
        <w:rPr>
          <w:rFonts w:ascii="Arial" w:hAnsi="Arial" w:cs="Arial"/>
          <w:b/>
          <w:bCs/>
          <w:sz w:val="20"/>
          <w:szCs w:val="20"/>
        </w:rPr>
        <w:t xml:space="preserve"> by state</w:t>
      </w:r>
      <w:r>
        <w:rPr>
          <w:rFonts w:ascii="Arial" w:hAnsi="Arial" w:cs="Arial"/>
          <w:b/>
          <w:bCs/>
          <w:sz w:val="20"/>
          <w:szCs w:val="20"/>
        </w:rPr>
        <w:t xml:space="preserve"> and territory</w:t>
      </w:r>
    </w:p>
    <w:p w:rsidR="0085483B" w:rsidRPr="00A31C71" w:rsidRDefault="0085483B" w:rsidP="00A31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1C71" w:rsidRDefault="00A31C71">
      <w:r>
        <w:rPr>
          <w:noProof/>
          <w:lang w:eastAsia="en-AU"/>
        </w:rPr>
        <w:drawing>
          <wp:inline distT="0" distB="0" distL="0" distR="0">
            <wp:extent cx="4353947" cy="36957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47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3B" w:rsidRDefault="0085483B" w:rsidP="0085483B">
      <w:pPr>
        <w:rPr>
          <w:rFonts w:ascii="Arial" w:hAnsi="Arial" w:cs="Arial"/>
          <w:b/>
          <w:bCs/>
          <w:sz w:val="20"/>
          <w:szCs w:val="20"/>
        </w:rPr>
      </w:pPr>
    </w:p>
    <w:p w:rsidR="0085483B" w:rsidRDefault="0085483B" w:rsidP="0085483B">
      <w:r>
        <w:rPr>
          <w:rFonts w:ascii="Arial" w:hAnsi="Arial" w:cs="Arial"/>
          <w:b/>
          <w:bCs/>
          <w:sz w:val="20"/>
          <w:szCs w:val="20"/>
        </w:rPr>
        <w:t>4. Available places as a proportion of the estimated number of mobile university students*</w:t>
      </w:r>
    </w:p>
    <w:p w:rsidR="0085483B" w:rsidRDefault="0085483B" w:rsidP="0085483B">
      <w:pPr>
        <w:spacing w:after="0"/>
      </w:pPr>
      <w:r>
        <w:rPr>
          <w:noProof/>
          <w:lang w:eastAsia="en-AU"/>
        </w:rPr>
        <w:drawing>
          <wp:inline distT="0" distB="0" distL="0" distR="0" wp14:anchorId="5872E5AC" wp14:editId="4AE1E973">
            <wp:extent cx="5191125" cy="369070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3B" w:rsidRDefault="0085483B" w:rsidP="0085483B">
      <w:pPr>
        <w:spacing w:after="0"/>
        <w:rPr>
          <w:sz w:val="16"/>
          <w:szCs w:val="16"/>
        </w:rPr>
      </w:pPr>
      <w:r>
        <w:t>*</w:t>
      </w:r>
      <w:r w:rsidRPr="0085483B">
        <w:rPr>
          <w:sz w:val="16"/>
          <w:szCs w:val="16"/>
        </w:rPr>
        <w:t>Mobile university students include international students and domestic students with a term address more than 60 kilometres of their home address where the latest available domestic student data is for 2013.</w:t>
      </w:r>
    </w:p>
    <w:p w:rsidR="00F127DE" w:rsidRPr="0085483B" w:rsidRDefault="0085483B" w:rsidP="0085483B">
      <w:pPr>
        <w:spacing w:after="0"/>
        <w:rPr>
          <w:sz w:val="16"/>
          <w:szCs w:val="16"/>
        </w:rPr>
      </w:pPr>
      <w:r w:rsidRPr="00414ED6">
        <w:rPr>
          <w:rFonts w:ascii="Arial" w:hAnsi="Arial" w:cs="Arial"/>
          <w:b/>
          <w:bCs/>
          <w:sz w:val="20"/>
          <w:szCs w:val="20"/>
        </w:rPr>
        <w:t>5.</w:t>
      </w:r>
      <w:r>
        <w:rPr>
          <w:sz w:val="16"/>
          <w:szCs w:val="16"/>
        </w:rPr>
        <w:t xml:space="preserve"> </w:t>
      </w:r>
      <w:r w:rsidR="00F127DE">
        <w:rPr>
          <w:rFonts w:ascii="Arial" w:hAnsi="Arial" w:cs="Arial"/>
          <w:b/>
          <w:bCs/>
          <w:sz w:val="20"/>
          <w:szCs w:val="20"/>
        </w:rPr>
        <w:t xml:space="preserve"> Places</w:t>
      </w:r>
      <w:r>
        <w:rPr>
          <w:rFonts w:ascii="Arial" w:hAnsi="Arial" w:cs="Arial"/>
          <w:b/>
          <w:bCs/>
          <w:sz w:val="20"/>
          <w:szCs w:val="20"/>
        </w:rPr>
        <w:t xml:space="preserve"> associated </w:t>
      </w:r>
      <w:r w:rsidR="00F127DE">
        <w:rPr>
          <w:rFonts w:ascii="Arial" w:hAnsi="Arial" w:cs="Arial"/>
          <w:b/>
          <w:bCs/>
          <w:sz w:val="20"/>
          <w:szCs w:val="20"/>
        </w:rPr>
        <w:t xml:space="preserve">with a member of one of the </w:t>
      </w:r>
      <w:r>
        <w:rPr>
          <w:rFonts w:ascii="Arial" w:hAnsi="Arial" w:cs="Arial"/>
          <w:b/>
          <w:bCs/>
          <w:sz w:val="20"/>
          <w:szCs w:val="20"/>
        </w:rPr>
        <w:t xml:space="preserve">major </w:t>
      </w:r>
      <w:r w:rsidR="00F127DE">
        <w:rPr>
          <w:rFonts w:ascii="Arial" w:hAnsi="Arial" w:cs="Arial"/>
          <w:b/>
          <w:bCs/>
          <w:sz w:val="20"/>
          <w:szCs w:val="20"/>
        </w:rPr>
        <w:t>university groups</w:t>
      </w:r>
      <w:r>
        <w:rPr>
          <w:rFonts w:ascii="Arial" w:hAnsi="Arial" w:cs="Arial"/>
          <w:b/>
          <w:bCs/>
          <w:sz w:val="20"/>
          <w:szCs w:val="20"/>
        </w:rPr>
        <w:t>*</w:t>
      </w:r>
    </w:p>
    <w:p w:rsidR="00F127DE" w:rsidRDefault="00F127DE" w:rsidP="00414ED6">
      <w:pPr>
        <w:spacing w:after="0"/>
      </w:pPr>
      <w:r>
        <w:rPr>
          <w:noProof/>
          <w:lang w:eastAsia="en-AU"/>
        </w:rPr>
        <w:drawing>
          <wp:inline distT="0" distB="0" distL="0" distR="0">
            <wp:extent cx="3200400" cy="2068676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30" cy="20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DE" w:rsidRDefault="0085483B" w:rsidP="0085483B">
      <w:pPr>
        <w:rPr>
          <w:sz w:val="16"/>
          <w:szCs w:val="16"/>
        </w:rPr>
      </w:pPr>
      <w:r w:rsidRPr="0085483B">
        <w:rPr>
          <w:sz w:val="16"/>
          <w:szCs w:val="16"/>
        </w:rPr>
        <w:t xml:space="preserve">*Go8 = Group of Eight; IRU = Innovative Research Universities; RUN = Regional Universities Network; ATN = Australian Technology Network. </w:t>
      </w:r>
      <w:r>
        <w:rPr>
          <w:sz w:val="16"/>
          <w:szCs w:val="16"/>
        </w:rPr>
        <w:t>Other = other universities not in the afore</w:t>
      </w:r>
      <w:r w:rsidR="00414ED6">
        <w:rPr>
          <w:sz w:val="16"/>
          <w:szCs w:val="16"/>
        </w:rPr>
        <w:t>mentioned group</w:t>
      </w:r>
      <w:r>
        <w:rPr>
          <w:sz w:val="16"/>
          <w:szCs w:val="16"/>
        </w:rPr>
        <w:t xml:space="preserve">s. The remaining </w:t>
      </w:r>
      <w:r w:rsidR="00414ED6">
        <w:rPr>
          <w:sz w:val="16"/>
          <w:szCs w:val="16"/>
        </w:rPr>
        <w:t xml:space="preserve">8,124 places belonged to providers of university accommodation which did not report being associated with any particular university. </w:t>
      </w:r>
      <w:r>
        <w:rPr>
          <w:sz w:val="16"/>
          <w:szCs w:val="16"/>
        </w:rPr>
        <w:t xml:space="preserve">  </w:t>
      </w:r>
    </w:p>
    <w:p w:rsidR="00414ED6" w:rsidRDefault="00414ED6" w:rsidP="00414ED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414ED6" w:rsidRDefault="00414ED6" w:rsidP="00414ED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F30D3B" w:rsidRDefault="00F30D3B" w:rsidP="00414ED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F127DE" w:rsidRDefault="00414ED6">
      <w:r>
        <w:rPr>
          <w:rFonts w:ascii="Arial" w:hAnsi="Arial" w:cs="Arial"/>
          <w:b/>
          <w:bCs/>
          <w:sz w:val="20"/>
          <w:szCs w:val="20"/>
        </w:rPr>
        <w:t>6.</w:t>
      </w:r>
      <w:r w:rsidR="00F127D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Past growth - n</w:t>
      </w:r>
      <w:r w:rsidR="00F127DE">
        <w:rPr>
          <w:rFonts w:ascii="Arial" w:hAnsi="Arial" w:cs="Arial"/>
          <w:b/>
          <w:bCs/>
          <w:sz w:val="20"/>
          <w:szCs w:val="20"/>
        </w:rPr>
        <w:t>umber of places in 1999 compared to 2014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F127DE">
        <w:rPr>
          <w:rFonts w:ascii="Arial" w:hAnsi="Arial" w:cs="Arial"/>
          <w:b/>
          <w:bCs/>
          <w:sz w:val="20"/>
          <w:szCs w:val="20"/>
        </w:rPr>
        <w:t xml:space="preserve"> by state</w:t>
      </w:r>
      <w:r>
        <w:rPr>
          <w:rFonts w:ascii="Arial" w:hAnsi="Arial" w:cs="Arial"/>
          <w:b/>
          <w:bCs/>
          <w:sz w:val="20"/>
          <w:szCs w:val="20"/>
        </w:rPr>
        <w:t xml:space="preserve"> and territory</w:t>
      </w:r>
    </w:p>
    <w:p w:rsidR="00F127DE" w:rsidRDefault="00F127DE">
      <w:r>
        <w:rPr>
          <w:noProof/>
          <w:lang w:eastAsia="en-AU"/>
        </w:rPr>
        <w:drawing>
          <wp:inline distT="0" distB="0" distL="0" distR="0">
            <wp:extent cx="5248275" cy="18727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68" cy="187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D6" w:rsidRDefault="00414ED6"/>
    <w:p w:rsidR="00414ED6" w:rsidRDefault="00414E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 Past growth - number of places in 1999 compared to 2014, by capital city</w:t>
      </w:r>
    </w:p>
    <w:p w:rsidR="00414ED6" w:rsidRDefault="00414E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AU"/>
        </w:rPr>
        <w:drawing>
          <wp:inline distT="0" distB="0" distL="0" distR="0">
            <wp:extent cx="5728335" cy="213360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D6" w:rsidRDefault="00414ED6">
      <w:pPr>
        <w:rPr>
          <w:rFonts w:ascii="Arial" w:hAnsi="Arial" w:cs="Arial"/>
          <w:b/>
          <w:bCs/>
          <w:sz w:val="20"/>
          <w:szCs w:val="20"/>
        </w:rPr>
      </w:pPr>
    </w:p>
    <w:p w:rsidR="00F127DE" w:rsidRDefault="00F30D3B">
      <w:r>
        <w:rPr>
          <w:rFonts w:ascii="Arial" w:hAnsi="Arial" w:cs="Arial"/>
          <w:b/>
          <w:bCs/>
          <w:sz w:val="20"/>
          <w:szCs w:val="20"/>
        </w:rPr>
        <w:t>8: Future growth - a</w:t>
      </w:r>
      <w:r w:rsidR="00F127DE">
        <w:rPr>
          <w:rFonts w:ascii="Arial" w:hAnsi="Arial" w:cs="Arial"/>
          <w:b/>
          <w:bCs/>
          <w:sz w:val="20"/>
          <w:szCs w:val="20"/>
        </w:rPr>
        <w:t>ctual places in 2014 versus projected places in 2018</w:t>
      </w:r>
      <w:r>
        <w:rPr>
          <w:rFonts w:ascii="Arial" w:hAnsi="Arial" w:cs="Arial"/>
          <w:b/>
          <w:bCs/>
          <w:sz w:val="20"/>
          <w:szCs w:val="20"/>
        </w:rPr>
        <w:t>, by state and territory</w:t>
      </w:r>
    </w:p>
    <w:p w:rsidR="00F127DE" w:rsidRDefault="00F127DE">
      <w:r>
        <w:rPr>
          <w:noProof/>
          <w:lang w:eastAsia="en-AU"/>
        </w:rPr>
        <w:drawing>
          <wp:inline distT="0" distB="0" distL="0" distR="0">
            <wp:extent cx="5162550" cy="201469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04" cy="201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DE" w:rsidRPr="00F127DE" w:rsidRDefault="00F30D3B" w:rsidP="00F30D3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9: Future growth - actual places in 2014 versus projected places in 2018, by </w:t>
      </w:r>
      <w:r w:rsidR="00F127DE">
        <w:rPr>
          <w:rFonts w:ascii="Arial" w:hAnsi="Arial" w:cs="Arial"/>
          <w:b/>
          <w:bCs/>
          <w:sz w:val="20"/>
          <w:szCs w:val="20"/>
        </w:rPr>
        <w:t>capital city</w:t>
      </w:r>
    </w:p>
    <w:p w:rsidR="00F127DE" w:rsidRDefault="00F127DE">
      <w:r>
        <w:rPr>
          <w:noProof/>
          <w:lang w:eastAsia="en-AU"/>
        </w:rPr>
        <w:drawing>
          <wp:inline distT="0" distB="0" distL="0" distR="0">
            <wp:extent cx="5719445" cy="2133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DE" w:rsidRDefault="00F127DE"/>
    <w:p w:rsidR="00F127DE" w:rsidRDefault="00F127DE"/>
    <w:sectPr w:rsidR="00F127DE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93" w:rsidRDefault="00D30293" w:rsidP="005D7E0E">
      <w:pPr>
        <w:spacing w:after="0" w:line="240" w:lineRule="auto"/>
      </w:pPr>
      <w:r>
        <w:separator/>
      </w:r>
    </w:p>
  </w:endnote>
  <w:endnote w:type="continuationSeparator" w:id="0">
    <w:p w:rsidR="00D30293" w:rsidRDefault="00D30293" w:rsidP="005D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52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7E3" w:rsidRDefault="000F5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5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7E3" w:rsidRDefault="000F57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93" w:rsidRDefault="00D30293" w:rsidP="005D7E0E">
      <w:pPr>
        <w:spacing w:after="0" w:line="240" w:lineRule="auto"/>
      </w:pPr>
      <w:r>
        <w:separator/>
      </w:r>
    </w:p>
  </w:footnote>
  <w:footnote w:type="continuationSeparator" w:id="0">
    <w:p w:rsidR="00D30293" w:rsidRDefault="00D30293" w:rsidP="005D7E0E">
      <w:pPr>
        <w:spacing w:after="0" w:line="240" w:lineRule="auto"/>
      </w:pPr>
      <w:r>
        <w:continuationSeparator/>
      </w:r>
    </w:p>
  </w:footnote>
  <w:footnote w:id="1">
    <w:p w:rsidR="00CC6A7F" w:rsidRDefault="00CC6A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B052F">
          <w:rPr>
            <w:rStyle w:val="Hyperlink"/>
          </w:rPr>
          <w:t>National Census of University Student Accommodation Providers 2014</w:t>
        </w:r>
      </w:hyperlink>
      <w:r>
        <w:t>.</w:t>
      </w:r>
    </w:p>
  </w:footnote>
  <w:footnote w:id="2">
    <w:p w:rsidR="00107A66" w:rsidRDefault="00107A66" w:rsidP="00E44EB8">
      <w:pPr>
        <w:pStyle w:val="FootnoteText"/>
      </w:pPr>
      <w:r w:rsidRPr="00E44EB8">
        <w:rPr>
          <w:sz w:val="16"/>
          <w:szCs w:val="16"/>
        </w:rPr>
        <w:footnoteRef/>
      </w:r>
      <w:r w:rsidRPr="00E44EB8">
        <w:rPr>
          <w:sz w:val="16"/>
          <w:szCs w:val="16"/>
        </w:rPr>
        <w:t xml:space="preserve"> </w:t>
      </w:r>
      <w:r w:rsidRPr="00107A66">
        <w:rPr>
          <w:sz w:val="16"/>
          <w:szCs w:val="16"/>
        </w:rPr>
        <w:t xml:space="preserve">Purpose-built accommodation for non-university students was not in scope for this research project. The accommodation bodies involved in this project suggested </w:t>
      </w:r>
      <w:r>
        <w:rPr>
          <w:sz w:val="16"/>
          <w:szCs w:val="16"/>
        </w:rPr>
        <w:t xml:space="preserve">that </w:t>
      </w:r>
      <w:r w:rsidRPr="00107A66">
        <w:rPr>
          <w:sz w:val="16"/>
          <w:szCs w:val="16"/>
        </w:rPr>
        <w:t>such establishments were relatively rare.</w:t>
      </w:r>
    </w:p>
  </w:footnote>
  <w:footnote w:id="3">
    <w:p w:rsidR="005D7E0E" w:rsidRPr="00107A66" w:rsidRDefault="005D7E0E" w:rsidP="00107A66">
      <w:pPr>
        <w:pStyle w:val="FootnoteText"/>
        <w:rPr>
          <w:sz w:val="16"/>
          <w:szCs w:val="16"/>
        </w:rPr>
      </w:pPr>
      <w:r w:rsidRPr="001E3E3B">
        <w:rPr>
          <w:sz w:val="16"/>
          <w:szCs w:val="16"/>
        </w:rPr>
        <w:footnoteRef/>
      </w:r>
      <w:r w:rsidRPr="00107A66">
        <w:rPr>
          <w:sz w:val="16"/>
          <w:szCs w:val="16"/>
        </w:rPr>
        <w:t xml:space="preserve"> The </w:t>
      </w:r>
      <w:r w:rsidR="00E44EB8">
        <w:rPr>
          <w:sz w:val="16"/>
          <w:szCs w:val="16"/>
        </w:rPr>
        <w:t>providers prefer</w:t>
      </w:r>
      <w:r w:rsidRPr="00107A66">
        <w:rPr>
          <w:sz w:val="16"/>
          <w:szCs w:val="16"/>
        </w:rPr>
        <w:t xml:space="preserve"> the term </w:t>
      </w:r>
      <w:r w:rsidRPr="00E44EB8">
        <w:rPr>
          <w:i/>
          <w:sz w:val="16"/>
          <w:szCs w:val="16"/>
        </w:rPr>
        <w:t>places</w:t>
      </w:r>
      <w:r w:rsidRPr="00107A66">
        <w:rPr>
          <w:sz w:val="16"/>
          <w:szCs w:val="16"/>
        </w:rPr>
        <w:t xml:space="preserve">, </w:t>
      </w:r>
      <w:r w:rsidR="00E44EB8">
        <w:rPr>
          <w:sz w:val="16"/>
          <w:szCs w:val="16"/>
        </w:rPr>
        <w:t>which,</w:t>
      </w:r>
      <w:r w:rsidRPr="00107A66">
        <w:rPr>
          <w:sz w:val="16"/>
          <w:szCs w:val="16"/>
        </w:rPr>
        <w:t xml:space="preserve"> </w:t>
      </w:r>
      <w:r w:rsidR="00E44EB8">
        <w:rPr>
          <w:sz w:val="16"/>
          <w:szCs w:val="16"/>
        </w:rPr>
        <w:t>in all important respects,</w:t>
      </w:r>
      <w:r w:rsidRPr="00107A66">
        <w:rPr>
          <w:sz w:val="16"/>
          <w:szCs w:val="16"/>
        </w:rPr>
        <w:t xml:space="preserve"> is equivalent to the term </w:t>
      </w:r>
      <w:r w:rsidRPr="001E3E3B">
        <w:rPr>
          <w:i/>
          <w:sz w:val="16"/>
          <w:szCs w:val="16"/>
        </w:rPr>
        <w:t>beds</w:t>
      </w:r>
      <w:r w:rsidRPr="00107A66">
        <w:rPr>
          <w:sz w:val="16"/>
          <w:szCs w:val="16"/>
        </w:rPr>
        <w:t>.</w:t>
      </w:r>
    </w:p>
  </w:footnote>
  <w:footnote w:id="4">
    <w:p w:rsidR="0039075D" w:rsidRDefault="0039075D">
      <w:pPr>
        <w:pStyle w:val="FootnoteText"/>
      </w:pPr>
      <w:r w:rsidRPr="0039075D">
        <w:rPr>
          <w:sz w:val="16"/>
          <w:szCs w:val="16"/>
        </w:rPr>
        <w:footnoteRef/>
      </w:r>
      <w:r w:rsidRPr="0039075D">
        <w:rPr>
          <w:sz w:val="16"/>
          <w:szCs w:val="16"/>
        </w:rPr>
        <w:t xml:space="preserve"> The estimate of Australian mobile students was derived through analysis of Australian Governm</w:t>
      </w:r>
      <w:r w:rsidR="001C1537">
        <w:rPr>
          <w:sz w:val="16"/>
          <w:szCs w:val="16"/>
        </w:rPr>
        <w:t>ent Higher Education Statistics where the latest full-year data available is for 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C62"/>
    <w:multiLevelType w:val="hybridMultilevel"/>
    <w:tmpl w:val="EC54D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0E"/>
    <w:rsid w:val="000447D2"/>
    <w:rsid w:val="00076CFE"/>
    <w:rsid w:val="00093D63"/>
    <w:rsid w:val="000F57E3"/>
    <w:rsid w:val="001028BF"/>
    <w:rsid w:val="00107A66"/>
    <w:rsid w:val="001835DE"/>
    <w:rsid w:val="001C1537"/>
    <w:rsid w:val="001E3E3B"/>
    <w:rsid w:val="00203A2F"/>
    <w:rsid w:val="00274413"/>
    <w:rsid w:val="002A0DDA"/>
    <w:rsid w:val="00300574"/>
    <w:rsid w:val="003573C7"/>
    <w:rsid w:val="0039075D"/>
    <w:rsid w:val="003A66F0"/>
    <w:rsid w:val="003B0C79"/>
    <w:rsid w:val="003D4D5C"/>
    <w:rsid w:val="00414ED6"/>
    <w:rsid w:val="00427288"/>
    <w:rsid w:val="004B0A7B"/>
    <w:rsid w:val="005C68E2"/>
    <w:rsid w:val="005D6F61"/>
    <w:rsid w:val="005D7E0E"/>
    <w:rsid w:val="00685B99"/>
    <w:rsid w:val="0069759F"/>
    <w:rsid w:val="00736B41"/>
    <w:rsid w:val="0077603E"/>
    <w:rsid w:val="00792AEE"/>
    <w:rsid w:val="007F56EA"/>
    <w:rsid w:val="00807A5D"/>
    <w:rsid w:val="0082314C"/>
    <w:rsid w:val="0085483B"/>
    <w:rsid w:val="008A00B0"/>
    <w:rsid w:val="008A17D7"/>
    <w:rsid w:val="008D5DFB"/>
    <w:rsid w:val="00925EB1"/>
    <w:rsid w:val="00953753"/>
    <w:rsid w:val="009A0ADE"/>
    <w:rsid w:val="009F2B4E"/>
    <w:rsid w:val="00A00DEF"/>
    <w:rsid w:val="00A0654A"/>
    <w:rsid w:val="00A31C71"/>
    <w:rsid w:val="00AB052F"/>
    <w:rsid w:val="00B1219C"/>
    <w:rsid w:val="00B41D6A"/>
    <w:rsid w:val="00B56788"/>
    <w:rsid w:val="00BE6DED"/>
    <w:rsid w:val="00C25322"/>
    <w:rsid w:val="00CC6A7F"/>
    <w:rsid w:val="00D30293"/>
    <w:rsid w:val="00DC14CC"/>
    <w:rsid w:val="00DC33D0"/>
    <w:rsid w:val="00DF4C4F"/>
    <w:rsid w:val="00E44EB8"/>
    <w:rsid w:val="00F127DE"/>
    <w:rsid w:val="00F30D3B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7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E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E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0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35"/>
    <w:semiHidden/>
    <w:unhideWhenUsed/>
    <w:qFormat/>
    <w:rsid w:val="008D5DFB"/>
    <w:pPr>
      <w:keepNext/>
      <w:spacing w:before="240" w:after="120"/>
    </w:pPr>
    <w:rPr>
      <w:rFonts w:ascii="Calibri" w:hAnsi="Calibri" w:cs="Calibr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0F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E3"/>
  </w:style>
  <w:style w:type="paragraph" w:styleId="Footer">
    <w:name w:val="footer"/>
    <w:basedOn w:val="Normal"/>
    <w:link w:val="FooterChar"/>
    <w:uiPriority w:val="99"/>
    <w:unhideWhenUsed/>
    <w:rsid w:val="000F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E3"/>
  </w:style>
  <w:style w:type="character" w:styleId="Hyperlink">
    <w:name w:val="Hyperlink"/>
    <w:basedOn w:val="DefaultParagraphFont"/>
    <w:uiPriority w:val="99"/>
    <w:unhideWhenUsed/>
    <w:rsid w:val="00AB0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7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E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E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0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35"/>
    <w:semiHidden/>
    <w:unhideWhenUsed/>
    <w:qFormat/>
    <w:rsid w:val="008D5DFB"/>
    <w:pPr>
      <w:keepNext/>
      <w:spacing w:before="240" w:after="120"/>
    </w:pPr>
    <w:rPr>
      <w:rFonts w:ascii="Calibri" w:hAnsi="Calibri" w:cs="Calibr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0F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E3"/>
  </w:style>
  <w:style w:type="paragraph" w:styleId="Footer">
    <w:name w:val="footer"/>
    <w:basedOn w:val="Normal"/>
    <w:link w:val="FooterChar"/>
    <w:uiPriority w:val="99"/>
    <w:unhideWhenUsed/>
    <w:rsid w:val="000F5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E3"/>
  </w:style>
  <w:style w:type="character" w:styleId="Hyperlink">
    <w:name w:val="Hyperlink"/>
    <w:basedOn w:val="DefaultParagraphFont"/>
    <w:uiPriority w:val="99"/>
    <w:unhideWhenUsed/>
    <w:rsid w:val="00AB0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iversitycollegesaustralia.edu.au/wp-content/uploads/2015/06/2015-05-27_uca_census_2014_report_final_lowres_s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A9AF6904CE4BB4CA0C969D8DBB7D" ma:contentTypeVersion="1" ma:contentTypeDescription="Create a new document." ma:contentTypeScope="" ma:versionID="c95e0e89db607cda48c87df2569f6b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9027-C761-45AF-A149-8D59A6D44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8D815-AE6E-414E-AA9D-D725EE73E9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30768C-4B25-4B97-A75B-F3C06D7EECC1}"/>
</file>

<file path=customXml/itemProps4.xml><?xml version="1.0" encoding="utf-8"?>
<ds:datastoreItem xmlns:ds="http://schemas.openxmlformats.org/officeDocument/2006/customXml" ds:itemID="{9A882B46-8438-44E4-91FA-E170F36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1CC627AD.dotm</Template>
  <TotalTime>1304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Nerlich</dc:creator>
  <cp:lastModifiedBy>Hai Le</cp:lastModifiedBy>
  <cp:revision>5</cp:revision>
  <cp:lastPrinted>2015-05-01T05:29:00Z</cp:lastPrinted>
  <dcterms:created xsi:type="dcterms:W3CDTF">2015-06-01T01:18:00Z</dcterms:created>
  <dcterms:modified xsi:type="dcterms:W3CDTF">2015-06-02T00:46:00Z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0x0101001127A9AF6904CE4BB4CA0C969D8DBB7D</vt:lpwstr>
  </property>
  <property fmtid="{D5CDD505-2E9C-101B-9397-08002B2CF9AE}" pid="3" name="Order">
    <vt:r8>3500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