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034" w:type="dxa"/>
        <w:tblInd w:w="-147" w:type="dxa"/>
        <w:tblLook w:val="04A0" w:firstRow="1" w:lastRow="0" w:firstColumn="1" w:lastColumn="0" w:noHBand="0" w:noVBand="1"/>
      </w:tblPr>
      <w:tblGrid>
        <w:gridCol w:w="2352"/>
        <w:gridCol w:w="9556"/>
        <w:gridCol w:w="2126"/>
      </w:tblGrid>
      <w:tr w:rsidR="00F07B45" w:rsidRPr="00F07B45" w:rsidTr="00F07B45">
        <w:tc>
          <w:tcPr>
            <w:tcW w:w="2352" w:type="dxa"/>
            <w:tcBorders>
              <w:bottom w:val="single" w:sz="4" w:space="0" w:color="auto"/>
            </w:tcBorders>
            <w:shd w:val="clear" w:color="auto" w:fill="299FFF"/>
          </w:tcPr>
          <w:p w:rsidR="00F07B45" w:rsidRPr="00F07B45" w:rsidRDefault="00F07B45" w:rsidP="00F07B45">
            <w:pPr>
              <w:jc w:val="center"/>
              <w:rPr>
                <w:rFonts w:ascii="Calibri" w:eastAsia="Calibri" w:hAnsi="Calibri" w:cs="Times New Roman"/>
                <w:b/>
                <w:color w:val="DEFAFC"/>
              </w:rPr>
            </w:pPr>
          </w:p>
        </w:tc>
        <w:tc>
          <w:tcPr>
            <w:tcW w:w="9556" w:type="dxa"/>
            <w:tcBorders>
              <w:bottom w:val="single" w:sz="4" w:space="0" w:color="auto"/>
            </w:tcBorders>
            <w:shd w:val="clear" w:color="auto" w:fill="299FFF"/>
          </w:tcPr>
          <w:p w:rsidR="00F07B45" w:rsidRPr="00F07B45" w:rsidRDefault="00F07B45" w:rsidP="00F07B45">
            <w:pPr>
              <w:jc w:val="center"/>
              <w:rPr>
                <w:rFonts w:ascii="Calibri" w:eastAsia="Calibri" w:hAnsi="Calibri" w:cs="Times New Roman"/>
                <w:b/>
                <w:color w:val="DEFAFC"/>
              </w:rPr>
            </w:pPr>
            <w:r w:rsidRPr="00F07B45">
              <w:rPr>
                <w:rFonts w:ascii="Calibri" w:eastAsia="Calibri" w:hAnsi="Calibri" w:cs="Times New Roman"/>
                <w:b/>
                <w:color w:val="DEFAFC"/>
              </w:rPr>
              <w:t>Project Title and Description</w:t>
            </w:r>
          </w:p>
        </w:tc>
        <w:tc>
          <w:tcPr>
            <w:tcW w:w="2126" w:type="dxa"/>
            <w:tcBorders>
              <w:bottom w:val="single" w:sz="4" w:space="0" w:color="auto"/>
            </w:tcBorders>
            <w:shd w:val="clear" w:color="auto" w:fill="299FFF"/>
          </w:tcPr>
          <w:p w:rsidR="00F07B45" w:rsidRPr="00F07B45" w:rsidRDefault="00F07B45" w:rsidP="00F07B45">
            <w:pPr>
              <w:jc w:val="center"/>
              <w:rPr>
                <w:rFonts w:ascii="Calibri" w:eastAsia="Calibri" w:hAnsi="Calibri" w:cs="Times New Roman"/>
                <w:b/>
                <w:color w:val="DEFAFC"/>
              </w:rPr>
            </w:pPr>
            <w:r w:rsidRPr="00F07B45">
              <w:rPr>
                <w:rFonts w:ascii="Calibri" w:eastAsia="Calibri" w:hAnsi="Calibri" w:cs="Times New Roman"/>
                <w:b/>
                <w:color w:val="DEFAFC"/>
              </w:rPr>
              <w:t>Allocation</w:t>
            </w:r>
          </w:p>
          <w:p w:rsidR="00F07B45" w:rsidRPr="00F07B45" w:rsidRDefault="00F07B45" w:rsidP="00F07B45">
            <w:pPr>
              <w:jc w:val="center"/>
              <w:rPr>
                <w:rFonts w:ascii="Calibri" w:eastAsia="Calibri" w:hAnsi="Calibri" w:cs="Times New Roman"/>
                <w:b/>
                <w:color w:val="DEFAFC"/>
              </w:rPr>
            </w:pPr>
            <w:r w:rsidRPr="00F07B45">
              <w:rPr>
                <w:rFonts w:ascii="Calibri" w:eastAsia="Calibri" w:hAnsi="Calibri" w:cs="Times New Roman"/>
                <w:b/>
                <w:color w:val="DEFAFC"/>
              </w:rPr>
              <w:t>(GST exclusive)</w:t>
            </w:r>
          </w:p>
        </w:tc>
      </w:tr>
      <w:tr w:rsidR="00F07B45" w:rsidRPr="00F07B45" w:rsidTr="00F07B45">
        <w:tc>
          <w:tcPr>
            <w:tcW w:w="14034" w:type="dxa"/>
            <w:gridSpan w:val="3"/>
            <w:shd w:val="clear" w:color="auto" w:fill="DEFAFC"/>
          </w:tcPr>
          <w:p w:rsidR="00F07B45" w:rsidRPr="00F07B45" w:rsidRDefault="00F07B45" w:rsidP="00F07B45">
            <w:pPr>
              <w:rPr>
                <w:rFonts w:ascii="Calibri" w:eastAsia="Calibri" w:hAnsi="Calibri" w:cs="Calibri"/>
                <w:i/>
              </w:rPr>
            </w:pPr>
            <w:r w:rsidRPr="00F07B45">
              <w:rPr>
                <w:rFonts w:ascii="Calibri" w:eastAsia="Calibri" w:hAnsi="Calibri" w:cs="Calibri"/>
                <w:i/>
              </w:rPr>
              <w:t>Council Priority 1: Providing the best possible student experience, including developing employability skills and regional engagement</w:t>
            </w:r>
          </w:p>
          <w:p w:rsidR="00F07B45" w:rsidRPr="00F07B45" w:rsidRDefault="00F07B45" w:rsidP="00F07B45">
            <w:pPr>
              <w:rPr>
                <w:rFonts w:ascii="Calibri" w:eastAsia="Calibri" w:hAnsi="Calibri" w:cs="Times New Roman"/>
                <w:i/>
              </w:rPr>
            </w:pP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Council of International Students Australia</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International Student Engagement and Leadership program</w:t>
            </w:r>
          </w:p>
          <w:p w:rsidR="00F07B45" w:rsidRPr="00F07B45" w:rsidRDefault="00F07B45" w:rsidP="00F07B45">
            <w:pPr>
              <w:rPr>
                <w:rFonts w:ascii="Calibri" w:eastAsia="Calibri" w:hAnsi="Calibri" w:cs="Times New Roman"/>
              </w:rPr>
            </w:pPr>
            <w:r w:rsidRPr="00F07B45">
              <w:rPr>
                <w:rFonts w:ascii="Calibri" w:eastAsia="Calibri" w:hAnsi="Calibri" w:cs="Times New Roman"/>
              </w:rPr>
              <w:t>This project will improve the engagement of international students on university campuses nationally and help international students in supporting each other in addressing mental health issues, workplace exploitation and campus-based engagement. The findings of the project will be shared with English Australia, whose 2017-18 Enabling Growth and Innovation project is also focussed on supporting the mental health of international students.</w:t>
            </w:r>
          </w:p>
          <w:p w:rsidR="00F07B45" w:rsidRPr="00F07B45" w:rsidRDefault="00F07B45" w:rsidP="00F07B45">
            <w:pPr>
              <w:rPr>
                <w:rFonts w:ascii="Calibri" w:eastAsia="Calibri" w:hAnsi="Calibri" w:cs="Times New Roman"/>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$100,000</w:t>
            </w: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English Australia</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International Student Mental Health – training to support a better experience</w:t>
            </w:r>
          </w:p>
          <w:p w:rsidR="00F07B45" w:rsidRPr="00F07B45" w:rsidRDefault="00F07B45" w:rsidP="00F07B45">
            <w:pPr>
              <w:rPr>
                <w:rFonts w:ascii="Calibri" w:eastAsia="Calibri" w:hAnsi="Calibri" w:cs="Times New Roman"/>
              </w:rPr>
            </w:pPr>
            <w:r w:rsidRPr="00F07B45">
              <w:rPr>
                <w:rFonts w:ascii="Calibri" w:eastAsia="Calibri" w:hAnsi="Calibri" w:cs="Times New Roman"/>
              </w:rPr>
              <w:t>International Student Mental Health issues are widespread and significantly impact on the experience of international student studying in Australia. Reduced English proficiency adds further stress on students and heightens the prevalence of mental health issues. This project will provide valuable training for teachers and staff to provide better support for international students. The findings of the project will be shared with the Council of International Students Australia, whose 2017-18 Enabling Growth and Innovation project is also supporting the mental health of international students.</w:t>
            </w:r>
          </w:p>
          <w:p w:rsidR="00F07B45" w:rsidRPr="00F07B45" w:rsidRDefault="00F07B45" w:rsidP="00F07B45">
            <w:pPr>
              <w:rPr>
                <w:rFonts w:ascii="Calibri" w:eastAsia="Calibri" w:hAnsi="Calibri" w:cs="Times New Roman"/>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$50,270</w:t>
            </w: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Universities Australia</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International University Students and Pre-departure information: What are they getting and what do they need?</w:t>
            </w:r>
          </w:p>
          <w:p w:rsidR="00F07B45" w:rsidRPr="00F07B45" w:rsidRDefault="00F07B45" w:rsidP="00F07B45">
            <w:pPr>
              <w:rPr>
                <w:rFonts w:ascii="Calibri" w:eastAsia="Calibri" w:hAnsi="Calibri" w:cs="Times New Roman"/>
              </w:rPr>
            </w:pPr>
            <w:r w:rsidRPr="00F07B45">
              <w:rPr>
                <w:rFonts w:ascii="Calibri" w:eastAsia="Calibri" w:hAnsi="Calibri" w:cs="Times New Roman"/>
              </w:rPr>
              <w:t xml:space="preserve">This project will document the perspectives of pre-departure information currently provided </w:t>
            </w:r>
            <w:r w:rsidR="007B4FA6">
              <w:rPr>
                <w:rFonts w:ascii="Calibri" w:eastAsia="Calibri" w:hAnsi="Calibri" w:cs="Times New Roman"/>
              </w:rPr>
              <w:t xml:space="preserve">to </w:t>
            </w:r>
            <w:r w:rsidRPr="00F07B45">
              <w:rPr>
                <w:rFonts w:ascii="Calibri" w:eastAsia="Calibri" w:hAnsi="Calibri" w:cs="Times New Roman"/>
              </w:rPr>
              <w:t xml:space="preserve">international university students. A survey of international university students will be complemented by country-specific focus groups. The project seeks examples of best practice and challenges to providing useful and culturally appropriate pre departure information. Outcomes include a report showcasing examples of best practice. </w:t>
            </w:r>
          </w:p>
          <w:p w:rsidR="00F07B45" w:rsidRPr="00F07B45" w:rsidRDefault="00F07B45" w:rsidP="00F07B45">
            <w:pPr>
              <w:rPr>
                <w:rFonts w:ascii="Calibri" w:eastAsia="Calibri" w:hAnsi="Calibri" w:cs="Times New Roman"/>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$90,000</w:t>
            </w: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lastRenderedPageBreak/>
              <w:t>ISANA</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National Code of Practice for Providers of Education and Training to Overseas Students 2018 Online Tutorial</w:t>
            </w:r>
          </w:p>
          <w:p w:rsidR="00F07B45" w:rsidRPr="00F07B45" w:rsidRDefault="00F07B45" w:rsidP="00F07B45">
            <w:pPr>
              <w:rPr>
                <w:rFonts w:ascii="Calibri" w:eastAsia="Calibri" w:hAnsi="Calibri" w:cs="Times New Roman"/>
              </w:rPr>
            </w:pPr>
            <w:r w:rsidRPr="00F07B45">
              <w:rPr>
                <w:rFonts w:ascii="Calibri" w:eastAsia="Calibri" w:hAnsi="Calibri" w:cs="Times New Roman"/>
              </w:rPr>
              <w:t xml:space="preserve">This project will develop and deliver an updated instructional tool for international education professionals to understand and meet their obligations under the </w:t>
            </w:r>
            <w:r w:rsidRPr="00F07B45">
              <w:rPr>
                <w:rFonts w:ascii="Calibri" w:eastAsia="Calibri" w:hAnsi="Calibri" w:cs="Times New Roman"/>
                <w:i/>
              </w:rPr>
              <w:t>National Code of Practice for Providers of Education and Training to Overseas Students 2018</w:t>
            </w:r>
            <w:r w:rsidRPr="00F07B45">
              <w:rPr>
                <w:rFonts w:ascii="Calibri" w:eastAsia="Calibri" w:hAnsi="Calibri" w:cs="Times New Roman"/>
              </w:rPr>
              <w:t xml:space="preserve"> (the National Code). With highly interactive and well-referenced content, this tool will test users’ understanding of the National Code’s compliance requirements through scenarios and quizzes.</w:t>
            </w:r>
          </w:p>
          <w:p w:rsidR="00F07B45" w:rsidRPr="00F07B45" w:rsidRDefault="00F07B45" w:rsidP="00F07B45">
            <w:pPr>
              <w:rPr>
                <w:rFonts w:ascii="Calibri" w:eastAsia="Calibri" w:hAnsi="Calibri" w:cs="Times New Roman"/>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$128,223</w:t>
            </w: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 xml:space="preserve">Victorian TAFE Association </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Growing Regional Pathways to Higher Education</w:t>
            </w:r>
          </w:p>
          <w:p w:rsidR="00F07B45" w:rsidRPr="00F07B45" w:rsidRDefault="00F07B45" w:rsidP="00F07B45">
            <w:pPr>
              <w:rPr>
                <w:rFonts w:ascii="Calibri" w:eastAsia="Calibri" w:hAnsi="Calibri" w:cs="Times New Roman"/>
                <w:b/>
              </w:rPr>
            </w:pPr>
            <w:r w:rsidRPr="00F07B45">
              <w:rPr>
                <w:rFonts w:ascii="Calibri" w:eastAsia="Calibri" w:hAnsi="Calibri" w:cs="Times New Roman"/>
              </w:rPr>
              <w:t xml:space="preserve">Regional Victoria has well-established </w:t>
            </w:r>
            <w:r w:rsidRPr="00F07B45">
              <w:rPr>
                <w:rFonts w:ascii="Calibri" w:eastAsia="Calibri" w:hAnsi="Calibri" w:cs="Calibri"/>
              </w:rPr>
              <w:t>English Language Intensive Course for Overseas Students (</w:t>
            </w:r>
            <w:r w:rsidRPr="00F07B45">
              <w:rPr>
                <w:rFonts w:ascii="Calibri" w:eastAsia="Calibri" w:hAnsi="Calibri" w:cs="Times New Roman"/>
              </w:rPr>
              <w:t>ELICOS) and vocational education and training (VET) pathways to higher education, however a new and faster approach to student commencements in regional locations is needed. This project will see metropolitan providers partner with regional providers to jointly deliver ELICOS and VET programs, leading to regional growth in international student university enrolments. The Victorian TAFE Association will explore collaborating with regional TAFES outside Victoria, for example Queensland</w:t>
            </w:r>
            <w:r w:rsidRPr="00F07B45">
              <w:rPr>
                <w:rFonts w:ascii="Calibri" w:eastAsia="Calibri" w:hAnsi="Calibri" w:cs="Times New Roman"/>
                <w:b/>
              </w:rPr>
              <w:t>.</w:t>
            </w:r>
          </w:p>
          <w:p w:rsidR="00F07B45" w:rsidRPr="00F07B45" w:rsidRDefault="00F07B45" w:rsidP="00F07B45">
            <w:pPr>
              <w:rPr>
                <w:rFonts w:ascii="Calibri" w:eastAsia="Calibri" w:hAnsi="Calibri" w:cs="Times New Roman"/>
                <w:b/>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$144,000</w:t>
            </w:r>
          </w:p>
        </w:tc>
      </w:tr>
      <w:tr w:rsidR="00F07B45" w:rsidRPr="00F07B45" w:rsidTr="0007281F">
        <w:tc>
          <w:tcPr>
            <w:tcW w:w="2352" w:type="dxa"/>
            <w:tcBorders>
              <w:bottom w:val="single" w:sz="4" w:space="0" w:color="auto"/>
            </w:tcBorders>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Australian Technology Network</w:t>
            </w:r>
          </w:p>
        </w:tc>
        <w:tc>
          <w:tcPr>
            <w:tcW w:w="9556" w:type="dxa"/>
            <w:tcBorders>
              <w:bottom w:val="single" w:sz="4" w:space="0" w:color="auto"/>
            </w:tcBorders>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WIL to Work: Enhancing International Student Capacity through Work Integrated Learning (WIL)</w:t>
            </w:r>
          </w:p>
          <w:p w:rsidR="00F07B45" w:rsidRPr="00F07B45" w:rsidRDefault="00F07B45" w:rsidP="00F07B45">
            <w:pPr>
              <w:rPr>
                <w:rFonts w:ascii="Calibri" w:eastAsia="Calibri" w:hAnsi="Calibri" w:cs="Calibri"/>
                <w:color w:val="000000"/>
              </w:rPr>
            </w:pPr>
            <w:r w:rsidRPr="00F07B45">
              <w:rPr>
                <w:rFonts w:ascii="Calibri" w:eastAsia="Calibri" w:hAnsi="Calibri" w:cs="Calibri"/>
                <w:color w:val="000000"/>
              </w:rPr>
              <w:t>Resources and online modules for international students to support effective participation in work integrated learning (WIL) will be piloted across five universities, reaching 18 per cent of Australia’s international students. Recommendations for broader dissemination across the higher education sector through an International Student Engagement Strategy for WIL will also be developed.</w:t>
            </w:r>
          </w:p>
          <w:p w:rsidR="00F07B45" w:rsidRPr="00F07B45" w:rsidRDefault="00F07B45" w:rsidP="00F07B45">
            <w:pPr>
              <w:rPr>
                <w:rFonts w:ascii="Calibri" w:eastAsia="Calibri" w:hAnsi="Calibri" w:cs="Times New Roman"/>
                <w:b/>
              </w:rPr>
            </w:pPr>
          </w:p>
        </w:tc>
        <w:tc>
          <w:tcPr>
            <w:tcW w:w="2126" w:type="dxa"/>
            <w:tcBorders>
              <w:bottom w:val="single" w:sz="4" w:space="0" w:color="auto"/>
            </w:tcBorders>
          </w:tcPr>
          <w:p w:rsidR="00F07B45" w:rsidRPr="00F07B45" w:rsidRDefault="00F07B45" w:rsidP="00F07B45">
            <w:pPr>
              <w:rPr>
                <w:rFonts w:ascii="Calibri" w:eastAsia="Calibri" w:hAnsi="Calibri" w:cs="Times New Roman"/>
              </w:rPr>
            </w:pPr>
            <w:r w:rsidRPr="00F07B45">
              <w:rPr>
                <w:rFonts w:ascii="Calibri" w:eastAsia="Calibri" w:hAnsi="Calibri" w:cs="Times New Roman"/>
              </w:rPr>
              <w:t>$249,970</w:t>
            </w:r>
          </w:p>
        </w:tc>
      </w:tr>
      <w:tr w:rsidR="00F07B45" w:rsidRPr="00F07B45" w:rsidTr="00F07B45">
        <w:tc>
          <w:tcPr>
            <w:tcW w:w="14034" w:type="dxa"/>
            <w:gridSpan w:val="3"/>
            <w:shd w:val="clear" w:color="auto" w:fill="DEFAFC"/>
          </w:tcPr>
          <w:p w:rsidR="00F07B45" w:rsidRPr="00F07B45" w:rsidRDefault="00F07B45" w:rsidP="00F07B45">
            <w:pPr>
              <w:rPr>
                <w:rFonts w:ascii="Calibri" w:eastAsia="Calibri" w:hAnsi="Calibri" w:cs="Calibri"/>
                <w:i/>
              </w:rPr>
            </w:pPr>
            <w:r w:rsidRPr="00F07B45">
              <w:rPr>
                <w:rFonts w:ascii="Calibri" w:eastAsia="Calibri" w:hAnsi="Calibri" w:cs="Calibri"/>
                <w:i/>
              </w:rPr>
              <w:t>Council Priority 3: Enhancing international cooperation through in-country projects, research collaboration, two-way mobility and transnational education</w:t>
            </w:r>
          </w:p>
          <w:p w:rsidR="00F07B45" w:rsidRPr="00F07B45" w:rsidRDefault="00F07B45" w:rsidP="00F07B45">
            <w:pPr>
              <w:rPr>
                <w:rFonts w:ascii="Calibri" w:eastAsia="Calibri" w:hAnsi="Calibri" w:cs="Times New Roman"/>
                <w:i/>
              </w:rPr>
            </w:pPr>
          </w:p>
        </w:tc>
      </w:tr>
      <w:tr w:rsidR="00F07B45" w:rsidRPr="00F07B45" w:rsidTr="0007281F">
        <w:tc>
          <w:tcPr>
            <w:tcW w:w="2352" w:type="dxa"/>
            <w:shd w:val="clear" w:color="auto" w:fill="auto"/>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Universities Australia</w:t>
            </w:r>
          </w:p>
        </w:tc>
        <w:tc>
          <w:tcPr>
            <w:tcW w:w="9556" w:type="dxa"/>
            <w:shd w:val="clear" w:color="auto" w:fill="auto"/>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Australia-Germany Joint Research Cooperation Scheme</w:t>
            </w:r>
          </w:p>
          <w:p w:rsidR="00F07B45" w:rsidRPr="00F07B45" w:rsidRDefault="00F07B45" w:rsidP="00F07B45">
            <w:pPr>
              <w:rPr>
                <w:rFonts w:ascii="Calibri" w:eastAsia="Calibri" w:hAnsi="Calibri" w:cs="Times New Roman"/>
              </w:rPr>
            </w:pPr>
            <w:r w:rsidRPr="00F07B45">
              <w:rPr>
                <w:rFonts w:ascii="Calibri" w:eastAsia="Calibri" w:hAnsi="Calibri" w:cs="Times New Roman"/>
              </w:rPr>
              <w:t>The Australian-Germany Research Cooperative Scheme supports research collaboration of the highest quality between Australian and Germany. It is a joint initiative of UA and the German Academic Exchange Service (DADD), Germany’s national agency for the support of International academic co-</w:t>
            </w:r>
            <w:r w:rsidRPr="00F07B45">
              <w:rPr>
                <w:rFonts w:ascii="Calibri" w:eastAsia="Calibri" w:hAnsi="Calibri" w:cs="Times New Roman"/>
              </w:rPr>
              <w:lastRenderedPageBreak/>
              <w:t>operation. EGI funding will support continued research collaboration between Australia and Germany, as well as facilitate high quality research outcomes and the exchange of skills and knowledge of mutual benefit to Australia and Germany.</w:t>
            </w:r>
          </w:p>
          <w:p w:rsidR="00F07B45" w:rsidRPr="00F07B45" w:rsidRDefault="00F07B45" w:rsidP="00F07B45">
            <w:pPr>
              <w:rPr>
                <w:rFonts w:ascii="Calibri" w:eastAsia="Calibri" w:hAnsi="Calibri" w:cs="Times New Roman"/>
              </w:rPr>
            </w:pPr>
          </w:p>
        </w:tc>
        <w:tc>
          <w:tcPr>
            <w:tcW w:w="2126" w:type="dxa"/>
            <w:shd w:val="clear" w:color="auto" w:fill="auto"/>
          </w:tcPr>
          <w:p w:rsidR="00F07B45" w:rsidRPr="00F07B45" w:rsidRDefault="00F07B45" w:rsidP="00F07B45">
            <w:pPr>
              <w:rPr>
                <w:rFonts w:ascii="Calibri" w:eastAsia="Calibri" w:hAnsi="Calibri" w:cs="Times New Roman"/>
              </w:rPr>
            </w:pPr>
            <w:r w:rsidRPr="00F07B45">
              <w:rPr>
                <w:rFonts w:ascii="Calibri" w:eastAsia="Calibri" w:hAnsi="Calibri" w:cs="Times New Roman"/>
              </w:rPr>
              <w:lastRenderedPageBreak/>
              <w:t>$250,000</w:t>
            </w:r>
          </w:p>
        </w:tc>
      </w:tr>
      <w:tr w:rsidR="00F87D59" w:rsidRPr="00F07B45" w:rsidTr="0007281F">
        <w:tc>
          <w:tcPr>
            <w:tcW w:w="2352" w:type="dxa"/>
            <w:shd w:val="clear" w:color="auto" w:fill="auto"/>
          </w:tcPr>
          <w:p w:rsidR="00F87D59" w:rsidRPr="00F07B45" w:rsidRDefault="00F87D59" w:rsidP="00F07B45">
            <w:pPr>
              <w:numPr>
                <w:ilvl w:val="0"/>
                <w:numId w:val="1"/>
              </w:numPr>
              <w:contextualSpacing/>
              <w:rPr>
                <w:rFonts w:ascii="Calibri" w:eastAsia="Calibri" w:hAnsi="Calibri" w:cs="Times New Roman"/>
              </w:rPr>
            </w:pPr>
            <w:r>
              <w:rPr>
                <w:rFonts w:ascii="Calibri" w:eastAsia="Calibri" w:hAnsi="Calibri" w:cs="Times New Roman"/>
              </w:rPr>
              <w:t xml:space="preserve">Deakin University </w:t>
            </w:r>
          </w:p>
        </w:tc>
        <w:tc>
          <w:tcPr>
            <w:tcW w:w="9556" w:type="dxa"/>
            <w:shd w:val="clear" w:color="auto" w:fill="auto"/>
          </w:tcPr>
          <w:p w:rsidR="00F87D59" w:rsidRPr="00F87D59" w:rsidRDefault="00F87D59" w:rsidP="00F87D59">
            <w:pPr>
              <w:rPr>
                <w:rFonts w:ascii="Calibri" w:eastAsia="Calibri" w:hAnsi="Calibri" w:cs="Times New Roman"/>
                <w:b/>
              </w:rPr>
            </w:pPr>
            <w:r w:rsidRPr="00F87D59">
              <w:rPr>
                <w:rFonts w:ascii="Calibri" w:eastAsia="Calibri" w:hAnsi="Calibri" w:cs="Times New Roman"/>
                <w:b/>
              </w:rPr>
              <w:t xml:space="preserve">Establishing an </w:t>
            </w:r>
            <w:r>
              <w:rPr>
                <w:rFonts w:ascii="Calibri" w:eastAsia="Calibri" w:hAnsi="Calibri" w:cs="Times New Roman"/>
                <w:b/>
              </w:rPr>
              <w:t>I</w:t>
            </w:r>
            <w:r w:rsidRPr="00F87D59">
              <w:rPr>
                <w:rFonts w:ascii="Calibri" w:eastAsia="Calibri" w:hAnsi="Calibri" w:cs="Times New Roman"/>
                <w:b/>
              </w:rPr>
              <w:t xml:space="preserve">ndustry-led </w:t>
            </w:r>
            <w:r>
              <w:rPr>
                <w:rFonts w:ascii="Calibri" w:eastAsia="Calibri" w:hAnsi="Calibri" w:cs="Times New Roman"/>
                <w:b/>
              </w:rPr>
              <w:t>T</w:t>
            </w:r>
            <w:r w:rsidRPr="00F87D59">
              <w:rPr>
                <w:rFonts w:ascii="Calibri" w:eastAsia="Calibri" w:hAnsi="Calibri" w:cs="Times New Roman"/>
                <w:b/>
              </w:rPr>
              <w:t xml:space="preserve">raining </w:t>
            </w:r>
            <w:r>
              <w:rPr>
                <w:rFonts w:ascii="Calibri" w:eastAsia="Calibri" w:hAnsi="Calibri" w:cs="Times New Roman"/>
                <w:b/>
              </w:rPr>
              <w:t>S</w:t>
            </w:r>
            <w:r w:rsidRPr="00F87D59">
              <w:rPr>
                <w:rFonts w:ascii="Calibri" w:eastAsia="Calibri" w:hAnsi="Calibri" w:cs="Times New Roman"/>
                <w:b/>
              </w:rPr>
              <w:t xml:space="preserve">ystem for the </w:t>
            </w:r>
            <w:r>
              <w:rPr>
                <w:rFonts w:ascii="Calibri" w:eastAsia="Calibri" w:hAnsi="Calibri" w:cs="Times New Roman"/>
                <w:b/>
              </w:rPr>
              <w:t>L</w:t>
            </w:r>
            <w:r w:rsidRPr="00F87D59">
              <w:rPr>
                <w:rFonts w:ascii="Calibri" w:eastAsia="Calibri" w:hAnsi="Calibri" w:cs="Times New Roman"/>
                <w:b/>
              </w:rPr>
              <w:t xml:space="preserve">ogistics </w:t>
            </w:r>
            <w:r>
              <w:rPr>
                <w:rFonts w:ascii="Calibri" w:eastAsia="Calibri" w:hAnsi="Calibri" w:cs="Times New Roman"/>
                <w:b/>
              </w:rPr>
              <w:t>S</w:t>
            </w:r>
            <w:r w:rsidRPr="00F87D59">
              <w:rPr>
                <w:rFonts w:ascii="Calibri" w:eastAsia="Calibri" w:hAnsi="Calibri" w:cs="Times New Roman"/>
                <w:b/>
              </w:rPr>
              <w:t>ector in Indonesia</w:t>
            </w:r>
          </w:p>
          <w:p w:rsidR="00F87D59" w:rsidRDefault="00F87D59" w:rsidP="00F87D59">
            <w:pPr>
              <w:rPr>
                <w:rFonts w:ascii="Calibri" w:eastAsia="Calibri" w:hAnsi="Calibri" w:cs="Times New Roman"/>
              </w:rPr>
            </w:pPr>
            <w:r w:rsidRPr="00F87D59">
              <w:rPr>
                <w:rFonts w:ascii="Calibri" w:eastAsia="Calibri" w:hAnsi="Calibri" w:cs="Times New Roman"/>
              </w:rPr>
              <w:t>This project aims to actively engage with Indonesian and Australian government agencies, public and private sector education providers and industry stakeholders to establish an industry-led governance, quality assurance and validation system for the Indonesian logistics sector. The project will build sectoral capacity to support industry-led training across Indonesia and leverage recent skills development activities between the two countries.</w:t>
            </w:r>
          </w:p>
          <w:p w:rsidR="00F87D59" w:rsidRPr="00F87D59" w:rsidRDefault="00F87D59" w:rsidP="00F87D59">
            <w:pPr>
              <w:rPr>
                <w:rFonts w:ascii="Calibri" w:eastAsia="Calibri" w:hAnsi="Calibri" w:cs="Times New Roman"/>
              </w:rPr>
            </w:pPr>
          </w:p>
        </w:tc>
        <w:tc>
          <w:tcPr>
            <w:tcW w:w="2126" w:type="dxa"/>
            <w:shd w:val="clear" w:color="auto" w:fill="auto"/>
          </w:tcPr>
          <w:p w:rsidR="00F87D59" w:rsidRPr="00F07B45" w:rsidRDefault="00F87D59" w:rsidP="00F07B45">
            <w:pPr>
              <w:rPr>
                <w:rFonts w:ascii="Calibri" w:eastAsia="Calibri" w:hAnsi="Calibri" w:cs="Times New Roman"/>
              </w:rPr>
            </w:pPr>
            <w:r>
              <w:rPr>
                <w:rFonts w:ascii="Calibri" w:eastAsia="Calibri" w:hAnsi="Calibri" w:cs="Times New Roman"/>
              </w:rPr>
              <w:t>$212,225</w:t>
            </w:r>
          </w:p>
        </w:tc>
      </w:tr>
      <w:tr w:rsidR="00F07B45" w:rsidRPr="00F07B45" w:rsidTr="00F07B45">
        <w:tc>
          <w:tcPr>
            <w:tcW w:w="14034" w:type="dxa"/>
            <w:gridSpan w:val="3"/>
            <w:shd w:val="clear" w:color="auto" w:fill="DEFAFC"/>
          </w:tcPr>
          <w:p w:rsidR="00F07B45" w:rsidRPr="00F07B45" w:rsidRDefault="00F07B45" w:rsidP="00F07B45">
            <w:pPr>
              <w:rPr>
                <w:rFonts w:ascii="Calibri" w:eastAsia="Calibri" w:hAnsi="Calibri" w:cs="Calibri"/>
                <w:i/>
              </w:rPr>
            </w:pPr>
            <w:r w:rsidRPr="00F07B45">
              <w:rPr>
                <w:rFonts w:ascii="Calibri" w:eastAsia="Calibri" w:hAnsi="Calibri" w:cs="Calibri"/>
                <w:i/>
              </w:rPr>
              <w:t>Council Priority 4: Communicating the Benefits of International Education</w:t>
            </w:r>
          </w:p>
          <w:p w:rsidR="00F07B45" w:rsidRPr="00F07B45" w:rsidRDefault="00F07B45" w:rsidP="00F07B45">
            <w:pPr>
              <w:rPr>
                <w:rFonts w:ascii="Calibri" w:eastAsia="Calibri" w:hAnsi="Calibri" w:cs="Times New Roman"/>
                <w:i/>
              </w:rPr>
            </w:pPr>
          </w:p>
        </w:tc>
      </w:tr>
      <w:tr w:rsidR="00F07B45" w:rsidRPr="00F07B45" w:rsidTr="0007281F">
        <w:tc>
          <w:tcPr>
            <w:tcW w:w="2352" w:type="dxa"/>
            <w:tcBorders>
              <w:bottom w:val="single" w:sz="4" w:space="0" w:color="auto"/>
            </w:tcBorders>
            <w:shd w:val="clear" w:color="auto" w:fill="auto"/>
          </w:tcPr>
          <w:p w:rsidR="00F07B45" w:rsidRPr="00F07B45" w:rsidRDefault="00F07B45" w:rsidP="00F87D59">
            <w:pPr>
              <w:numPr>
                <w:ilvl w:val="0"/>
                <w:numId w:val="1"/>
              </w:numPr>
              <w:contextualSpacing/>
              <w:rPr>
                <w:rFonts w:ascii="Calibri" w:eastAsia="Calibri" w:hAnsi="Calibri" w:cs="Times New Roman"/>
              </w:rPr>
            </w:pPr>
            <w:r w:rsidRPr="00F07B45">
              <w:rPr>
                <w:rFonts w:ascii="Calibri" w:eastAsia="Calibri" w:hAnsi="Calibri" w:cs="Times New Roman"/>
              </w:rPr>
              <w:t>International Education Association of Australia (IEAA)</w:t>
            </w:r>
          </w:p>
        </w:tc>
        <w:tc>
          <w:tcPr>
            <w:tcW w:w="9556" w:type="dxa"/>
            <w:tcBorders>
              <w:bottom w:val="single" w:sz="4" w:space="0" w:color="auto"/>
            </w:tcBorders>
            <w:shd w:val="clear" w:color="auto" w:fill="auto"/>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Building and Strengthening Support for International Education in Australia - Phase 2</w:t>
            </w:r>
          </w:p>
          <w:p w:rsidR="00F07B45" w:rsidRPr="00F07B45" w:rsidRDefault="00F07B45" w:rsidP="00F07B45">
            <w:pPr>
              <w:rPr>
                <w:rFonts w:ascii="Calibri" w:eastAsia="Calibri" w:hAnsi="Calibri" w:cs="Times New Roman"/>
              </w:rPr>
            </w:pPr>
            <w:r w:rsidRPr="00F07B45">
              <w:rPr>
                <w:rFonts w:ascii="Calibri" w:eastAsia="Calibri" w:hAnsi="Calibri" w:cs="Times New Roman"/>
              </w:rPr>
              <w:t>Building on IEAA’s 2016-17 Phase 1 Enabling Growth and Innovation project, Phase 2 will develop and implement a targeted, cohesive dissemination strategy for the existing online toolkit/resources, to effectively convey and reinforce the benefits of international education to broader industry and local communities.</w:t>
            </w:r>
          </w:p>
          <w:p w:rsidR="00F07B45" w:rsidRPr="00F07B45" w:rsidRDefault="00F07B45" w:rsidP="00F07B45">
            <w:pPr>
              <w:rPr>
                <w:rFonts w:ascii="Calibri" w:eastAsia="Calibri" w:hAnsi="Calibri" w:cs="Times New Roman"/>
              </w:rPr>
            </w:pPr>
          </w:p>
        </w:tc>
        <w:tc>
          <w:tcPr>
            <w:tcW w:w="2126" w:type="dxa"/>
            <w:tcBorders>
              <w:bottom w:val="single" w:sz="4" w:space="0" w:color="auto"/>
            </w:tcBorders>
            <w:shd w:val="clear" w:color="auto" w:fill="auto"/>
          </w:tcPr>
          <w:p w:rsidR="00F07B45" w:rsidRPr="00F07B45" w:rsidRDefault="00F07B45" w:rsidP="00F07B45">
            <w:pPr>
              <w:rPr>
                <w:rFonts w:ascii="Calibri" w:eastAsia="Calibri" w:hAnsi="Calibri" w:cs="Times New Roman"/>
              </w:rPr>
            </w:pPr>
            <w:r w:rsidRPr="00F07B45">
              <w:rPr>
                <w:rFonts w:ascii="Calibri" w:eastAsia="Calibri" w:hAnsi="Calibri" w:cs="Times New Roman"/>
              </w:rPr>
              <w:t>$73,008</w:t>
            </w:r>
          </w:p>
        </w:tc>
      </w:tr>
      <w:tr w:rsidR="00F07B45" w:rsidRPr="00F07B45" w:rsidTr="00F07B45">
        <w:tc>
          <w:tcPr>
            <w:tcW w:w="14034" w:type="dxa"/>
            <w:gridSpan w:val="3"/>
            <w:shd w:val="clear" w:color="auto" w:fill="DEFAFC"/>
          </w:tcPr>
          <w:p w:rsidR="00F07B45" w:rsidRPr="00F07B45" w:rsidRDefault="00F07B45" w:rsidP="00F07B45">
            <w:pPr>
              <w:rPr>
                <w:rFonts w:ascii="Calibri" w:eastAsia="Calibri" w:hAnsi="Calibri" w:cs="Times New Roman"/>
                <w:i/>
              </w:rPr>
            </w:pPr>
            <w:r w:rsidRPr="00F07B45">
              <w:rPr>
                <w:rFonts w:ascii="Calibri" w:eastAsia="Calibri" w:hAnsi="Calibri" w:cs="Times New Roman"/>
                <w:i/>
              </w:rPr>
              <w:t>Emerging Theme: Market Diversification</w:t>
            </w:r>
          </w:p>
          <w:p w:rsidR="00F07B45" w:rsidRPr="00F07B45" w:rsidRDefault="00F07B45" w:rsidP="00F07B45">
            <w:pPr>
              <w:rPr>
                <w:rFonts w:ascii="Calibri" w:eastAsia="Calibri" w:hAnsi="Calibri" w:cs="Times New Roman"/>
                <w:i/>
              </w:rPr>
            </w:pPr>
          </w:p>
        </w:tc>
      </w:tr>
      <w:tr w:rsidR="00F07B45" w:rsidRPr="00F07B45" w:rsidTr="0007281F">
        <w:tc>
          <w:tcPr>
            <w:tcW w:w="2352" w:type="dxa"/>
            <w:shd w:val="clear" w:color="auto" w:fill="auto"/>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NSW Education Standards Agency</w:t>
            </w:r>
          </w:p>
        </w:tc>
        <w:tc>
          <w:tcPr>
            <w:tcW w:w="9556" w:type="dxa"/>
            <w:shd w:val="clear" w:color="auto" w:fill="auto"/>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Investigating Markets for School Curriculum, Assessment and Regulation Exports</w:t>
            </w:r>
          </w:p>
          <w:p w:rsidR="00F07B45" w:rsidRPr="00F07B45" w:rsidRDefault="00F07B45" w:rsidP="00F07B45">
            <w:pPr>
              <w:rPr>
                <w:rFonts w:ascii="Calibri" w:eastAsia="Calibri" w:hAnsi="Calibri" w:cs="Times New Roman"/>
              </w:rPr>
            </w:pPr>
            <w:r w:rsidRPr="00F07B45">
              <w:rPr>
                <w:rFonts w:ascii="Calibri" w:eastAsia="Calibri" w:hAnsi="Calibri" w:cs="Times New Roman"/>
              </w:rPr>
              <w:t>This project will identify opportunities to deliver and sell Australian school curriculum, assessment and regulatory products offshore markets, through a scan of competitors, analysis of trends in the sector, and analysis of specific target markets and segments. It will position Australia to capture more of the international education export market. Outcomes to be made publically available and provided to all state and territory education authorities</w:t>
            </w:r>
          </w:p>
          <w:p w:rsidR="00F07B45" w:rsidRPr="00F07B45" w:rsidRDefault="00F07B45" w:rsidP="00F07B45">
            <w:pPr>
              <w:rPr>
                <w:rFonts w:ascii="Calibri" w:eastAsia="Calibri" w:hAnsi="Calibri" w:cs="Times New Roman"/>
                <w:b/>
              </w:rPr>
            </w:pPr>
          </w:p>
        </w:tc>
        <w:tc>
          <w:tcPr>
            <w:tcW w:w="2126" w:type="dxa"/>
            <w:shd w:val="clear" w:color="auto" w:fill="auto"/>
          </w:tcPr>
          <w:p w:rsidR="00F07B45" w:rsidRPr="00F07B45" w:rsidRDefault="00F07B45" w:rsidP="00F07B45">
            <w:pPr>
              <w:rPr>
                <w:rFonts w:ascii="Calibri" w:eastAsia="Calibri" w:hAnsi="Calibri" w:cs="Times New Roman"/>
              </w:rPr>
            </w:pPr>
            <w:r w:rsidRPr="00F07B45">
              <w:rPr>
                <w:rFonts w:ascii="Calibri" w:eastAsia="Calibri" w:hAnsi="Calibri" w:cs="Times New Roman"/>
              </w:rPr>
              <w:t>$193,400</w:t>
            </w:r>
          </w:p>
        </w:tc>
      </w:tr>
      <w:tr w:rsidR="00F07B45" w:rsidRPr="00F07B45" w:rsidTr="0007281F">
        <w:tc>
          <w:tcPr>
            <w:tcW w:w="2352" w:type="dxa"/>
            <w:tcBorders>
              <w:bottom w:val="single" w:sz="4" w:space="0" w:color="auto"/>
            </w:tcBorders>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lastRenderedPageBreak/>
              <w:t xml:space="preserve">Deloitte Access Economics </w:t>
            </w:r>
          </w:p>
        </w:tc>
        <w:tc>
          <w:tcPr>
            <w:tcW w:w="9556" w:type="dxa"/>
            <w:tcBorders>
              <w:bottom w:val="single" w:sz="4" w:space="0" w:color="auto"/>
            </w:tcBorders>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Market Diversification in International Education and Training</w:t>
            </w:r>
          </w:p>
          <w:p w:rsidR="00F07B45" w:rsidRPr="00F07B45" w:rsidRDefault="00F07B45" w:rsidP="00F07B45">
            <w:pPr>
              <w:rPr>
                <w:rFonts w:ascii="Calibri" w:eastAsia="Calibri" w:hAnsi="Calibri" w:cs="Times New Roman"/>
              </w:rPr>
            </w:pPr>
            <w:r w:rsidRPr="00F07B45">
              <w:rPr>
                <w:rFonts w:ascii="Calibri" w:eastAsia="Calibri" w:hAnsi="Calibri" w:cs="Times New Roman"/>
              </w:rPr>
              <w:t>This research project will develop potential policy and strategic responses in response to the risks associated with insufficient diversification in international source markets. An assessment of the impact of these responses will be undertaken and their appropriateness, with a view to identifying those that would be the most useful and areas for further research and analysis.</w:t>
            </w:r>
          </w:p>
          <w:p w:rsidR="00F07B45" w:rsidRDefault="00F07B45" w:rsidP="00F07B45">
            <w:pPr>
              <w:rPr>
                <w:rFonts w:ascii="Calibri" w:eastAsia="Calibri" w:hAnsi="Calibri" w:cs="Times New Roman"/>
              </w:rPr>
            </w:pPr>
          </w:p>
          <w:p w:rsidR="003D778C" w:rsidRPr="00F07B45" w:rsidRDefault="003D778C" w:rsidP="00F07B45">
            <w:pPr>
              <w:rPr>
                <w:rFonts w:ascii="Calibri" w:eastAsia="Calibri" w:hAnsi="Calibri" w:cs="Times New Roman"/>
              </w:rPr>
            </w:pPr>
          </w:p>
        </w:tc>
        <w:tc>
          <w:tcPr>
            <w:tcW w:w="2126" w:type="dxa"/>
            <w:tcBorders>
              <w:bottom w:val="single" w:sz="4" w:space="0" w:color="auto"/>
            </w:tcBorders>
          </w:tcPr>
          <w:p w:rsidR="00F07B45" w:rsidRPr="00F07B45" w:rsidRDefault="00F07B45" w:rsidP="00F07B45">
            <w:pPr>
              <w:rPr>
                <w:rFonts w:ascii="Calibri" w:eastAsia="Calibri" w:hAnsi="Calibri" w:cs="Times New Roman"/>
              </w:rPr>
            </w:pPr>
            <w:r w:rsidRPr="00F07B45">
              <w:rPr>
                <w:rFonts w:ascii="Calibri" w:eastAsia="Calibri" w:hAnsi="Calibri" w:cs="Times New Roman"/>
              </w:rPr>
              <w:t>$116,000</w:t>
            </w:r>
          </w:p>
        </w:tc>
      </w:tr>
      <w:tr w:rsidR="00F07B45" w:rsidRPr="00F07B45" w:rsidTr="00F07B45">
        <w:tc>
          <w:tcPr>
            <w:tcW w:w="14034" w:type="dxa"/>
            <w:gridSpan w:val="3"/>
            <w:shd w:val="clear" w:color="auto" w:fill="DEFAFC"/>
          </w:tcPr>
          <w:p w:rsidR="00F07B45" w:rsidRPr="00F07B45" w:rsidRDefault="00F07B45" w:rsidP="00F07B45">
            <w:pPr>
              <w:rPr>
                <w:rFonts w:ascii="Calibri" w:eastAsia="Calibri" w:hAnsi="Calibri" w:cs="Calibri"/>
                <w:i/>
                <w:color w:val="000000"/>
              </w:rPr>
            </w:pPr>
            <w:r w:rsidRPr="00F07B45">
              <w:rPr>
                <w:rFonts w:ascii="Calibri" w:eastAsia="Calibri" w:hAnsi="Calibri" w:cs="Calibri"/>
                <w:i/>
                <w:color w:val="000000"/>
              </w:rPr>
              <w:t>Baseline Data to inform evidence-based policy decisions</w:t>
            </w:r>
          </w:p>
          <w:p w:rsidR="00F07B45" w:rsidRPr="00F07B45" w:rsidRDefault="00F07B45" w:rsidP="00F07B45">
            <w:pPr>
              <w:rPr>
                <w:rFonts w:ascii="Calibri" w:eastAsia="Calibri" w:hAnsi="Calibri" w:cs="Times New Roman"/>
                <w:i/>
              </w:rPr>
            </w:pPr>
          </w:p>
        </w:tc>
      </w:tr>
      <w:tr w:rsidR="00F07B45" w:rsidRPr="00F07B45" w:rsidTr="0007281F">
        <w:tc>
          <w:tcPr>
            <w:tcW w:w="2352" w:type="dxa"/>
            <w:shd w:val="clear" w:color="auto" w:fill="auto"/>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IEAA</w:t>
            </w:r>
          </w:p>
        </w:tc>
        <w:tc>
          <w:tcPr>
            <w:tcW w:w="9556" w:type="dxa"/>
            <w:shd w:val="clear" w:color="auto" w:fill="auto"/>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Economic Benefits Interactive Online Tool</w:t>
            </w:r>
          </w:p>
          <w:p w:rsidR="00F07B45" w:rsidRPr="00F07B45" w:rsidRDefault="00F07B45" w:rsidP="00F07B45">
            <w:pPr>
              <w:rPr>
                <w:rFonts w:ascii="Calibri" w:eastAsia="Calibri" w:hAnsi="Calibri" w:cs="Times New Roman"/>
              </w:rPr>
            </w:pPr>
            <w:r w:rsidRPr="00F07B45">
              <w:rPr>
                <w:rFonts w:ascii="Calibri" w:eastAsia="Calibri" w:hAnsi="Calibri" w:cs="Times New Roman"/>
              </w:rPr>
              <w:t>This project will facilitate and communicate a better understanding of the benefits of international education through an interactive online and open source economic modelling tool, which provides disaggregated result for the national, states, territories and regions. It will be delivered by IEAA, with technical and analytical support from NOUS and the Centre for Policy Studies.</w:t>
            </w:r>
          </w:p>
          <w:p w:rsidR="00F07B45" w:rsidRPr="00F07B45" w:rsidRDefault="00F07B45" w:rsidP="00F07B45">
            <w:pPr>
              <w:rPr>
                <w:rFonts w:ascii="Calibri" w:eastAsia="Calibri" w:hAnsi="Calibri" w:cs="Times New Roman"/>
              </w:rPr>
            </w:pPr>
          </w:p>
        </w:tc>
        <w:tc>
          <w:tcPr>
            <w:tcW w:w="2126" w:type="dxa"/>
            <w:shd w:val="clear" w:color="auto" w:fill="auto"/>
          </w:tcPr>
          <w:p w:rsidR="00F07B45" w:rsidRPr="00F07B45" w:rsidRDefault="00F07B45" w:rsidP="00F07B45">
            <w:pPr>
              <w:rPr>
                <w:rFonts w:ascii="Calibri" w:eastAsia="Calibri" w:hAnsi="Calibri" w:cs="Times New Roman"/>
              </w:rPr>
            </w:pPr>
            <w:r w:rsidRPr="00F07B45">
              <w:rPr>
                <w:rFonts w:ascii="Calibri" w:eastAsia="Calibri" w:hAnsi="Calibri" w:cs="Times New Roman"/>
              </w:rPr>
              <w:t>$225,000</w:t>
            </w:r>
          </w:p>
        </w:tc>
      </w:tr>
      <w:tr w:rsidR="00F07B45" w:rsidRPr="00F07B45" w:rsidTr="0007281F">
        <w:tc>
          <w:tcPr>
            <w:tcW w:w="2352" w:type="dxa"/>
          </w:tcPr>
          <w:p w:rsidR="00F07B45" w:rsidRPr="00F07B45" w:rsidRDefault="00F07B45" w:rsidP="00F07B45">
            <w:pPr>
              <w:numPr>
                <w:ilvl w:val="0"/>
                <w:numId w:val="1"/>
              </w:numPr>
              <w:contextualSpacing/>
              <w:rPr>
                <w:rFonts w:ascii="Calibri" w:eastAsia="Calibri" w:hAnsi="Calibri" w:cs="Times New Roman"/>
              </w:rPr>
            </w:pPr>
            <w:r w:rsidRPr="00F07B45">
              <w:rPr>
                <w:rFonts w:ascii="Calibri" w:eastAsia="Calibri" w:hAnsi="Calibri" w:cs="Times New Roman"/>
              </w:rPr>
              <w:t>Tribal Group Pty Ltd</w:t>
            </w:r>
          </w:p>
        </w:tc>
        <w:tc>
          <w:tcPr>
            <w:tcW w:w="9556" w:type="dxa"/>
          </w:tcPr>
          <w:p w:rsidR="00F07B45" w:rsidRPr="00F07B45" w:rsidRDefault="00F07B45" w:rsidP="00F07B45">
            <w:pPr>
              <w:rPr>
                <w:rFonts w:ascii="Calibri" w:eastAsia="Calibri" w:hAnsi="Calibri" w:cs="Times New Roman"/>
                <w:b/>
              </w:rPr>
            </w:pPr>
            <w:r w:rsidRPr="00F07B45">
              <w:rPr>
                <w:rFonts w:ascii="Calibri" w:eastAsia="Calibri" w:hAnsi="Calibri" w:cs="Times New Roman"/>
                <w:b/>
              </w:rPr>
              <w:t>Filling the Data Gap: International Engagement in the School Sector</w:t>
            </w:r>
          </w:p>
          <w:p w:rsidR="00F07B45" w:rsidRPr="00F07B45" w:rsidRDefault="00F07B45" w:rsidP="00F07B45">
            <w:pPr>
              <w:rPr>
                <w:rFonts w:ascii="Calibri" w:eastAsia="Calibri" w:hAnsi="Calibri" w:cs="Times New Roman"/>
              </w:rPr>
            </w:pPr>
            <w:r w:rsidRPr="00F07B45">
              <w:rPr>
                <w:rFonts w:ascii="Calibri" w:eastAsia="Calibri" w:hAnsi="Calibri" w:cs="Times New Roman"/>
              </w:rPr>
              <w:t>This project will undertake a national exercise to design and implement a methodology and system to capture international engagement data in the Australian secondary school sector. Data for award and non-award experiences on inbound student and non-student visa holders and outbound students will be collated via a methodology suitable for annual implementation and benchmarking.</w:t>
            </w:r>
          </w:p>
          <w:p w:rsidR="00F07B45" w:rsidRPr="00F07B45" w:rsidRDefault="00F07B45" w:rsidP="00F07B45">
            <w:pPr>
              <w:rPr>
                <w:rFonts w:ascii="Calibri" w:eastAsia="Calibri" w:hAnsi="Calibri" w:cs="Times New Roman"/>
              </w:rPr>
            </w:pPr>
          </w:p>
        </w:tc>
        <w:tc>
          <w:tcPr>
            <w:tcW w:w="2126" w:type="dxa"/>
          </w:tcPr>
          <w:p w:rsidR="00F07B45" w:rsidRPr="00F07B45" w:rsidRDefault="00F07B45" w:rsidP="00F07B45">
            <w:pPr>
              <w:rPr>
                <w:rFonts w:ascii="Calibri" w:eastAsia="Calibri" w:hAnsi="Calibri" w:cs="Times New Roman"/>
              </w:rPr>
            </w:pPr>
            <w:r w:rsidRPr="00F07B45">
              <w:rPr>
                <w:rFonts w:ascii="Calibri" w:eastAsia="Calibri" w:hAnsi="Calibri" w:cs="Times New Roman"/>
              </w:rPr>
              <w:t>$124,971</w:t>
            </w:r>
          </w:p>
        </w:tc>
      </w:tr>
      <w:tr w:rsidR="00F07B45" w:rsidRPr="00F07B45" w:rsidTr="0007281F">
        <w:tc>
          <w:tcPr>
            <w:tcW w:w="2352" w:type="dxa"/>
            <w:shd w:val="clear" w:color="auto" w:fill="auto"/>
          </w:tcPr>
          <w:p w:rsidR="00F07B45" w:rsidRPr="00F07B45" w:rsidRDefault="00F07B45" w:rsidP="00F07B45">
            <w:pPr>
              <w:numPr>
                <w:ilvl w:val="0"/>
                <w:numId w:val="1"/>
              </w:numPr>
              <w:contextualSpacing/>
              <w:rPr>
                <w:rFonts w:ascii="Calibri" w:eastAsia="Calibri" w:hAnsi="Calibri" w:cs="Times New Roman"/>
              </w:rPr>
            </w:pPr>
            <w:proofErr w:type="spellStart"/>
            <w:r w:rsidRPr="00F07B45">
              <w:rPr>
                <w:rFonts w:ascii="Calibri" w:eastAsia="Calibri" w:hAnsi="Calibri" w:cs="Times New Roman"/>
              </w:rPr>
              <w:t>Navitas</w:t>
            </w:r>
            <w:proofErr w:type="spellEnd"/>
          </w:p>
        </w:tc>
        <w:tc>
          <w:tcPr>
            <w:tcW w:w="9556" w:type="dxa"/>
            <w:shd w:val="clear" w:color="auto" w:fill="auto"/>
          </w:tcPr>
          <w:p w:rsidR="00F07B45" w:rsidRPr="00F07B45" w:rsidRDefault="00F07B45" w:rsidP="00F07B45">
            <w:pPr>
              <w:rPr>
                <w:rFonts w:ascii="Calibri" w:eastAsia="Times New Roman" w:hAnsi="Calibri" w:cs="Arial"/>
                <w:b/>
              </w:rPr>
            </w:pPr>
            <w:r w:rsidRPr="00F07B45">
              <w:rPr>
                <w:rFonts w:ascii="Calibri" w:eastAsia="Times New Roman" w:hAnsi="Calibri" w:cs="Arial"/>
                <w:b/>
              </w:rPr>
              <w:t>International Higher Education Student Flows Via Global Data Integration</w:t>
            </w:r>
          </w:p>
          <w:p w:rsidR="00F07B45" w:rsidRPr="00F07B45" w:rsidRDefault="00F07B45" w:rsidP="002524EE">
            <w:pPr>
              <w:rPr>
                <w:rFonts w:ascii="Calibri" w:eastAsia="Calibri" w:hAnsi="Calibri" w:cs="Times New Roman"/>
              </w:rPr>
            </w:pPr>
            <w:r w:rsidRPr="00F07B45">
              <w:rPr>
                <w:rFonts w:ascii="Calibri" w:eastAsia="Calibri" w:hAnsi="Calibri" w:cs="Times New Roman"/>
              </w:rPr>
              <w:t>This project will integrate disparate sources of international higher education data to understand the macro trends in student mobility from source countries to major destination countries. It will include the development of a data integration tool; three deep-dive case studies; and the sharing of insights via a report and workshops.</w:t>
            </w:r>
          </w:p>
        </w:tc>
        <w:tc>
          <w:tcPr>
            <w:tcW w:w="2126" w:type="dxa"/>
            <w:shd w:val="clear" w:color="auto" w:fill="auto"/>
          </w:tcPr>
          <w:p w:rsidR="00F07B45" w:rsidRPr="00F07B45" w:rsidRDefault="00F07B45" w:rsidP="00F07B45">
            <w:pPr>
              <w:rPr>
                <w:rFonts w:ascii="Calibri" w:eastAsia="Calibri" w:hAnsi="Calibri" w:cs="Times New Roman"/>
              </w:rPr>
            </w:pPr>
            <w:r w:rsidRPr="00F07B45">
              <w:rPr>
                <w:rFonts w:ascii="Calibri" w:eastAsia="Calibri" w:hAnsi="Calibri" w:cs="Times New Roman"/>
              </w:rPr>
              <w:t>$128,400</w:t>
            </w:r>
          </w:p>
        </w:tc>
      </w:tr>
    </w:tbl>
    <w:p w:rsidR="00F07B45" w:rsidRDefault="00F07B45" w:rsidP="002524EE">
      <w:pPr>
        <w:rPr>
          <w:rFonts w:ascii="Calibri" w:eastAsia="Calibri" w:hAnsi="Calibri" w:cs="Times New Roman"/>
        </w:rPr>
      </w:pPr>
      <w:bookmarkStart w:id="0" w:name="_GoBack"/>
      <w:bookmarkEnd w:id="0"/>
    </w:p>
    <w:sectPr w:rsidR="00F07B45" w:rsidSect="00F07B4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A6" w:rsidRDefault="007B4FA6" w:rsidP="007B4FA6">
      <w:pPr>
        <w:spacing w:after="0" w:line="240" w:lineRule="auto"/>
      </w:pPr>
      <w:r>
        <w:separator/>
      </w:r>
    </w:p>
  </w:endnote>
  <w:endnote w:type="continuationSeparator" w:id="0">
    <w:p w:rsidR="007B4FA6" w:rsidRDefault="007B4FA6" w:rsidP="007B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E" w:rsidRDefault="0025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79268"/>
      <w:docPartObj>
        <w:docPartGallery w:val="Page Numbers (Bottom of Page)"/>
        <w:docPartUnique/>
      </w:docPartObj>
    </w:sdtPr>
    <w:sdtEndPr>
      <w:rPr>
        <w:color w:val="7F7F7F" w:themeColor="background1" w:themeShade="7F"/>
        <w:spacing w:val="60"/>
      </w:rPr>
    </w:sdtEndPr>
    <w:sdtContent>
      <w:p w:rsidR="00D35DBC" w:rsidRDefault="00D35D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2F7A">
          <w:rPr>
            <w:noProof/>
          </w:rPr>
          <w:t>2</w:t>
        </w:r>
        <w:r>
          <w:rPr>
            <w:noProof/>
          </w:rPr>
          <w:fldChar w:fldCharType="end"/>
        </w:r>
        <w:r>
          <w:t xml:space="preserve"> | </w:t>
        </w:r>
        <w:r>
          <w:rPr>
            <w:color w:val="7F7F7F" w:themeColor="background1" w:themeShade="7F"/>
            <w:spacing w:val="60"/>
          </w:rPr>
          <w:t>Page</w:t>
        </w:r>
      </w:p>
    </w:sdtContent>
  </w:sdt>
  <w:p w:rsidR="00D35DBC" w:rsidRDefault="00D35DBC" w:rsidP="00D35D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E" w:rsidRDefault="0025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A6" w:rsidRDefault="007B4FA6" w:rsidP="007B4FA6">
      <w:pPr>
        <w:spacing w:after="0" w:line="240" w:lineRule="auto"/>
      </w:pPr>
      <w:r>
        <w:separator/>
      </w:r>
    </w:p>
  </w:footnote>
  <w:footnote w:type="continuationSeparator" w:id="0">
    <w:p w:rsidR="007B4FA6" w:rsidRDefault="007B4FA6" w:rsidP="007B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E" w:rsidRDefault="0025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A6" w:rsidRDefault="007B4FA6">
    <w:pPr>
      <w:pStyle w:val="Header"/>
    </w:pPr>
    <w:r>
      <w:rPr>
        <w:noProof/>
        <w:lang w:eastAsia="en-AU"/>
      </w:rPr>
      <w:drawing>
        <wp:inline distT="0" distB="0" distL="0" distR="0" wp14:anchorId="349241D2" wp14:editId="69F3E23D">
          <wp:extent cx="2252345" cy="4039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Department of Educ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345" cy="403915"/>
                  </a:xfrm>
                  <a:prstGeom prst="rect">
                    <a:avLst/>
                  </a:prstGeom>
                </pic:spPr>
              </pic:pic>
            </a:graphicData>
          </a:graphic>
        </wp:inline>
      </w:drawing>
    </w:r>
  </w:p>
  <w:p w:rsidR="007B4FA6" w:rsidRDefault="007B4FA6">
    <w:pPr>
      <w:pStyle w:val="Header"/>
    </w:pPr>
  </w:p>
  <w:p w:rsidR="007B4FA6" w:rsidRPr="00F07B45" w:rsidRDefault="007B4FA6" w:rsidP="007B4FA6">
    <w:pPr>
      <w:jc w:val="center"/>
      <w:rPr>
        <w:rFonts w:ascii="Arial" w:eastAsia="Calibri" w:hAnsi="Arial" w:cs="Arial"/>
        <w:b/>
        <w:color w:val="002F55"/>
        <w:sz w:val="24"/>
      </w:rPr>
    </w:pPr>
    <w:r w:rsidRPr="00F07B45">
      <w:rPr>
        <w:rFonts w:ascii="Arial" w:eastAsia="Calibri" w:hAnsi="Arial" w:cs="Arial"/>
        <w:b/>
        <w:color w:val="002F55"/>
        <w:sz w:val="24"/>
      </w:rPr>
      <w:t>2017-18 Enabling Growth and Innovation Program projects</w:t>
    </w:r>
  </w:p>
  <w:p w:rsidR="00D35DBC" w:rsidRDefault="00D35DBC">
    <w:pPr>
      <w:pStyle w:val="Header"/>
    </w:pPr>
  </w:p>
  <w:p w:rsidR="00D35DBC" w:rsidRDefault="00D35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EE" w:rsidRDefault="0025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221C"/>
    <w:multiLevelType w:val="hybridMultilevel"/>
    <w:tmpl w:val="0FEE6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45"/>
    <w:rsid w:val="00115EDE"/>
    <w:rsid w:val="002524EE"/>
    <w:rsid w:val="002D2A7C"/>
    <w:rsid w:val="003D778C"/>
    <w:rsid w:val="003F6226"/>
    <w:rsid w:val="004044B0"/>
    <w:rsid w:val="005F2E3A"/>
    <w:rsid w:val="007B4FA6"/>
    <w:rsid w:val="008C627C"/>
    <w:rsid w:val="009233FD"/>
    <w:rsid w:val="009D60AC"/>
    <w:rsid w:val="00D35DBC"/>
    <w:rsid w:val="00F07B45"/>
    <w:rsid w:val="00F22B38"/>
    <w:rsid w:val="00F52F7A"/>
    <w:rsid w:val="00F8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CB9CA"/>
  <w15:chartTrackingRefBased/>
  <w15:docId w15:val="{E90DED60-83A2-487D-9F0D-3737C922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07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FA6"/>
  </w:style>
  <w:style w:type="paragraph" w:styleId="Footer">
    <w:name w:val="footer"/>
    <w:basedOn w:val="Normal"/>
    <w:link w:val="FooterChar"/>
    <w:uiPriority w:val="99"/>
    <w:unhideWhenUsed/>
    <w:rsid w:val="007B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FA6"/>
  </w:style>
  <w:style w:type="paragraph" w:styleId="BalloonText">
    <w:name w:val="Balloon Text"/>
    <w:basedOn w:val="Normal"/>
    <w:link w:val="BalloonTextChar"/>
    <w:uiPriority w:val="99"/>
    <w:semiHidden/>
    <w:unhideWhenUsed/>
    <w:rsid w:val="0011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4A0D2045A374CA67AC99FEB33925E" ma:contentTypeVersion="2" ma:contentTypeDescription="Create a new document." ma:contentTypeScope="" ma:versionID="5e63df007861b9093f3f06cc5f45099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B8CA1-0E91-4345-88DF-542795D119CA}"/>
</file>

<file path=customXml/itemProps2.xml><?xml version="1.0" encoding="utf-8"?>
<ds:datastoreItem xmlns:ds="http://schemas.openxmlformats.org/officeDocument/2006/customXml" ds:itemID="{7262D30A-4EB9-4DDA-84CB-D7A7C61B2DA2}"/>
</file>

<file path=customXml/itemProps3.xml><?xml version="1.0" encoding="utf-8"?>
<ds:datastoreItem xmlns:ds="http://schemas.openxmlformats.org/officeDocument/2006/customXml" ds:itemID="{C440C681-6890-46D9-84F6-91EE66A35CD7}"/>
</file>

<file path=docProps/app.xml><?xml version="1.0" encoding="utf-8"?>
<Properties xmlns="http://schemas.openxmlformats.org/officeDocument/2006/extended-properties" xmlns:vt="http://schemas.openxmlformats.org/officeDocument/2006/docPropsVTypes">
  <Template>B692DEEF.dotm</Template>
  <TotalTime>16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FRAWLEY,Jim</dc:creator>
  <cp:keywords/>
  <dc:description/>
  <cp:lastModifiedBy>BACKHOUSE,Kiri</cp:lastModifiedBy>
  <cp:revision>11</cp:revision>
  <dcterms:created xsi:type="dcterms:W3CDTF">2018-06-19T02:05:00Z</dcterms:created>
  <dcterms:modified xsi:type="dcterms:W3CDTF">2018-09-05T04:28:00Z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0x010100BE04A0D2045A374CA67AC99FEB33925E</vt:lpwstr>
  </property>
  <property fmtid="{D5CDD505-2E9C-101B-9397-08002B2CF9AE}" pid="3" name="Order">
    <vt:r8>1000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