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50" w:type="dxa"/>
        <w:tblLook w:val="04A0" w:firstRow="1" w:lastRow="0" w:firstColumn="1" w:lastColumn="0" w:noHBand="0" w:noVBand="1"/>
      </w:tblPr>
      <w:tblGrid>
        <w:gridCol w:w="1102"/>
        <w:gridCol w:w="2692"/>
        <w:gridCol w:w="7441"/>
        <w:gridCol w:w="1773"/>
        <w:gridCol w:w="1842"/>
      </w:tblGrid>
      <w:tr w:rsidR="001C03A9" w:rsidRPr="00CC319B" w:rsidTr="00ED304A">
        <w:tc>
          <w:tcPr>
            <w:tcW w:w="1102" w:type="dxa"/>
            <w:shd w:val="clear" w:color="auto" w:fill="7F7F7F" w:themeFill="text1" w:themeFillTint="80"/>
          </w:tcPr>
          <w:p w:rsidR="001C03A9" w:rsidRPr="00CC319B" w:rsidRDefault="001C03A9" w:rsidP="00CC319B">
            <w:pPr>
              <w:jc w:val="center"/>
              <w:rPr>
                <w:b/>
                <w:color w:val="FFFFFF" w:themeColor="background1"/>
              </w:rPr>
            </w:pPr>
            <w:r w:rsidRPr="00CC319B">
              <w:rPr>
                <w:b/>
                <w:color w:val="FFFFFF" w:themeColor="background1"/>
              </w:rPr>
              <w:t>Project ID</w:t>
            </w:r>
          </w:p>
        </w:tc>
        <w:tc>
          <w:tcPr>
            <w:tcW w:w="2692" w:type="dxa"/>
            <w:shd w:val="clear" w:color="auto" w:fill="7F7F7F" w:themeFill="text1" w:themeFillTint="80"/>
          </w:tcPr>
          <w:p w:rsidR="001C03A9" w:rsidRPr="00CC319B" w:rsidRDefault="001C03A9" w:rsidP="00CC319B">
            <w:pPr>
              <w:jc w:val="center"/>
              <w:rPr>
                <w:b/>
                <w:color w:val="FFFFFF" w:themeColor="background1"/>
              </w:rPr>
            </w:pPr>
          </w:p>
        </w:tc>
        <w:tc>
          <w:tcPr>
            <w:tcW w:w="7441" w:type="dxa"/>
            <w:shd w:val="clear" w:color="auto" w:fill="7F7F7F" w:themeFill="text1" w:themeFillTint="80"/>
          </w:tcPr>
          <w:p w:rsidR="001C03A9" w:rsidRPr="00CC319B" w:rsidRDefault="001C03A9" w:rsidP="00CC319B">
            <w:pPr>
              <w:jc w:val="center"/>
              <w:rPr>
                <w:b/>
                <w:color w:val="FFFFFF" w:themeColor="background1"/>
              </w:rPr>
            </w:pPr>
            <w:r w:rsidRPr="00CC319B">
              <w:rPr>
                <w:b/>
                <w:color w:val="FFFFFF" w:themeColor="background1"/>
              </w:rPr>
              <w:t>Project title and description</w:t>
            </w:r>
          </w:p>
        </w:tc>
        <w:tc>
          <w:tcPr>
            <w:tcW w:w="1773" w:type="dxa"/>
            <w:shd w:val="clear" w:color="auto" w:fill="7F7F7F" w:themeFill="text1" w:themeFillTint="80"/>
          </w:tcPr>
          <w:p w:rsidR="001C03A9" w:rsidRPr="00CC319B" w:rsidRDefault="001C03A9" w:rsidP="00CC319B">
            <w:pPr>
              <w:jc w:val="center"/>
              <w:rPr>
                <w:b/>
                <w:color w:val="FFFFFF" w:themeColor="background1"/>
              </w:rPr>
            </w:pPr>
            <w:r w:rsidRPr="00CC319B">
              <w:rPr>
                <w:b/>
                <w:color w:val="FFFFFF" w:themeColor="background1"/>
              </w:rPr>
              <w:t>2016-17</w:t>
            </w:r>
          </w:p>
          <w:p w:rsidR="001C03A9" w:rsidRPr="00CC319B" w:rsidRDefault="001C03A9" w:rsidP="00CC319B">
            <w:pPr>
              <w:jc w:val="center"/>
              <w:rPr>
                <w:b/>
                <w:color w:val="FFFFFF" w:themeColor="background1"/>
              </w:rPr>
            </w:pPr>
            <w:r w:rsidRPr="00CC319B">
              <w:rPr>
                <w:b/>
                <w:color w:val="FFFFFF" w:themeColor="background1"/>
              </w:rPr>
              <w:t>(GST exclusive)</w:t>
            </w:r>
          </w:p>
        </w:tc>
        <w:tc>
          <w:tcPr>
            <w:tcW w:w="1842" w:type="dxa"/>
            <w:shd w:val="clear" w:color="auto" w:fill="7F7F7F" w:themeFill="text1" w:themeFillTint="80"/>
          </w:tcPr>
          <w:p w:rsidR="001C03A9" w:rsidRPr="00CC319B" w:rsidRDefault="001C03A9" w:rsidP="00CC319B">
            <w:pPr>
              <w:jc w:val="center"/>
              <w:rPr>
                <w:b/>
                <w:color w:val="FFFFFF" w:themeColor="background1"/>
              </w:rPr>
            </w:pPr>
            <w:r w:rsidRPr="00CC319B">
              <w:rPr>
                <w:b/>
                <w:color w:val="FFFFFF" w:themeColor="background1"/>
              </w:rPr>
              <w:t>2017-18</w:t>
            </w:r>
          </w:p>
          <w:p w:rsidR="001C03A9" w:rsidRPr="00CC319B" w:rsidRDefault="001C03A9" w:rsidP="00CC319B">
            <w:pPr>
              <w:jc w:val="center"/>
              <w:rPr>
                <w:b/>
                <w:color w:val="FFFFFF" w:themeColor="background1"/>
              </w:rPr>
            </w:pPr>
            <w:r w:rsidRPr="00CC319B">
              <w:rPr>
                <w:b/>
                <w:color w:val="FFFFFF" w:themeColor="background1"/>
              </w:rPr>
              <w:t>(GST exclusive)</w:t>
            </w:r>
          </w:p>
        </w:tc>
      </w:tr>
      <w:tr w:rsidR="00E536AD" w:rsidRPr="00A34EFB" w:rsidTr="00ED304A">
        <w:tc>
          <w:tcPr>
            <w:tcW w:w="1102" w:type="dxa"/>
            <w:shd w:val="clear" w:color="auto" w:fill="7F7F7F" w:themeFill="text1" w:themeFillTint="80"/>
          </w:tcPr>
          <w:p w:rsidR="00E536AD" w:rsidRPr="00A34EFB" w:rsidRDefault="00E536AD" w:rsidP="00A56F78">
            <w:pPr>
              <w:rPr>
                <w:b/>
                <w:color w:val="FFFFFF" w:themeColor="background1"/>
              </w:rPr>
            </w:pPr>
          </w:p>
        </w:tc>
        <w:tc>
          <w:tcPr>
            <w:tcW w:w="13748" w:type="dxa"/>
            <w:gridSpan w:val="4"/>
            <w:shd w:val="clear" w:color="auto" w:fill="7F7F7F" w:themeFill="text1" w:themeFillTint="80"/>
          </w:tcPr>
          <w:p w:rsidR="00E536AD" w:rsidRPr="00A34EFB" w:rsidRDefault="00E536AD" w:rsidP="00A56F78">
            <w:pPr>
              <w:rPr>
                <w:b/>
                <w:color w:val="FFFFFF" w:themeColor="background1"/>
              </w:rPr>
            </w:pPr>
            <w:r w:rsidRPr="00A34EFB">
              <w:rPr>
                <w:b/>
                <w:color w:val="FFFFFF" w:themeColor="background1"/>
              </w:rPr>
              <w:t>Enhancing the student experience</w:t>
            </w:r>
          </w:p>
        </w:tc>
      </w:tr>
      <w:tr w:rsidR="00E536AD" w:rsidTr="00ED304A">
        <w:tc>
          <w:tcPr>
            <w:tcW w:w="1102" w:type="dxa"/>
          </w:tcPr>
          <w:p w:rsidR="00E536AD" w:rsidRDefault="00E536AD" w:rsidP="00A56F78">
            <w:r>
              <w:t>2017/09</w:t>
            </w:r>
          </w:p>
          <w:p w:rsidR="00E536AD" w:rsidRDefault="00E536AD" w:rsidP="00A56F78"/>
        </w:tc>
        <w:tc>
          <w:tcPr>
            <w:tcW w:w="2692" w:type="dxa"/>
          </w:tcPr>
          <w:p w:rsidR="00E536AD" w:rsidRPr="0083615A" w:rsidRDefault="0083615A" w:rsidP="00A56F78">
            <w:r>
              <w:t>KPMG</w:t>
            </w:r>
          </w:p>
        </w:tc>
        <w:tc>
          <w:tcPr>
            <w:tcW w:w="7441" w:type="dxa"/>
          </w:tcPr>
          <w:p w:rsidR="00E536AD" w:rsidRPr="005C1D09" w:rsidRDefault="00E536AD" w:rsidP="00A56F78">
            <w:pPr>
              <w:rPr>
                <w:b/>
              </w:rPr>
            </w:pPr>
            <w:r w:rsidRPr="005C1D09">
              <w:rPr>
                <w:b/>
              </w:rPr>
              <w:t>A scoping study of a ‘sharing economy’ model for international student accommodation in Australia</w:t>
            </w:r>
          </w:p>
          <w:p w:rsidR="00E536AD" w:rsidRDefault="00E536AD" w:rsidP="00A56F78">
            <w:r>
              <w:t>The study will examine the feasibility of a user review ratings scheme for international student accommodation and make recommendations for future models which could be used in Australia.</w:t>
            </w:r>
          </w:p>
        </w:tc>
        <w:tc>
          <w:tcPr>
            <w:tcW w:w="1773" w:type="dxa"/>
          </w:tcPr>
          <w:p w:rsidR="00E536AD" w:rsidRDefault="00E536AD" w:rsidP="00A56F78">
            <w:r>
              <w:t>$85,000</w:t>
            </w:r>
          </w:p>
        </w:tc>
        <w:tc>
          <w:tcPr>
            <w:tcW w:w="1842" w:type="dxa"/>
          </w:tcPr>
          <w:p w:rsidR="00E536AD" w:rsidRDefault="00E536AD" w:rsidP="00A56F78">
            <w:r>
              <w:t>$15,000</w:t>
            </w:r>
          </w:p>
        </w:tc>
      </w:tr>
      <w:tr w:rsidR="00E536AD" w:rsidTr="00ED304A">
        <w:tc>
          <w:tcPr>
            <w:tcW w:w="1102" w:type="dxa"/>
          </w:tcPr>
          <w:p w:rsidR="00E536AD" w:rsidRDefault="00E536AD" w:rsidP="00A56F78">
            <w:r>
              <w:t>2017/10</w:t>
            </w:r>
          </w:p>
          <w:p w:rsidR="00E536AD" w:rsidRDefault="00E536AD" w:rsidP="00A56F78"/>
        </w:tc>
        <w:tc>
          <w:tcPr>
            <w:tcW w:w="2692" w:type="dxa"/>
          </w:tcPr>
          <w:p w:rsidR="00E536AD" w:rsidRDefault="00E536AD" w:rsidP="00A56F78">
            <w:r>
              <w:t>Universities Australia</w:t>
            </w:r>
          </w:p>
        </w:tc>
        <w:tc>
          <w:tcPr>
            <w:tcW w:w="7441" w:type="dxa"/>
          </w:tcPr>
          <w:p w:rsidR="00E536AD" w:rsidRDefault="00E536AD" w:rsidP="00A56F78">
            <w:r>
              <w:rPr>
                <w:rFonts w:cstheme="minorHAnsi"/>
                <w:b/>
                <w:szCs w:val="24"/>
              </w:rPr>
              <w:t>Developing employability opportunities for international students by undertaking an audit of work-integrated learning</w:t>
            </w:r>
          </w:p>
          <w:p w:rsidR="00E536AD" w:rsidRDefault="00E536AD" w:rsidP="00A56F78">
            <w:r>
              <w:t>A work-integrated learning (WIL) audit will provide a comprehensive overview of current WIL activity, identifying and categorising various modes of WIL. Through the project, barriers and opportunities to providing greater opportunities to enhance the employability skills of Australian educated graduates will be identified.</w:t>
            </w:r>
          </w:p>
        </w:tc>
        <w:tc>
          <w:tcPr>
            <w:tcW w:w="1773" w:type="dxa"/>
          </w:tcPr>
          <w:p w:rsidR="00E536AD" w:rsidRDefault="00E536AD" w:rsidP="00A56F78">
            <w:r>
              <w:t>$100,000</w:t>
            </w:r>
          </w:p>
        </w:tc>
        <w:tc>
          <w:tcPr>
            <w:tcW w:w="1842" w:type="dxa"/>
          </w:tcPr>
          <w:p w:rsidR="00E536AD" w:rsidRDefault="00E536AD" w:rsidP="00A56F78">
            <w:r>
              <w:t>-</w:t>
            </w:r>
          </w:p>
        </w:tc>
      </w:tr>
      <w:tr w:rsidR="00E536AD" w:rsidTr="00ED304A">
        <w:tc>
          <w:tcPr>
            <w:tcW w:w="1102" w:type="dxa"/>
          </w:tcPr>
          <w:p w:rsidR="00E536AD" w:rsidRDefault="00E536AD" w:rsidP="00A56F78">
            <w:r>
              <w:t>2017/14</w:t>
            </w:r>
          </w:p>
          <w:p w:rsidR="00E536AD" w:rsidRDefault="00E536AD" w:rsidP="00A56F78"/>
        </w:tc>
        <w:tc>
          <w:tcPr>
            <w:tcW w:w="2692" w:type="dxa"/>
          </w:tcPr>
          <w:p w:rsidR="00E536AD" w:rsidRDefault="00E536AD" w:rsidP="00A56F78">
            <w:r w:rsidRPr="001C03A9">
              <w:t>Council of International Students Australia</w:t>
            </w:r>
          </w:p>
        </w:tc>
        <w:tc>
          <w:tcPr>
            <w:tcW w:w="7441" w:type="dxa"/>
          </w:tcPr>
          <w:p w:rsidR="00E536AD" w:rsidRPr="007C3871" w:rsidRDefault="00E536AD" w:rsidP="00A56F78">
            <w:pPr>
              <w:rPr>
                <w:b/>
              </w:rPr>
            </w:pPr>
            <w:r w:rsidRPr="007C3871">
              <w:rPr>
                <w:b/>
              </w:rPr>
              <w:t>Council for International Students annual conference</w:t>
            </w:r>
          </w:p>
          <w:p w:rsidR="00E536AD" w:rsidRDefault="00E536AD" w:rsidP="00A56F78">
            <w:r w:rsidRPr="007C3871">
              <w:t>The</w:t>
            </w:r>
            <w:r w:rsidRPr="007C3871">
              <w:rPr>
                <w:bCs/>
              </w:rPr>
              <w:t xml:space="preserve"> Council for International Students Australia’s</w:t>
            </w:r>
            <w:r w:rsidRPr="007C3871">
              <w:t xml:space="preserve"> annual conference is an important avenue to ensure that international students provide strategic and meaningful input to government and the sector. </w:t>
            </w:r>
            <w:r>
              <w:t>Funding</w:t>
            </w:r>
            <w:r w:rsidRPr="007C3871">
              <w:t xml:space="preserve"> will support actions towards ongoing sustainability of the conference and of CISA</w:t>
            </w:r>
            <w:r>
              <w:t>, including</w:t>
            </w:r>
            <w:r w:rsidRPr="007C3871">
              <w:t xml:space="preserve"> diversi</w:t>
            </w:r>
            <w:r>
              <w:t>fying</w:t>
            </w:r>
            <w:r w:rsidRPr="007C3871">
              <w:t xml:space="preserve"> participation</w:t>
            </w:r>
            <w:r>
              <w:t xml:space="preserve"> in the conference</w:t>
            </w:r>
            <w:r w:rsidRPr="007C3871">
              <w:t xml:space="preserve"> and a f</w:t>
            </w:r>
            <w:r>
              <w:t>orum on the student experience.</w:t>
            </w:r>
          </w:p>
        </w:tc>
        <w:tc>
          <w:tcPr>
            <w:tcW w:w="1773" w:type="dxa"/>
          </w:tcPr>
          <w:p w:rsidR="00E536AD" w:rsidRDefault="00E536AD" w:rsidP="00A56F78">
            <w:r>
              <w:t>$100,000</w:t>
            </w:r>
          </w:p>
        </w:tc>
        <w:tc>
          <w:tcPr>
            <w:tcW w:w="1842" w:type="dxa"/>
          </w:tcPr>
          <w:p w:rsidR="00E536AD" w:rsidRDefault="00E536AD" w:rsidP="00A56F78">
            <w:r>
              <w:t>-</w:t>
            </w:r>
          </w:p>
        </w:tc>
      </w:tr>
      <w:tr w:rsidR="00E536AD" w:rsidTr="00ED304A">
        <w:tc>
          <w:tcPr>
            <w:tcW w:w="1102" w:type="dxa"/>
          </w:tcPr>
          <w:p w:rsidR="00E536AD" w:rsidRDefault="00E536AD" w:rsidP="00A56F78">
            <w:r>
              <w:t>2017/15</w:t>
            </w:r>
          </w:p>
        </w:tc>
        <w:tc>
          <w:tcPr>
            <w:tcW w:w="2692" w:type="dxa"/>
          </w:tcPr>
          <w:p w:rsidR="00E536AD" w:rsidRDefault="00E536AD" w:rsidP="00A56F78">
            <w:r w:rsidRPr="001C03A9">
              <w:t>Harvard Project for Asian and International Relations</w:t>
            </w:r>
          </w:p>
        </w:tc>
        <w:tc>
          <w:tcPr>
            <w:tcW w:w="7441" w:type="dxa"/>
          </w:tcPr>
          <w:p w:rsidR="00E536AD" w:rsidRPr="007C3871" w:rsidRDefault="00E536AD" w:rsidP="00A56F78">
            <w:pPr>
              <w:rPr>
                <w:b/>
              </w:rPr>
            </w:pPr>
            <w:r w:rsidRPr="007C3871">
              <w:rPr>
                <w:b/>
                <w:bCs/>
                <w:iCs/>
              </w:rPr>
              <w:t>Harvard Project for Asian and International Relations Conference</w:t>
            </w:r>
          </w:p>
          <w:p w:rsidR="00E536AD" w:rsidRDefault="00E536AD" w:rsidP="00A56F78">
            <w:r w:rsidRPr="007C3871">
              <w:t xml:space="preserve">The annual </w:t>
            </w:r>
            <w:r w:rsidRPr="007C3871">
              <w:rPr>
                <w:bCs/>
                <w:iCs/>
              </w:rPr>
              <w:t>Harvard Project for Asian and International Relations Conference</w:t>
            </w:r>
            <w:r w:rsidRPr="007C3871">
              <w:rPr>
                <w:i/>
                <w:iCs/>
              </w:rPr>
              <w:t xml:space="preserve"> </w:t>
            </w:r>
            <w:r>
              <w:t xml:space="preserve">will be held in Australia in </w:t>
            </w:r>
            <w:r w:rsidRPr="007C3871">
              <w:t>2017.</w:t>
            </w:r>
            <w:r w:rsidRPr="007C3871">
              <w:rPr>
                <w:i/>
                <w:iCs/>
              </w:rPr>
              <w:t xml:space="preserve"> </w:t>
            </w:r>
            <w:r w:rsidRPr="007C3871">
              <w:t>This conference will connect students and recent graduates with today’s leaders in academia, business and government. It will also foster long term relationships among young leaders from around the globe.  Funding will primarily be used for scholarships and bursaries to support participation in the conference and to highlight the opportunities available in the Australian education system.</w:t>
            </w:r>
          </w:p>
        </w:tc>
        <w:tc>
          <w:tcPr>
            <w:tcW w:w="1773" w:type="dxa"/>
          </w:tcPr>
          <w:p w:rsidR="00E536AD" w:rsidRDefault="00E536AD" w:rsidP="00A56F78">
            <w:r>
              <w:t>$20,000</w:t>
            </w:r>
          </w:p>
        </w:tc>
        <w:tc>
          <w:tcPr>
            <w:tcW w:w="1842" w:type="dxa"/>
          </w:tcPr>
          <w:p w:rsidR="00E536AD" w:rsidRDefault="00E536AD" w:rsidP="00A56F78">
            <w:r>
              <w:t>-</w:t>
            </w:r>
          </w:p>
        </w:tc>
      </w:tr>
    </w:tbl>
    <w:p w:rsidR="00ED304A" w:rsidRDefault="00ED304A">
      <w:r>
        <w:br w:type="page"/>
      </w:r>
    </w:p>
    <w:tbl>
      <w:tblPr>
        <w:tblStyle w:val="TableGrid"/>
        <w:tblW w:w="14174" w:type="dxa"/>
        <w:tblLook w:val="04A0" w:firstRow="1" w:lastRow="0" w:firstColumn="1" w:lastColumn="0" w:noHBand="0" w:noVBand="1"/>
      </w:tblPr>
      <w:tblGrid>
        <w:gridCol w:w="1102"/>
        <w:gridCol w:w="2692"/>
        <w:gridCol w:w="7441"/>
        <w:gridCol w:w="1523"/>
        <w:gridCol w:w="1416"/>
      </w:tblGrid>
      <w:tr w:rsidR="00E536AD" w:rsidRPr="00A34EFB" w:rsidTr="00ED304A">
        <w:tc>
          <w:tcPr>
            <w:tcW w:w="1102" w:type="dxa"/>
            <w:shd w:val="clear" w:color="auto" w:fill="7F7F7F" w:themeFill="text1" w:themeFillTint="80"/>
          </w:tcPr>
          <w:p w:rsidR="00E536AD" w:rsidRPr="00A34EFB" w:rsidRDefault="00E536AD" w:rsidP="00A56F78">
            <w:pPr>
              <w:rPr>
                <w:b/>
                <w:color w:val="FFFFFF" w:themeColor="background1"/>
              </w:rPr>
            </w:pPr>
          </w:p>
        </w:tc>
        <w:tc>
          <w:tcPr>
            <w:tcW w:w="13072" w:type="dxa"/>
            <w:gridSpan w:val="4"/>
            <w:shd w:val="clear" w:color="auto" w:fill="7F7F7F" w:themeFill="text1" w:themeFillTint="80"/>
          </w:tcPr>
          <w:p w:rsidR="00E536AD" w:rsidRPr="00A34EFB" w:rsidRDefault="00E536AD" w:rsidP="00A56F78">
            <w:pPr>
              <w:rPr>
                <w:b/>
                <w:color w:val="FFFFFF" w:themeColor="background1"/>
              </w:rPr>
            </w:pPr>
            <w:r w:rsidRPr="00A34EFB">
              <w:rPr>
                <w:b/>
                <w:color w:val="FFFFFF" w:themeColor="background1"/>
              </w:rPr>
              <w:t>Baseline data to inform evidence-based policy decisions and to measure progress of the strategy</w:t>
            </w:r>
          </w:p>
        </w:tc>
      </w:tr>
      <w:tr w:rsidR="00E536AD" w:rsidTr="00ED304A">
        <w:trPr>
          <w:trHeight w:val="262"/>
        </w:trPr>
        <w:tc>
          <w:tcPr>
            <w:tcW w:w="1102" w:type="dxa"/>
          </w:tcPr>
          <w:p w:rsidR="00E536AD" w:rsidRDefault="00E536AD" w:rsidP="00ED304A">
            <w:r>
              <w:t>2017/08</w:t>
            </w:r>
          </w:p>
        </w:tc>
        <w:tc>
          <w:tcPr>
            <w:tcW w:w="13072" w:type="dxa"/>
            <w:gridSpan w:val="4"/>
          </w:tcPr>
          <w:p w:rsidR="00E536AD" w:rsidRDefault="00E536AD" w:rsidP="00ED304A">
            <w:r w:rsidRPr="00CC319B">
              <w:rPr>
                <w:b/>
              </w:rPr>
              <w:t>Enhanced 2018 international student survey</w:t>
            </w:r>
            <w:r w:rsidR="00ED304A">
              <w:rPr>
                <w:b/>
              </w:rPr>
              <w:t xml:space="preserve"> - </w:t>
            </w:r>
            <w:r>
              <w:t xml:space="preserve">This project consists of eight sub-projects. </w:t>
            </w:r>
          </w:p>
        </w:tc>
      </w:tr>
      <w:tr w:rsidR="00E536AD" w:rsidRPr="005C1D09" w:rsidTr="00ED304A">
        <w:tc>
          <w:tcPr>
            <w:tcW w:w="1102" w:type="dxa"/>
            <w:shd w:val="clear" w:color="auto" w:fill="auto"/>
          </w:tcPr>
          <w:p w:rsidR="00E536AD" w:rsidRPr="005C1D09" w:rsidRDefault="00E536AD" w:rsidP="00A56F78">
            <w:r>
              <w:t>2017/</w:t>
            </w:r>
            <w:proofErr w:type="spellStart"/>
            <w:r>
              <w:t>08a</w:t>
            </w:r>
            <w:proofErr w:type="spellEnd"/>
          </w:p>
        </w:tc>
        <w:tc>
          <w:tcPr>
            <w:tcW w:w="2692" w:type="dxa"/>
            <w:shd w:val="clear" w:color="auto" w:fill="auto"/>
          </w:tcPr>
          <w:p w:rsidR="00E536AD" w:rsidRPr="005C1D09" w:rsidRDefault="00E536AD" w:rsidP="00A56F78">
            <w:r>
              <w:t>International Education Association of Australia</w:t>
            </w:r>
          </w:p>
        </w:tc>
        <w:tc>
          <w:tcPr>
            <w:tcW w:w="7441" w:type="dxa"/>
            <w:shd w:val="clear" w:color="auto" w:fill="auto"/>
          </w:tcPr>
          <w:p w:rsidR="00E536AD" w:rsidRDefault="00E536AD" w:rsidP="00A56F78">
            <w:r>
              <w:rPr>
                <w:b/>
                <w:bCs/>
              </w:rPr>
              <w:t>Data Stocktake and Data Gaps Analysis</w:t>
            </w:r>
            <w:r>
              <w:t xml:space="preserve"> </w:t>
            </w:r>
          </w:p>
          <w:p w:rsidR="00E536AD" w:rsidRPr="005C1D09" w:rsidRDefault="00E536AD" w:rsidP="00A56F78">
            <w:r>
              <w:t>The project will include a consultation across all education sectors to identify provider perspectives on the utility of existing international education data available and perceived ‘data gaps’ (including qualitative survey-based data). Project outcomes will inform implementation of the National Strategy for International Education 2025. This project will complement a current process of consultation with state and territory governments being led by the department and Austrade.</w:t>
            </w:r>
          </w:p>
        </w:tc>
        <w:tc>
          <w:tcPr>
            <w:tcW w:w="1523" w:type="dxa"/>
            <w:shd w:val="clear" w:color="auto" w:fill="auto"/>
          </w:tcPr>
          <w:p w:rsidR="00E536AD" w:rsidRPr="005C1D09" w:rsidRDefault="00E536AD" w:rsidP="00A56F78">
            <w:r>
              <w:t>$75,000</w:t>
            </w:r>
          </w:p>
        </w:tc>
        <w:tc>
          <w:tcPr>
            <w:tcW w:w="1416" w:type="dxa"/>
            <w:shd w:val="clear" w:color="auto" w:fill="auto"/>
          </w:tcPr>
          <w:p w:rsidR="00E536AD" w:rsidRPr="005C1D09" w:rsidRDefault="00E536AD" w:rsidP="00A56F78">
            <w:r>
              <w:t>-</w:t>
            </w:r>
          </w:p>
        </w:tc>
      </w:tr>
      <w:tr w:rsidR="00E536AD" w:rsidRPr="005C1D09" w:rsidTr="00ED304A">
        <w:tc>
          <w:tcPr>
            <w:tcW w:w="1102" w:type="dxa"/>
            <w:shd w:val="clear" w:color="auto" w:fill="auto"/>
          </w:tcPr>
          <w:p w:rsidR="00E536AD" w:rsidRPr="005C1D09" w:rsidRDefault="00E536AD" w:rsidP="00A56F78">
            <w:r>
              <w:t>2017/</w:t>
            </w:r>
            <w:proofErr w:type="spellStart"/>
            <w:r>
              <w:t>08b</w:t>
            </w:r>
            <w:proofErr w:type="spellEnd"/>
          </w:p>
        </w:tc>
        <w:tc>
          <w:tcPr>
            <w:tcW w:w="2692" w:type="dxa"/>
            <w:shd w:val="clear" w:color="auto" w:fill="auto"/>
          </w:tcPr>
          <w:p w:rsidR="00E536AD" w:rsidRPr="005C1D09" w:rsidRDefault="00E536AD" w:rsidP="00A56F78">
            <w:r>
              <w:t>English Australia</w:t>
            </w:r>
          </w:p>
        </w:tc>
        <w:tc>
          <w:tcPr>
            <w:tcW w:w="7441" w:type="dxa"/>
            <w:shd w:val="clear" w:color="auto" w:fill="auto"/>
          </w:tcPr>
          <w:p w:rsidR="00E536AD" w:rsidRPr="007B6876" w:rsidRDefault="00E536AD" w:rsidP="00A56F78">
            <w:pPr>
              <w:rPr>
                <w:b/>
              </w:rPr>
            </w:pPr>
            <w:r w:rsidRPr="007B6876">
              <w:rPr>
                <w:b/>
              </w:rPr>
              <w:t>Onshore English Language Intensive Courses for Overseas Students</w:t>
            </w:r>
          </w:p>
          <w:p w:rsidR="00E536AD" w:rsidRPr="005C1D09" w:rsidRDefault="00E536AD" w:rsidP="00A56F78">
            <w:r>
              <w:t>The 2018 survey will continue a biennial process conducted since 2010 in which international students across Australia participate in a survey investigating their student experience on and off campus. The survey uses the International Student Barometer, allowing Australian survey data to be compared with data from other major countries hosting international students (e.g. North America, the UK and New Zealand).</w:t>
            </w:r>
          </w:p>
        </w:tc>
        <w:tc>
          <w:tcPr>
            <w:tcW w:w="1523" w:type="dxa"/>
            <w:shd w:val="clear" w:color="auto" w:fill="auto"/>
          </w:tcPr>
          <w:p w:rsidR="00E536AD" w:rsidRPr="005C1D09" w:rsidRDefault="00E536AD" w:rsidP="00A56F78">
            <w:r>
              <w:t>$70,000</w:t>
            </w:r>
          </w:p>
        </w:tc>
        <w:tc>
          <w:tcPr>
            <w:tcW w:w="1416" w:type="dxa"/>
            <w:shd w:val="clear" w:color="auto" w:fill="auto"/>
          </w:tcPr>
          <w:p w:rsidR="00E536AD" w:rsidRPr="005C1D09" w:rsidRDefault="00E536AD" w:rsidP="00A56F78">
            <w:r>
              <w:t>-</w:t>
            </w:r>
          </w:p>
        </w:tc>
      </w:tr>
      <w:tr w:rsidR="00E536AD" w:rsidRPr="005C1D09" w:rsidTr="00ED304A">
        <w:tc>
          <w:tcPr>
            <w:tcW w:w="1102" w:type="dxa"/>
            <w:shd w:val="clear" w:color="auto" w:fill="auto"/>
          </w:tcPr>
          <w:p w:rsidR="00E536AD" w:rsidRPr="005C1D09" w:rsidRDefault="00E536AD" w:rsidP="00A56F78">
            <w:r>
              <w:t>2017/</w:t>
            </w:r>
            <w:proofErr w:type="spellStart"/>
            <w:r>
              <w:t>08c</w:t>
            </w:r>
            <w:proofErr w:type="spellEnd"/>
          </w:p>
        </w:tc>
        <w:tc>
          <w:tcPr>
            <w:tcW w:w="2692" w:type="dxa"/>
            <w:shd w:val="clear" w:color="auto" w:fill="auto"/>
          </w:tcPr>
          <w:p w:rsidR="00E536AD" w:rsidRPr="005C1D09" w:rsidRDefault="00E536AD" w:rsidP="00A56F78">
            <w:r w:rsidRPr="005C1D09">
              <w:rPr>
                <w:i/>
              </w:rPr>
              <w:t>To be determined through a procurement process</w:t>
            </w:r>
          </w:p>
        </w:tc>
        <w:tc>
          <w:tcPr>
            <w:tcW w:w="7441" w:type="dxa"/>
            <w:shd w:val="clear" w:color="auto" w:fill="auto"/>
          </w:tcPr>
          <w:p w:rsidR="00E536AD" w:rsidRDefault="00E536AD" w:rsidP="00A56F78">
            <w:pPr>
              <w:rPr>
                <w:b/>
              </w:rPr>
            </w:pPr>
            <w:r w:rsidRPr="00630A4A">
              <w:rPr>
                <w:b/>
              </w:rPr>
              <w:t>Onshore schools sector research</w:t>
            </w:r>
          </w:p>
          <w:p w:rsidR="00E536AD" w:rsidRPr="00630A4A" w:rsidRDefault="00E536AD" w:rsidP="00A56F78">
            <w:pPr>
              <w:rPr>
                <w:b/>
              </w:rPr>
            </w:pPr>
            <w:r w:rsidRPr="00534FAC">
              <w:t>The survey will examine international secondary school students living and study experiences in Australia.</w:t>
            </w:r>
          </w:p>
        </w:tc>
        <w:tc>
          <w:tcPr>
            <w:tcW w:w="1523" w:type="dxa"/>
            <w:shd w:val="clear" w:color="auto" w:fill="auto"/>
          </w:tcPr>
          <w:p w:rsidR="00E536AD" w:rsidRPr="005C1D09" w:rsidRDefault="00E536AD" w:rsidP="00A56F78">
            <w:r>
              <w:t>-</w:t>
            </w:r>
          </w:p>
        </w:tc>
        <w:tc>
          <w:tcPr>
            <w:tcW w:w="1416" w:type="dxa"/>
            <w:shd w:val="clear" w:color="auto" w:fill="auto"/>
          </w:tcPr>
          <w:p w:rsidR="00E536AD" w:rsidRPr="005C1D09" w:rsidRDefault="00E536AD" w:rsidP="00A56F78">
            <w:r>
              <w:t>$60,000</w:t>
            </w:r>
          </w:p>
        </w:tc>
      </w:tr>
      <w:tr w:rsidR="00E536AD" w:rsidRPr="005C1D09" w:rsidTr="00ED304A">
        <w:tc>
          <w:tcPr>
            <w:tcW w:w="1102" w:type="dxa"/>
            <w:shd w:val="clear" w:color="auto" w:fill="auto"/>
          </w:tcPr>
          <w:p w:rsidR="00E536AD" w:rsidRPr="005C1D09" w:rsidRDefault="00E536AD" w:rsidP="00A56F78">
            <w:r>
              <w:t>2017/</w:t>
            </w:r>
            <w:proofErr w:type="spellStart"/>
            <w:r>
              <w:t>08d</w:t>
            </w:r>
            <w:proofErr w:type="spellEnd"/>
          </w:p>
        </w:tc>
        <w:tc>
          <w:tcPr>
            <w:tcW w:w="2692" w:type="dxa"/>
            <w:shd w:val="clear" w:color="auto" w:fill="auto"/>
          </w:tcPr>
          <w:p w:rsidR="00E536AD" w:rsidRPr="005C1D09" w:rsidRDefault="00E536AD" w:rsidP="00A56F78">
            <w:r>
              <w:t>International Education Association of Australia</w:t>
            </w:r>
          </w:p>
        </w:tc>
        <w:tc>
          <w:tcPr>
            <w:tcW w:w="7441" w:type="dxa"/>
            <w:shd w:val="clear" w:color="auto" w:fill="auto"/>
          </w:tcPr>
          <w:p w:rsidR="00E536AD" w:rsidRPr="007B6876" w:rsidRDefault="00E536AD" w:rsidP="00A56F78">
            <w:pPr>
              <w:rPr>
                <w:b/>
              </w:rPr>
            </w:pPr>
            <w:r>
              <w:rPr>
                <w:b/>
              </w:rPr>
              <w:t>Onshore higher e</w:t>
            </w:r>
            <w:r w:rsidRPr="007B6876">
              <w:rPr>
                <w:b/>
              </w:rPr>
              <w:t xml:space="preserve">ducation and vocational education and training </w:t>
            </w:r>
          </w:p>
          <w:p w:rsidR="00E536AD" w:rsidRPr="005C1D09" w:rsidRDefault="00E536AD" w:rsidP="00A56F78">
            <w:r>
              <w:t>The 2018 survey will continue a biennial process conducted since 2010 in which international students across Australia participate in a survey investigating their student experience on and off campus. The survey uses the International Student Barometer, allowing Australian survey data to be compared with data from other major countries hosting international students (e.g. North America, the UK and New Zealand).</w:t>
            </w:r>
          </w:p>
        </w:tc>
        <w:tc>
          <w:tcPr>
            <w:tcW w:w="1523" w:type="dxa"/>
            <w:shd w:val="clear" w:color="auto" w:fill="auto"/>
          </w:tcPr>
          <w:p w:rsidR="00E536AD" w:rsidRPr="005C1D09" w:rsidRDefault="00E536AD" w:rsidP="00A56F78">
            <w:r>
              <w:t>$210,000</w:t>
            </w:r>
          </w:p>
        </w:tc>
        <w:tc>
          <w:tcPr>
            <w:tcW w:w="1416" w:type="dxa"/>
            <w:shd w:val="clear" w:color="auto" w:fill="auto"/>
          </w:tcPr>
          <w:p w:rsidR="00E536AD" w:rsidRPr="005C1D09" w:rsidRDefault="00E536AD" w:rsidP="00A56F78">
            <w:r>
              <w:t>-</w:t>
            </w:r>
          </w:p>
        </w:tc>
      </w:tr>
      <w:tr w:rsidR="00E536AD" w:rsidRPr="005C1D09" w:rsidTr="00ED304A">
        <w:tc>
          <w:tcPr>
            <w:tcW w:w="1102" w:type="dxa"/>
            <w:shd w:val="clear" w:color="auto" w:fill="auto"/>
          </w:tcPr>
          <w:p w:rsidR="00E536AD" w:rsidRPr="005C1D09" w:rsidRDefault="00E536AD" w:rsidP="00A56F78">
            <w:r>
              <w:t>2017/</w:t>
            </w:r>
            <w:proofErr w:type="spellStart"/>
            <w:r>
              <w:t>08e</w:t>
            </w:r>
            <w:proofErr w:type="spellEnd"/>
          </w:p>
        </w:tc>
        <w:tc>
          <w:tcPr>
            <w:tcW w:w="2692" w:type="dxa"/>
            <w:shd w:val="clear" w:color="auto" w:fill="auto"/>
          </w:tcPr>
          <w:p w:rsidR="00E536AD" w:rsidRPr="005C1D09" w:rsidRDefault="00E536AD" w:rsidP="00A56F78">
            <w:r w:rsidRPr="005C1D09">
              <w:rPr>
                <w:i/>
              </w:rPr>
              <w:t>To be determined through a procurement process</w:t>
            </w:r>
          </w:p>
        </w:tc>
        <w:tc>
          <w:tcPr>
            <w:tcW w:w="7441" w:type="dxa"/>
            <w:shd w:val="clear" w:color="auto" w:fill="auto"/>
          </w:tcPr>
          <w:p w:rsidR="00E536AD" w:rsidRPr="007B6876" w:rsidRDefault="00E536AD" w:rsidP="00A56F78">
            <w:pPr>
              <w:rPr>
                <w:b/>
              </w:rPr>
            </w:pPr>
            <w:r>
              <w:rPr>
                <w:rFonts w:ascii="Calibri" w:eastAsiaTheme="minorEastAsia" w:hAnsi="Calibri" w:cs="Arial"/>
                <w:b/>
              </w:rPr>
              <w:t xml:space="preserve">Offshore </w:t>
            </w:r>
            <w:r>
              <w:rPr>
                <w:b/>
              </w:rPr>
              <w:t>higher education research</w:t>
            </w:r>
          </w:p>
          <w:p w:rsidR="00E536AD" w:rsidRPr="005C1D09" w:rsidRDefault="00E536AD" w:rsidP="00A56F78">
            <w:r>
              <w:t>This</w:t>
            </w:r>
            <w:r w:rsidRPr="00534FAC">
              <w:t xml:space="preserve"> survey will investigate the experience and satisfaction of students at offshore locations undertaking Australian higher education programs.</w:t>
            </w:r>
          </w:p>
        </w:tc>
        <w:tc>
          <w:tcPr>
            <w:tcW w:w="1523" w:type="dxa"/>
            <w:shd w:val="clear" w:color="auto" w:fill="auto"/>
          </w:tcPr>
          <w:p w:rsidR="00E536AD" w:rsidRPr="005C1D09" w:rsidRDefault="00E536AD" w:rsidP="00A56F78">
            <w:r>
              <w:t>-</w:t>
            </w:r>
          </w:p>
        </w:tc>
        <w:tc>
          <w:tcPr>
            <w:tcW w:w="1416" w:type="dxa"/>
            <w:shd w:val="clear" w:color="auto" w:fill="auto"/>
          </w:tcPr>
          <w:p w:rsidR="00E536AD" w:rsidRPr="005C1D09" w:rsidRDefault="00E536AD" w:rsidP="00A56F78">
            <w:r>
              <w:t>$125,000</w:t>
            </w:r>
          </w:p>
        </w:tc>
      </w:tr>
      <w:tr w:rsidR="00E536AD" w:rsidRPr="005C1D09" w:rsidTr="00ED304A">
        <w:tc>
          <w:tcPr>
            <w:tcW w:w="1102" w:type="dxa"/>
            <w:shd w:val="clear" w:color="auto" w:fill="auto"/>
          </w:tcPr>
          <w:p w:rsidR="00E536AD" w:rsidRDefault="00ED304A" w:rsidP="00A56F78">
            <w:r>
              <w:br w:type="page"/>
            </w:r>
            <w:r w:rsidR="00E536AD">
              <w:t>2017/</w:t>
            </w:r>
            <w:proofErr w:type="spellStart"/>
            <w:r w:rsidR="00E536AD">
              <w:t>08f</w:t>
            </w:r>
            <w:proofErr w:type="spellEnd"/>
          </w:p>
        </w:tc>
        <w:tc>
          <w:tcPr>
            <w:tcW w:w="2692" w:type="dxa"/>
            <w:shd w:val="clear" w:color="auto" w:fill="auto"/>
          </w:tcPr>
          <w:p w:rsidR="00E536AD" w:rsidRPr="005C1D09" w:rsidRDefault="00E536AD" w:rsidP="00A56F78">
            <w:r w:rsidRPr="005C1D09">
              <w:rPr>
                <w:i/>
              </w:rPr>
              <w:t>To be determined through a procurement process</w:t>
            </w:r>
          </w:p>
        </w:tc>
        <w:tc>
          <w:tcPr>
            <w:tcW w:w="7441" w:type="dxa"/>
            <w:shd w:val="clear" w:color="auto" w:fill="auto"/>
          </w:tcPr>
          <w:p w:rsidR="00E536AD" w:rsidRDefault="00E536AD" w:rsidP="00A56F78">
            <w:pPr>
              <w:rPr>
                <w:rFonts w:ascii="Calibri" w:eastAsiaTheme="minorEastAsia" w:hAnsi="Calibri" w:cs="Arial"/>
                <w:b/>
              </w:rPr>
            </w:pPr>
            <w:r>
              <w:rPr>
                <w:rFonts w:ascii="Calibri" w:eastAsiaTheme="minorEastAsia" w:hAnsi="Calibri" w:cs="Arial"/>
                <w:b/>
              </w:rPr>
              <w:t>Graduate employment outcomes research</w:t>
            </w:r>
          </w:p>
          <w:p w:rsidR="00E536AD" w:rsidRPr="005C1D09" w:rsidRDefault="00E536AD" w:rsidP="00A56F78">
            <w:r w:rsidRPr="00534FAC">
              <w:t xml:space="preserve">This survey will investigate the outcomes of international graduates who completed qualifications in Australian. The survey will be undertaken for </w:t>
            </w:r>
            <w:r>
              <w:t>graduates in selected countries, for example, China and India.</w:t>
            </w:r>
          </w:p>
        </w:tc>
        <w:tc>
          <w:tcPr>
            <w:tcW w:w="1523" w:type="dxa"/>
            <w:shd w:val="clear" w:color="auto" w:fill="auto"/>
          </w:tcPr>
          <w:p w:rsidR="00E536AD" w:rsidRPr="005C1D09" w:rsidRDefault="00E536AD" w:rsidP="00A56F78">
            <w:r>
              <w:t>-</w:t>
            </w:r>
          </w:p>
        </w:tc>
        <w:tc>
          <w:tcPr>
            <w:tcW w:w="1416" w:type="dxa"/>
            <w:shd w:val="clear" w:color="auto" w:fill="auto"/>
          </w:tcPr>
          <w:p w:rsidR="00E536AD" w:rsidRPr="005C1D09" w:rsidRDefault="00E536AD" w:rsidP="00A56F78">
            <w:r>
              <w:t>$150,000</w:t>
            </w:r>
          </w:p>
        </w:tc>
      </w:tr>
      <w:tr w:rsidR="00E536AD" w:rsidRPr="005C1D09" w:rsidTr="00ED304A">
        <w:tc>
          <w:tcPr>
            <w:tcW w:w="1102" w:type="dxa"/>
            <w:shd w:val="clear" w:color="auto" w:fill="auto"/>
          </w:tcPr>
          <w:p w:rsidR="00E536AD" w:rsidRDefault="00E536AD" w:rsidP="00A56F78">
            <w:r>
              <w:lastRenderedPageBreak/>
              <w:t>2017/</w:t>
            </w:r>
            <w:proofErr w:type="spellStart"/>
            <w:r>
              <w:t>08g</w:t>
            </w:r>
            <w:proofErr w:type="spellEnd"/>
          </w:p>
        </w:tc>
        <w:tc>
          <w:tcPr>
            <w:tcW w:w="2692" w:type="dxa"/>
            <w:shd w:val="clear" w:color="auto" w:fill="auto"/>
          </w:tcPr>
          <w:p w:rsidR="00E536AD" w:rsidRPr="005C1D09" w:rsidRDefault="00E536AD" w:rsidP="00A56F78">
            <w:r w:rsidRPr="005C1D09">
              <w:rPr>
                <w:i/>
              </w:rPr>
              <w:t>To be determined through a procurement process</w:t>
            </w:r>
          </w:p>
        </w:tc>
        <w:tc>
          <w:tcPr>
            <w:tcW w:w="7441" w:type="dxa"/>
            <w:shd w:val="clear" w:color="auto" w:fill="auto"/>
          </w:tcPr>
          <w:p w:rsidR="00E536AD" w:rsidRDefault="00E536AD" w:rsidP="00A56F78">
            <w:pPr>
              <w:rPr>
                <w:rFonts w:ascii="Calibri" w:eastAsiaTheme="minorEastAsia" w:hAnsi="Calibri" w:cs="Arial"/>
                <w:b/>
              </w:rPr>
            </w:pPr>
            <w:r>
              <w:rPr>
                <w:rFonts w:ascii="Calibri" w:eastAsiaTheme="minorEastAsia" w:hAnsi="Calibri" w:cs="Arial"/>
                <w:b/>
              </w:rPr>
              <w:t>International student spending survey research</w:t>
            </w:r>
          </w:p>
          <w:p w:rsidR="00E536AD" w:rsidRPr="005C1D09" w:rsidRDefault="00E536AD" w:rsidP="00A56F78">
            <w:r w:rsidRPr="00534FAC">
              <w:t>This is a supplementary survey to inform the Australian Bureau of Stat</w:t>
            </w:r>
            <w:r>
              <w:t xml:space="preserve">istics </w:t>
            </w:r>
            <w:r w:rsidRPr="00534FAC">
              <w:t>calculation of export income from international education.</w:t>
            </w:r>
          </w:p>
        </w:tc>
        <w:tc>
          <w:tcPr>
            <w:tcW w:w="1523" w:type="dxa"/>
            <w:shd w:val="clear" w:color="auto" w:fill="auto"/>
          </w:tcPr>
          <w:p w:rsidR="00E536AD" w:rsidRPr="005C1D09" w:rsidRDefault="00E536AD" w:rsidP="00A56F78">
            <w:r>
              <w:t>-</w:t>
            </w:r>
          </w:p>
        </w:tc>
        <w:tc>
          <w:tcPr>
            <w:tcW w:w="1416" w:type="dxa"/>
            <w:shd w:val="clear" w:color="auto" w:fill="auto"/>
          </w:tcPr>
          <w:p w:rsidR="00E536AD" w:rsidRPr="005C1D09" w:rsidRDefault="00E536AD" w:rsidP="00A56F78">
            <w:r>
              <w:t>$120,000</w:t>
            </w:r>
          </w:p>
        </w:tc>
      </w:tr>
      <w:tr w:rsidR="00E536AD" w:rsidRPr="005C1D09" w:rsidTr="00ED304A">
        <w:tc>
          <w:tcPr>
            <w:tcW w:w="1102" w:type="dxa"/>
            <w:shd w:val="clear" w:color="auto" w:fill="auto"/>
          </w:tcPr>
          <w:p w:rsidR="00E536AD" w:rsidRPr="005C1D09" w:rsidRDefault="00E536AD" w:rsidP="00A56F78">
            <w:r>
              <w:t>2017/</w:t>
            </w:r>
            <w:proofErr w:type="spellStart"/>
            <w:r>
              <w:t>08h</w:t>
            </w:r>
            <w:proofErr w:type="spellEnd"/>
          </w:p>
        </w:tc>
        <w:tc>
          <w:tcPr>
            <w:tcW w:w="2692" w:type="dxa"/>
            <w:shd w:val="clear" w:color="auto" w:fill="auto"/>
          </w:tcPr>
          <w:p w:rsidR="00E536AD" w:rsidRPr="005C1D09" w:rsidRDefault="00E536AD" w:rsidP="00A56F78">
            <w:r>
              <w:t>English Australia</w:t>
            </w:r>
          </w:p>
        </w:tc>
        <w:tc>
          <w:tcPr>
            <w:tcW w:w="7441" w:type="dxa"/>
            <w:shd w:val="clear" w:color="auto" w:fill="auto"/>
          </w:tcPr>
          <w:p w:rsidR="00E536AD" w:rsidRPr="007B6876" w:rsidRDefault="00E536AD" w:rsidP="00A56F78">
            <w:pPr>
              <w:rPr>
                <w:b/>
              </w:rPr>
            </w:pPr>
            <w:r w:rsidRPr="007B6876">
              <w:rPr>
                <w:b/>
              </w:rPr>
              <w:t>English Language Intensive Courses for Overseas Students (</w:t>
            </w:r>
            <w:proofErr w:type="spellStart"/>
            <w:r w:rsidRPr="007B6876">
              <w:rPr>
                <w:b/>
              </w:rPr>
              <w:t>ELICOS</w:t>
            </w:r>
            <w:proofErr w:type="spellEnd"/>
            <w:r w:rsidRPr="007B6876">
              <w:rPr>
                <w:b/>
              </w:rPr>
              <w:t xml:space="preserve">) all-visa students data collection </w:t>
            </w:r>
          </w:p>
          <w:p w:rsidR="00E536AD" w:rsidRPr="005C1D09" w:rsidRDefault="00E536AD" w:rsidP="00A56F78">
            <w:r>
              <w:t xml:space="preserve">This annual survey-based data collection involves capturing data about all international students in </w:t>
            </w:r>
            <w:proofErr w:type="spellStart"/>
            <w:r>
              <w:t>ELICOS</w:t>
            </w:r>
            <w:proofErr w:type="spellEnd"/>
            <w:r>
              <w:t xml:space="preserve"> colleges across Australia, including those on visitor/tourist visas, working holiday maker visas and other types. This is important as only 66% of </w:t>
            </w:r>
            <w:proofErr w:type="spellStart"/>
            <w:r>
              <w:t>ELICOS</w:t>
            </w:r>
            <w:proofErr w:type="spellEnd"/>
            <w:r>
              <w:t xml:space="preserve"> students study in Australia on student visas. The last survey captured details of over 50,000 students in 2015 </w:t>
            </w:r>
            <w:proofErr w:type="gramStart"/>
            <w:r>
              <w:t>who</w:t>
            </w:r>
            <w:proofErr w:type="gramEnd"/>
            <w:r>
              <w:t xml:space="preserve"> were not captured in the departments PRISMS data (which only counts student visa holders).</w:t>
            </w:r>
          </w:p>
        </w:tc>
        <w:tc>
          <w:tcPr>
            <w:tcW w:w="1523" w:type="dxa"/>
            <w:shd w:val="clear" w:color="auto" w:fill="auto"/>
          </w:tcPr>
          <w:p w:rsidR="00E536AD" w:rsidRPr="005C1D09" w:rsidRDefault="00E536AD" w:rsidP="00A56F78">
            <w:r>
              <w:t>$45,000</w:t>
            </w:r>
          </w:p>
        </w:tc>
        <w:tc>
          <w:tcPr>
            <w:tcW w:w="1416" w:type="dxa"/>
            <w:shd w:val="clear" w:color="auto" w:fill="auto"/>
          </w:tcPr>
          <w:p w:rsidR="00E536AD" w:rsidRPr="005C1D09" w:rsidRDefault="00E536AD" w:rsidP="00A56F78">
            <w:r>
              <w:t>$45,000</w:t>
            </w:r>
          </w:p>
        </w:tc>
      </w:tr>
      <w:tr w:rsidR="001C03A9" w:rsidTr="00ED304A">
        <w:tc>
          <w:tcPr>
            <w:tcW w:w="1102" w:type="dxa"/>
            <w:shd w:val="clear" w:color="auto" w:fill="7F7F7F" w:themeFill="text1" w:themeFillTint="80"/>
          </w:tcPr>
          <w:p w:rsidR="001C03A9" w:rsidRPr="00A34EFB" w:rsidRDefault="001C03A9">
            <w:pPr>
              <w:rPr>
                <w:b/>
                <w:color w:val="FFFFFF" w:themeColor="background1"/>
              </w:rPr>
            </w:pPr>
          </w:p>
        </w:tc>
        <w:tc>
          <w:tcPr>
            <w:tcW w:w="13072" w:type="dxa"/>
            <w:gridSpan w:val="4"/>
            <w:shd w:val="clear" w:color="auto" w:fill="7F7F7F" w:themeFill="text1" w:themeFillTint="80"/>
          </w:tcPr>
          <w:p w:rsidR="001C03A9" w:rsidRPr="00A34EFB" w:rsidRDefault="001C03A9">
            <w:pPr>
              <w:rPr>
                <w:b/>
                <w:color w:val="FFFFFF" w:themeColor="background1"/>
              </w:rPr>
            </w:pPr>
            <w:r w:rsidRPr="00A34EFB">
              <w:rPr>
                <w:b/>
                <w:color w:val="FFFFFF" w:themeColor="background1"/>
              </w:rPr>
              <w:t>Enhancing international cooperation through in-country projects, research collaboration, two-way mobility and transnational education</w:t>
            </w:r>
          </w:p>
        </w:tc>
      </w:tr>
      <w:tr w:rsidR="001C03A9" w:rsidTr="00ED304A">
        <w:tc>
          <w:tcPr>
            <w:tcW w:w="1102" w:type="dxa"/>
          </w:tcPr>
          <w:p w:rsidR="001C03A9" w:rsidRDefault="001C03A9" w:rsidP="00A34EFB">
            <w:r>
              <w:t>2017/03</w:t>
            </w:r>
          </w:p>
          <w:p w:rsidR="001C03A9" w:rsidRDefault="001C03A9"/>
        </w:tc>
        <w:tc>
          <w:tcPr>
            <w:tcW w:w="2692" w:type="dxa"/>
          </w:tcPr>
          <w:p w:rsidR="001C03A9" w:rsidRDefault="001C03A9">
            <w:r>
              <w:t xml:space="preserve">Universities Australia </w:t>
            </w:r>
          </w:p>
        </w:tc>
        <w:tc>
          <w:tcPr>
            <w:tcW w:w="7441" w:type="dxa"/>
          </w:tcPr>
          <w:p w:rsidR="00A657AF" w:rsidRPr="00A657AF" w:rsidRDefault="00A657AF">
            <w:pPr>
              <w:rPr>
                <w:b/>
              </w:rPr>
            </w:pPr>
            <w:r w:rsidRPr="00A657AF">
              <w:rPr>
                <w:b/>
              </w:rPr>
              <w:t>Enhancing international cooperation and regional engagement through the China-Australia Higher Education Cooperation Program</w:t>
            </w:r>
          </w:p>
          <w:p w:rsidR="001C03A9" w:rsidRDefault="001C03A9">
            <w:r>
              <w:t xml:space="preserve">The </w:t>
            </w:r>
            <w:r w:rsidR="00296A11" w:rsidRPr="00296A11">
              <w:t>China-Australia Higher Education Cooperation</w:t>
            </w:r>
            <w:r w:rsidR="00296A11" w:rsidRPr="00A657AF">
              <w:rPr>
                <w:b/>
              </w:rPr>
              <w:t xml:space="preserve"> </w:t>
            </w:r>
            <w:r>
              <w:t xml:space="preserve">program aims to increase the number of partnerships between Chinese and regional Australian universities, </w:t>
            </w:r>
            <w:r w:rsidRPr="00296A11">
              <w:t xml:space="preserve">helping to </w:t>
            </w:r>
            <w:r>
              <w:t xml:space="preserve">promote regional Australia as a key study destination for Chinese students. The research strengths of Australian regional universities will be promoted along with benefits associated with living and learning in regional Australia. </w:t>
            </w:r>
            <w:r>
              <w:rPr>
                <w:color w:val="1F497D"/>
              </w:rPr>
              <w:t> </w:t>
            </w:r>
          </w:p>
        </w:tc>
        <w:tc>
          <w:tcPr>
            <w:tcW w:w="1523" w:type="dxa"/>
          </w:tcPr>
          <w:p w:rsidR="001C03A9" w:rsidRDefault="001C03A9">
            <w:r>
              <w:t>$150,000</w:t>
            </w:r>
          </w:p>
        </w:tc>
        <w:tc>
          <w:tcPr>
            <w:tcW w:w="1416" w:type="dxa"/>
          </w:tcPr>
          <w:p w:rsidR="001C03A9" w:rsidRDefault="001C03A9">
            <w:r>
              <w:t>-</w:t>
            </w:r>
          </w:p>
        </w:tc>
      </w:tr>
      <w:tr w:rsidR="001C03A9" w:rsidTr="00ED304A">
        <w:tc>
          <w:tcPr>
            <w:tcW w:w="1102" w:type="dxa"/>
          </w:tcPr>
          <w:p w:rsidR="001C03A9" w:rsidRDefault="00ED304A" w:rsidP="00A34EFB">
            <w:r>
              <w:br w:type="page"/>
            </w:r>
            <w:r>
              <w:br w:type="page"/>
            </w:r>
            <w:r w:rsidR="001C03A9">
              <w:t>2017/04</w:t>
            </w:r>
          </w:p>
          <w:p w:rsidR="001C03A9" w:rsidRDefault="001C03A9"/>
        </w:tc>
        <w:tc>
          <w:tcPr>
            <w:tcW w:w="2692" w:type="dxa"/>
          </w:tcPr>
          <w:p w:rsidR="001C03A9" w:rsidRDefault="001C03A9">
            <w:r w:rsidRPr="001C03A9">
              <w:t>Australian Academy of Science</w:t>
            </w:r>
          </w:p>
        </w:tc>
        <w:tc>
          <w:tcPr>
            <w:tcW w:w="7441" w:type="dxa"/>
          </w:tcPr>
          <w:p w:rsidR="00A657AF" w:rsidRPr="00A657AF" w:rsidRDefault="00A657AF">
            <w:pPr>
              <w:rPr>
                <w:b/>
              </w:rPr>
            </w:pPr>
            <w:r w:rsidRPr="00A657AF">
              <w:rPr>
                <w:b/>
              </w:rPr>
              <w:t>Enhancing research collaboration between Australia and the Americas through postgraduate research student internships</w:t>
            </w:r>
          </w:p>
          <w:p w:rsidR="001C03A9" w:rsidRDefault="001C03A9">
            <w:r>
              <w:t xml:space="preserve">Postgraduate research students from the United States and Latin America will undertake a research internship program of up to 10 weeks in Australian higher education and research institutions. Through the internship, students will build collaborative partnerships with Australia early in their research careers, fostering ongoing collaboration between Australia and the Americas. The project builds on the arrangements currently in place with US, Brazil and Mexico, </w:t>
            </w:r>
            <w:r w:rsidR="00296A11">
              <w:t>and allows</w:t>
            </w:r>
            <w:r>
              <w:t xml:space="preserve"> for extension to Argentina, Chile, Colombia and Peru.</w:t>
            </w:r>
          </w:p>
        </w:tc>
        <w:tc>
          <w:tcPr>
            <w:tcW w:w="1523" w:type="dxa"/>
          </w:tcPr>
          <w:p w:rsidR="001C03A9" w:rsidRDefault="001C03A9">
            <w:r>
              <w:t>$350,000</w:t>
            </w:r>
          </w:p>
        </w:tc>
        <w:tc>
          <w:tcPr>
            <w:tcW w:w="1416" w:type="dxa"/>
          </w:tcPr>
          <w:p w:rsidR="001C03A9" w:rsidRDefault="001C03A9">
            <w:r>
              <w:t>-</w:t>
            </w:r>
          </w:p>
        </w:tc>
      </w:tr>
    </w:tbl>
    <w:p w:rsidR="00ED304A" w:rsidRDefault="00ED304A">
      <w:r>
        <w:br w:type="page"/>
      </w:r>
    </w:p>
    <w:tbl>
      <w:tblPr>
        <w:tblStyle w:val="TableGrid"/>
        <w:tblW w:w="14174" w:type="dxa"/>
        <w:tblLook w:val="04A0" w:firstRow="1" w:lastRow="0" w:firstColumn="1" w:lastColumn="0" w:noHBand="0" w:noVBand="1"/>
      </w:tblPr>
      <w:tblGrid>
        <w:gridCol w:w="1102"/>
        <w:gridCol w:w="2692"/>
        <w:gridCol w:w="7441"/>
        <w:gridCol w:w="1523"/>
        <w:gridCol w:w="1416"/>
      </w:tblGrid>
      <w:tr w:rsidR="001C03A9" w:rsidTr="00ED304A">
        <w:tc>
          <w:tcPr>
            <w:tcW w:w="1102" w:type="dxa"/>
          </w:tcPr>
          <w:p w:rsidR="001C03A9" w:rsidRDefault="001C03A9" w:rsidP="00A34EFB">
            <w:r>
              <w:lastRenderedPageBreak/>
              <w:t>2017/07</w:t>
            </w:r>
          </w:p>
          <w:p w:rsidR="001C03A9" w:rsidRDefault="001C03A9"/>
        </w:tc>
        <w:tc>
          <w:tcPr>
            <w:tcW w:w="2692" w:type="dxa"/>
          </w:tcPr>
          <w:p w:rsidR="001C03A9" w:rsidRDefault="001C03A9">
            <w:pPr>
              <w:rPr>
                <w:color w:val="000000"/>
              </w:rPr>
            </w:pPr>
            <w:r>
              <w:rPr>
                <w:color w:val="000000"/>
              </w:rPr>
              <w:t>English Australia</w:t>
            </w:r>
          </w:p>
        </w:tc>
        <w:tc>
          <w:tcPr>
            <w:tcW w:w="7441" w:type="dxa"/>
          </w:tcPr>
          <w:p w:rsidR="00A657AF" w:rsidRDefault="00A657AF">
            <w:pPr>
              <w:rPr>
                <w:color w:val="000000"/>
              </w:rPr>
            </w:pPr>
            <w:r>
              <w:rPr>
                <w:b/>
              </w:rPr>
              <w:t>Raising the profile in China of Australia’s excellence in the delivery of English language training</w:t>
            </w:r>
          </w:p>
          <w:p w:rsidR="001C03A9" w:rsidRDefault="001C03A9" w:rsidP="00440F2C">
            <w:r>
              <w:rPr>
                <w:color w:val="000000"/>
              </w:rPr>
              <w:t xml:space="preserve">The </w:t>
            </w:r>
            <w:r>
              <w:t>project will investigate the market drivers and conditions to develop a standalone English Language Intensive Course for Overseas Students (</w:t>
            </w:r>
            <w:proofErr w:type="spellStart"/>
            <w:r>
              <w:t>ELICOS</w:t>
            </w:r>
            <w:proofErr w:type="spellEnd"/>
            <w:r>
              <w:t xml:space="preserve">) market </w:t>
            </w:r>
            <w:r w:rsidR="00440F2C">
              <w:t>with</w:t>
            </w:r>
            <w:r>
              <w:t xml:space="preserve"> China encompassing both onshore recruitment and offshore delivery. The aim is to collect and analyse relevant data and market information with a view to expanding the breadth of, and diversifying, Australia’s China </w:t>
            </w:r>
            <w:proofErr w:type="spellStart"/>
            <w:r>
              <w:t>ELICOS</w:t>
            </w:r>
            <w:proofErr w:type="spellEnd"/>
            <w:r>
              <w:t xml:space="preserve"> market.</w:t>
            </w:r>
          </w:p>
        </w:tc>
        <w:tc>
          <w:tcPr>
            <w:tcW w:w="1523" w:type="dxa"/>
          </w:tcPr>
          <w:p w:rsidR="001C03A9" w:rsidRDefault="001C03A9">
            <w:r>
              <w:t>$150,000</w:t>
            </w:r>
          </w:p>
        </w:tc>
        <w:tc>
          <w:tcPr>
            <w:tcW w:w="1416" w:type="dxa"/>
          </w:tcPr>
          <w:p w:rsidR="001C03A9" w:rsidRDefault="001C03A9">
            <w:r>
              <w:t>-</w:t>
            </w:r>
          </w:p>
        </w:tc>
      </w:tr>
      <w:tr w:rsidR="001C03A9" w:rsidTr="00ED304A">
        <w:tc>
          <w:tcPr>
            <w:tcW w:w="1102" w:type="dxa"/>
          </w:tcPr>
          <w:p w:rsidR="001C03A9" w:rsidRDefault="001C03A9" w:rsidP="00A34EFB">
            <w:r>
              <w:t>2017/11</w:t>
            </w:r>
          </w:p>
          <w:p w:rsidR="001C03A9" w:rsidRDefault="001C03A9"/>
        </w:tc>
        <w:tc>
          <w:tcPr>
            <w:tcW w:w="2692" w:type="dxa"/>
          </w:tcPr>
          <w:p w:rsidR="001C03A9" w:rsidRDefault="001C03A9">
            <w:r w:rsidRPr="001C03A9">
              <w:t>Australia Indonesia Centre</w:t>
            </w:r>
          </w:p>
        </w:tc>
        <w:tc>
          <w:tcPr>
            <w:tcW w:w="7441" w:type="dxa"/>
          </w:tcPr>
          <w:p w:rsidR="001C03A9" w:rsidRDefault="00A657AF">
            <w:pPr>
              <w:rPr>
                <w:b/>
              </w:rPr>
            </w:pPr>
            <w:r w:rsidRPr="00A657AF">
              <w:rPr>
                <w:b/>
              </w:rPr>
              <w:t>Transforming Relations with Indonesia through Policy Collaboration</w:t>
            </w:r>
          </w:p>
          <w:p w:rsidR="00296A11" w:rsidRPr="00296A11" w:rsidRDefault="00296A11" w:rsidP="00A65480">
            <w:pPr>
              <w:spacing w:after="120"/>
              <w:contextualSpacing/>
            </w:pPr>
            <w:r>
              <w:t>Research will be commissioned to help the government in transforming relations with Indonesia through policy collaboration on education and training. The research will identify how Australia and Indonesia can reduce barriers to cooperation, and create new opportunities for Australian providers to help Indonesia meet its education and skills needs. It will also identify where Australia can share expertise in regulating and quality assuring educations systems with Indonesia, as its education and training needs change.  </w:t>
            </w:r>
          </w:p>
        </w:tc>
        <w:tc>
          <w:tcPr>
            <w:tcW w:w="1523" w:type="dxa"/>
          </w:tcPr>
          <w:p w:rsidR="001C03A9" w:rsidRDefault="001C03A9">
            <w:r>
              <w:t>$300,000</w:t>
            </w:r>
          </w:p>
        </w:tc>
        <w:tc>
          <w:tcPr>
            <w:tcW w:w="1416" w:type="dxa"/>
          </w:tcPr>
          <w:p w:rsidR="001C03A9" w:rsidRDefault="001C03A9">
            <w:r>
              <w:t>-</w:t>
            </w:r>
          </w:p>
        </w:tc>
      </w:tr>
      <w:tr w:rsidR="001C03A9" w:rsidTr="00ED304A">
        <w:tc>
          <w:tcPr>
            <w:tcW w:w="1102" w:type="dxa"/>
          </w:tcPr>
          <w:p w:rsidR="001C03A9" w:rsidRDefault="00ED304A" w:rsidP="00A34EFB">
            <w:r>
              <w:br w:type="page"/>
            </w:r>
            <w:r w:rsidR="001C03A9">
              <w:t>2017/12</w:t>
            </w:r>
          </w:p>
          <w:p w:rsidR="001C03A9" w:rsidRDefault="001C03A9"/>
        </w:tc>
        <w:tc>
          <w:tcPr>
            <w:tcW w:w="2692" w:type="dxa"/>
          </w:tcPr>
          <w:p w:rsidR="001C03A9" w:rsidRDefault="001C03A9">
            <w:r w:rsidRPr="001C03A9">
              <w:t>Australia India Institute</w:t>
            </w:r>
          </w:p>
        </w:tc>
        <w:tc>
          <w:tcPr>
            <w:tcW w:w="7441" w:type="dxa"/>
          </w:tcPr>
          <w:p w:rsidR="001C03A9" w:rsidRDefault="00A657AF">
            <w:pPr>
              <w:rPr>
                <w:b/>
              </w:rPr>
            </w:pPr>
            <w:r w:rsidRPr="00A657AF">
              <w:rPr>
                <w:b/>
              </w:rPr>
              <w:t>Strengthening Strategic Engagement with India</w:t>
            </w:r>
          </w:p>
          <w:p w:rsidR="00296A11" w:rsidRPr="00A657AF" w:rsidRDefault="00296A11" w:rsidP="00A65480">
            <w:pPr>
              <w:rPr>
                <w:b/>
              </w:rPr>
            </w:pPr>
            <w:r>
              <w:t>Research will be commissioned to identify new approaches to strengthen the education, training and research relationship between Australia and India. The research will help Australia’s education, training and research institutions to build stronger linkages with Indian counterparts and overcome market access barriers. It will also consider how Australian qualifications can become better known in India, to improve the job prospects for Australian and Australian-qualified Indian students in India.</w:t>
            </w:r>
          </w:p>
        </w:tc>
        <w:tc>
          <w:tcPr>
            <w:tcW w:w="1523" w:type="dxa"/>
          </w:tcPr>
          <w:p w:rsidR="001C03A9" w:rsidRDefault="001C03A9">
            <w:r>
              <w:t>$300,000</w:t>
            </w:r>
          </w:p>
        </w:tc>
        <w:tc>
          <w:tcPr>
            <w:tcW w:w="1416" w:type="dxa"/>
          </w:tcPr>
          <w:p w:rsidR="001C03A9" w:rsidRDefault="001C03A9">
            <w:r>
              <w:t>-</w:t>
            </w:r>
          </w:p>
        </w:tc>
      </w:tr>
      <w:tr w:rsidR="001C03A9" w:rsidRPr="00A34EFB" w:rsidTr="00ED304A">
        <w:tc>
          <w:tcPr>
            <w:tcW w:w="1102" w:type="dxa"/>
            <w:shd w:val="clear" w:color="auto" w:fill="7F7F7F" w:themeFill="text1" w:themeFillTint="80"/>
          </w:tcPr>
          <w:p w:rsidR="001C03A9" w:rsidRPr="00A34EFB" w:rsidRDefault="001C03A9" w:rsidP="00A34EFB">
            <w:pPr>
              <w:rPr>
                <w:b/>
                <w:color w:val="FFFFFF" w:themeColor="background1"/>
              </w:rPr>
            </w:pPr>
          </w:p>
        </w:tc>
        <w:tc>
          <w:tcPr>
            <w:tcW w:w="13072" w:type="dxa"/>
            <w:gridSpan w:val="4"/>
            <w:shd w:val="clear" w:color="auto" w:fill="7F7F7F" w:themeFill="text1" w:themeFillTint="80"/>
          </w:tcPr>
          <w:p w:rsidR="001C03A9" w:rsidRPr="00A34EFB" w:rsidRDefault="001C03A9" w:rsidP="00A34EFB">
            <w:pPr>
              <w:rPr>
                <w:b/>
                <w:color w:val="FFFFFF" w:themeColor="background1"/>
              </w:rPr>
            </w:pPr>
            <w:r w:rsidRPr="00A34EFB">
              <w:rPr>
                <w:b/>
                <w:color w:val="FFFFFF" w:themeColor="background1"/>
              </w:rPr>
              <w:t>Develop a nationally-consistent approach to marketing and branding of international education</w:t>
            </w:r>
          </w:p>
          <w:p w:rsidR="001C03A9" w:rsidRPr="00A34EFB" w:rsidRDefault="001C03A9">
            <w:pPr>
              <w:rPr>
                <w:b/>
                <w:color w:val="FFFFFF" w:themeColor="background1"/>
              </w:rPr>
            </w:pPr>
          </w:p>
        </w:tc>
      </w:tr>
      <w:tr w:rsidR="001C03A9" w:rsidTr="00ED304A">
        <w:tc>
          <w:tcPr>
            <w:tcW w:w="1102" w:type="dxa"/>
          </w:tcPr>
          <w:p w:rsidR="001C03A9" w:rsidRDefault="001C03A9" w:rsidP="00A34EFB">
            <w:r>
              <w:t>2017/01</w:t>
            </w:r>
          </w:p>
        </w:tc>
        <w:tc>
          <w:tcPr>
            <w:tcW w:w="2692" w:type="dxa"/>
          </w:tcPr>
          <w:p w:rsidR="001C03A9" w:rsidRPr="001C03A9" w:rsidRDefault="001C03A9" w:rsidP="00A34EFB">
            <w:r w:rsidRPr="001C03A9">
              <w:t>Austrade</w:t>
            </w:r>
          </w:p>
        </w:tc>
        <w:tc>
          <w:tcPr>
            <w:tcW w:w="7441" w:type="dxa"/>
          </w:tcPr>
          <w:p w:rsidR="001C03A9" w:rsidRPr="00CC319B" w:rsidRDefault="001C03A9" w:rsidP="00A34EFB">
            <w:pPr>
              <w:rPr>
                <w:b/>
              </w:rPr>
            </w:pPr>
            <w:r w:rsidRPr="00CC319B">
              <w:rPr>
                <w:b/>
              </w:rPr>
              <w:t>Strategic messaging framework</w:t>
            </w:r>
          </w:p>
          <w:p w:rsidR="001C03A9" w:rsidRDefault="001C03A9">
            <w:r>
              <w:t xml:space="preserve">This project will deliver a new messaging framework for use across Australia’s international education and training sector, and by all levels of government. The Framework will improve the quality and consistency of how Australia’s strengths are positioned internationally. </w:t>
            </w:r>
          </w:p>
        </w:tc>
        <w:tc>
          <w:tcPr>
            <w:tcW w:w="1523" w:type="dxa"/>
          </w:tcPr>
          <w:p w:rsidR="001C03A9" w:rsidRDefault="001C03A9">
            <w:r>
              <w:t>$150,000</w:t>
            </w:r>
          </w:p>
        </w:tc>
        <w:tc>
          <w:tcPr>
            <w:tcW w:w="1416" w:type="dxa"/>
          </w:tcPr>
          <w:p w:rsidR="001C03A9" w:rsidRDefault="001C03A9">
            <w:r>
              <w:t>$100,000</w:t>
            </w:r>
          </w:p>
        </w:tc>
      </w:tr>
    </w:tbl>
    <w:p w:rsidR="00ED304A" w:rsidRDefault="00ED304A">
      <w:r>
        <w:br w:type="page"/>
      </w:r>
    </w:p>
    <w:tbl>
      <w:tblPr>
        <w:tblStyle w:val="TableGrid"/>
        <w:tblW w:w="14174" w:type="dxa"/>
        <w:tblLook w:val="04A0" w:firstRow="1" w:lastRow="0" w:firstColumn="1" w:lastColumn="0" w:noHBand="0" w:noVBand="1"/>
      </w:tblPr>
      <w:tblGrid>
        <w:gridCol w:w="1102"/>
        <w:gridCol w:w="2692"/>
        <w:gridCol w:w="7441"/>
        <w:gridCol w:w="1523"/>
        <w:gridCol w:w="1416"/>
      </w:tblGrid>
      <w:tr w:rsidR="001C03A9" w:rsidTr="00ED304A">
        <w:tc>
          <w:tcPr>
            <w:tcW w:w="1102" w:type="dxa"/>
          </w:tcPr>
          <w:p w:rsidR="001C03A9" w:rsidRDefault="001C03A9" w:rsidP="00A34EFB">
            <w:r>
              <w:lastRenderedPageBreak/>
              <w:t>2017/02</w:t>
            </w:r>
          </w:p>
        </w:tc>
        <w:tc>
          <w:tcPr>
            <w:tcW w:w="2692" w:type="dxa"/>
          </w:tcPr>
          <w:p w:rsidR="001C03A9" w:rsidRPr="001C03A9" w:rsidRDefault="001C03A9" w:rsidP="00A34EFB">
            <w:r w:rsidRPr="001C03A9">
              <w:t>Austrade</w:t>
            </w:r>
          </w:p>
        </w:tc>
        <w:tc>
          <w:tcPr>
            <w:tcW w:w="7441" w:type="dxa"/>
          </w:tcPr>
          <w:p w:rsidR="001C03A9" w:rsidRPr="00CC319B" w:rsidRDefault="001C03A9" w:rsidP="00A34EFB">
            <w:pPr>
              <w:rPr>
                <w:b/>
              </w:rPr>
            </w:pPr>
            <w:r w:rsidRPr="00CC319B">
              <w:rPr>
                <w:b/>
              </w:rPr>
              <w:t>Digital experience gap analysis</w:t>
            </w:r>
          </w:p>
          <w:p w:rsidR="001C03A9" w:rsidRDefault="00A65480" w:rsidP="00A65480">
            <w:r>
              <w:t>The project will</w:t>
            </w:r>
            <w:r w:rsidR="001C03A9">
              <w:t xml:space="preserve"> analyse the range of digital channels targeted international students and education providers, how they relate to each other and how stakeholder’s engagement with them. The project will document the information currently provided through various channels and identify duplication and gaps. It will make recommendations regarding the future digital and information needs of international education across target markets including how this can information best be delivered. </w:t>
            </w:r>
          </w:p>
        </w:tc>
        <w:tc>
          <w:tcPr>
            <w:tcW w:w="1523" w:type="dxa"/>
          </w:tcPr>
          <w:p w:rsidR="001C03A9" w:rsidRDefault="001C03A9">
            <w:r>
              <w:t>$300,000</w:t>
            </w:r>
          </w:p>
        </w:tc>
        <w:tc>
          <w:tcPr>
            <w:tcW w:w="1416" w:type="dxa"/>
          </w:tcPr>
          <w:p w:rsidR="001C03A9" w:rsidRDefault="001C03A9">
            <w:r>
              <w:t>$200,000</w:t>
            </w:r>
          </w:p>
        </w:tc>
      </w:tr>
      <w:tr w:rsidR="001C03A9" w:rsidTr="00ED304A">
        <w:tc>
          <w:tcPr>
            <w:tcW w:w="1102" w:type="dxa"/>
          </w:tcPr>
          <w:p w:rsidR="001C03A9" w:rsidRDefault="001C03A9" w:rsidP="00A34EFB">
            <w:r>
              <w:t>2017/06</w:t>
            </w:r>
          </w:p>
        </w:tc>
        <w:tc>
          <w:tcPr>
            <w:tcW w:w="2692" w:type="dxa"/>
          </w:tcPr>
          <w:p w:rsidR="001C03A9" w:rsidRPr="001C03A9" w:rsidRDefault="001C03A9" w:rsidP="00A34EFB">
            <w:r w:rsidRPr="001C03A9">
              <w:t>Austrade</w:t>
            </w:r>
          </w:p>
        </w:tc>
        <w:tc>
          <w:tcPr>
            <w:tcW w:w="7441" w:type="dxa"/>
          </w:tcPr>
          <w:p w:rsidR="001C03A9" w:rsidRPr="00CC319B" w:rsidRDefault="001C03A9" w:rsidP="00A34EFB">
            <w:pPr>
              <w:rPr>
                <w:b/>
              </w:rPr>
            </w:pPr>
            <w:r w:rsidRPr="00CC319B">
              <w:rPr>
                <w:b/>
              </w:rPr>
              <w:t xml:space="preserve">Market </w:t>
            </w:r>
            <w:r>
              <w:rPr>
                <w:b/>
              </w:rPr>
              <w:t>action plans</w:t>
            </w:r>
            <w:r w:rsidRPr="00CC319B">
              <w:rPr>
                <w:b/>
              </w:rPr>
              <w:t xml:space="preserve"> </w:t>
            </w:r>
          </w:p>
          <w:p w:rsidR="001C03A9" w:rsidRPr="008E6870" w:rsidRDefault="007C3871" w:rsidP="00440F2C">
            <w:r w:rsidRPr="007C3871">
              <w:t xml:space="preserve">This project will establish a common framework to trial </w:t>
            </w:r>
            <w:r w:rsidR="00440F2C">
              <w:t>improved</w:t>
            </w:r>
            <w:r w:rsidRPr="007C3871">
              <w:t xml:space="preserve"> approaches to coordinating market development activities across Australian, state and territory governments, peak bodies</w:t>
            </w:r>
            <w:r w:rsidR="00440F2C">
              <w:t xml:space="preserve"> and providers</w:t>
            </w:r>
            <w:r w:rsidRPr="007C3871">
              <w:t>, in two to three markets.</w:t>
            </w:r>
          </w:p>
        </w:tc>
        <w:tc>
          <w:tcPr>
            <w:tcW w:w="1523" w:type="dxa"/>
          </w:tcPr>
          <w:p w:rsidR="001C03A9" w:rsidRDefault="001C03A9">
            <w:r>
              <w:t>$200,000</w:t>
            </w:r>
          </w:p>
        </w:tc>
        <w:tc>
          <w:tcPr>
            <w:tcW w:w="1416" w:type="dxa"/>
          </w:tcPr>
          <w:p w:rsidR="001C03A9" w:rsidRDefault="001C03A9">
            <w:r>
              <w:t>$100,000</w:t>
            </w:r>
          </w:p>
        </w:tc>
      </w:tr>
      <w:tr w:rsidR="001C03A9" w:rsidRPr="00A34EFB" w:rsidTr="00ED304A">
        <w:tc>
          <w:tcPr>
            <w:tcW w:w="1102" w:type="dxa"/>
            <w:shd w:val="clear" w:color="auto" w:fill="7F7F7F" w:themeFill="text1" w:themeFillTint="80"/>
          </w:tcPr>
          <w:p w:rsidR="001C03A9" w:rsidRPr="00CC319B" w:rsidRDefault="001C03A9" w:rsidP="009B1A65">
            <w:pPr>
              <w:rPr>
                <w:b/>
                <w:color w:val="FFFFFF" w:themeColor="background1"/>
              </w:rPr>
            </w:pPr>
          </w:p>
        </w:tc>
        <w:tc>
          <w:tcPr>
            <w:tcW w:w="13072" w:type="dxa"/>
            <w:gridSpan w:val="4"/>
            <w:shd w:val="clear" w:color="auto" w:fill="7F7F7F" w:themeFill="text1" w:themeFillTint="80"/>
          </w:tcPr>
          <w:p w:rsidR="001C03A9" w:rsidRPr="00CC319B" w:rsidRDefault="001C03A9" w:rsidP="009B1A65">
            <w:pPr>
              <w:rPr>
                <w:b/>
                <w:color w:val="FFFFFF" w:themeColor="background1"/>
              </w:rPr>
            </w:pPr>
            <w:r w:rsidRPr="00CC319B">
              <w:rPr>
                <w:b/>
                <w:color w:val="FFFFFF" w:themeColor="background1"/>
              </w:rPr>
              <w:t>Communicate the benefits of international education to the Australian community</w:t>
            </w:r>
          </w:p>
        </w:tc>
      </w:tr>
      <w:tr w:rsidR="001C03A9" w:rsidTr="00ED304A">
        <w:tc>
          <w:tcPr>
            <w:tcW w:w="1102" w:type="dxa"/>
          </w:tcPr>
          <w:p w:rsidR="001C03A9" w:rsidRDefault="001C03A9" w:rsidP="009B1A65">
            <w:r>
              <w:t>2017/13</w:t>
            </w:r>
          </w:p>
          <w:p w:rsidR="001C03A9" w:rsidRDefault="001C03A9" w:rsidP="009B1A65"/>
        </w:tc>
        <w:tc>
          <w:tcPr>
            <w:tcW w:w="2692" w:type="dxa"/>
          </w:tcPr>
          <w:p w:rsidR="001C03A9" w:rsidRPr="001C03A9" w:rsidRDefault="001C03A9" w:rsidP="002102B7">
            <w:r w:rsidRPr="001C03A9">
              <w:t>International Education Association of Australia</w:t>
            </w:r>
          </w:p>
        </w:tc>
        <w:tc>
          <w:tcPr>
            <w:tcW w:w="7441" w:type="dxa"/>
          </w:tcPr>
          <w:p w:rsidR="001C03A9" w:rsidRDefault="001C03A9" w:rsidP="002102B7">
            <w:pPr>
              <w:rPr>
                <w:b/>
              </w:rPr>
            </w:pPr>
            <w:r w:rsidRPr="00CC319B">
              <w:rPr>
                <w:b/>
              </w:rPr>
              <w:t>Building and strengthening support for international education in Australia</w:t>
            </w:r>
          </w:p>
          <w:p w:rsidR="001C03A9" w:rsidRDefault="001C03A9" w:rsidP="002102B7">
            <w:r>
              <w:t>This project will build and strengthen support for international education in Australia through targeted engagement with industry and communities, and the development of a toolkit to assist in raising the profile of international education into the future.</w:t>
            </w:r>
          </w:p>
        </w:tc>
        <w:tc>
          <w:tcPr>
            <w:tcW w:w="1523" w:type="dxa"/>
          </w:tcPr>
          <w:p w:rsidR="001C03A9" w:rsidRDefault="001C03A9" w:rsidP="009B1A65">
            <w:r>
              <w:t>$100,000</w:t>
            </w:r>
          </w:p>
        </w:tc>
        <w:tc>
          <w:tcPr>
            <w:tcW w:w="1416" w:type="dxa"/>
          </w:tcPr>
          <w:p w:rsidR="001C03A9" w:rsidRDefault="001C03A9" w:rsidP="009B1A65">
            <w:r>
              <w:t>-</w:t>
            </w:r>
          </w:p>
        </w:tc>
      </w:tr>
      <w:tr w:rsidR="001C03A9" w:rsidRPr="00CC319B" w:rsidTr="00ED304A">
        <w:tc>
          <w:tcPr>
            <w:tcW w:w="1102" w:type="dxa"/>
            <w:shd w:val="clear" w:color="auto" w:fill="7F7F7F" w:themeFill="text1" w:themeFillTint="80"/>
          </w:tcPr>
          <w:p w:rsidR="001C03A9" w:rsidRPr="00CC319B" w:rsidRDefault="001C03A9" w:rsidP="00A34EFB">
            <w:pPr>
              <w:rPr>
                <w:b/>
                <w:color w:val="FFFFFF" w:themeColor="background1"/>
              </w:rPr>
            </w:pPr>
          </w:p>
        </w:tc>
        <w:tc>
          <w:tcPr>
            <w:tcW w:w="2692" w:type="dxa"/>
            <w:shd w:val="clear" w:color="auto" w:fill="7F7F7F" w:themeFill="text1" w:themeFillTint="80"/>
          </w:tcPr>
          <w:p w:rsidR="001C03A9" w:rsidRPr="00CC319B" w:rsidRDefault="001C03A9" w:rsidP="00CC319B">
            <w:pPr>
              <w:jc w:val="right"/>
              <w:rPr>
                <w:b/>
                <w:color w:val="FFFFFF" w:themeColor="background1"/>
              </w:rPr>
            </w:pPr>
          </w:p>
        </w:tc>
        <w:tc>
          <w:tcPr>
            <w:tcW w:w="7441" w:type="dxa"/>
            <w:shd w:val="clear" w:color="auto" w:fill="7F7F7F" w:themeFill="text1" w:themeFillTint="80"/>
          </w:tcPr>
          <w:p w:rsidR="001C03A9" w:rsidRPr="00CC319B" w:rsidRDefault="001C03A9" w:rsidP="00CC319B">
            <w:pPr>
              <w:jc w:val="right"/>
              <w:rPr>
                <w:b/>
                <w:color w:val="FFFFFF" w:themeColor="background1"/>
              </w:rPr>
            </w:pPr>
            <w:r w:rsidRPr="00CC319B">
              <w:rPr>
                <w:b/>
                <w:color w:val="FFFFFF" w:themeColor="background1"/>
              </w:rPr>
              <w:t>Total funding</w:t>
            </w:r>
          </w:p>
        </w:tc>
        <w:tc>
          <w:tcPr>
            <w:tcW w:w="1523" w:type="dxa"/>
            <w:shd w:val="clear" w:color="auto" w:fill="7F7F7F" w:themeFill="text1" w:themeFillTint="80"/>
          </w:tcPr>
          <w:p w:rsidR="001C03A9" w:rsidRPr="00CC319B" w:rsidRDefault="0079726F">
            <w:pPr>
              <w:rPr>
                <w:b/>
                <w:color w:val="FFFFFF" w:themeColor="background1"/>
              </w:rPr>
            </w:pPr>
            <w:r>
              <w:rPr>
                <w:b/>
                <w:color w:val="FFFFFF" w:themeColor="background1"/>
              </w:rPr>
              <w:t>$2,70</w:t>
            </w:r>
            <w:r w:rsidR="001C03A9" w:rsidRPr="00CC319B">
              <w:rPr>
                <w:b/>
                <w:color w:val="FFFFFF" w:themeColor="background1"/>
              </w:rPr>
              <w:t>5,000</w:t>
            </w:r>
          </w:p>
        </w:tc>
        <w:tc>
          <w:tcPr>
            <w:tcW w:w="1416" w:type="dxa"/>
            <w:shd w:val="clear" w:color="auto" w:fill="7F7F7F" w:themeFill="text1" w:themeFillTint="80"/>
          </w:tcPr>
          <w:p w:rsidR="001C03A9" w:rsidRPr="00CC319B" w:rsidRDefault="001C03A9">
            <w:pPr>
              <w:rPr>
                <w:b/>
                <w:color w:val="FFFFFF" w:themeColor="background1"/>
              </w:rPr>
            </w:pPr>
            <w:r w:rsidRPr="00CC319B">
              <w:rPr>
                <w:b/>
                <w:color w:val="FFFFFF" w:themeColor="background1"/>
              </w:rPr>
              <w:t>$915,000</w:t>
            </w:r>
          </w:p>
        </w:tc>
      </w:tr>
    </w:tbl>
    <w:p w:rsidR="00DF4D22" w:rsidRDefault="00DF4D22" w:rsidP="000A5C8C">
      <w:bookmarkStart w:id="0" w:name="_GoBack"/>
      <w:bookmarkEnd w:id="0"/>
    </w:p>
    <w:sectPr w:rsidR="00DF4D22" w:rsidSect="00ED304A">
      <w:headerReference w:type="default" r:id="rId8"/>
      <w:footerReference w:type="default" r:id="rId9"/>
      <w:pgSz w:w="16838" w:h="11906" w:orient="landscape"/>
      <w:pgMar w:top="1440" w:right="1440" w:bottom="993" w:left="1440"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6AD" w:rsidRDefault="00E536AD" w:rsidP="00E536AD">
      <w:pPr>
        <w:spacing w:after="0" w:line="240" w:lineRule="auto"/>
      </w:pPr>
      <w:r>
        <w:separator/>
      </w:r>
    </w:p>
  </w:endnote>
  <w:endnote w:type="continuationSeparator" w:id="0">
    <w:p w:rsidR="00E536AD" w:rsidRDefault="00E536AD" w:rsidP="00E53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6AD" w:rsidRDefault="00ED304A" w:rsidP="00DF4D22">
    <w:pPr>
      <w:pStyle w:val="Footer"/>
      <w:jc w:val="right"/>
    </w:pPr>
    <w:r>
      <w:t xml:space="preserve">Page </w:t>
    </w:r>
    <w:r>
      <w:fldChar w:fldCharType="begin"/>
    </w:r>
    <w:r>
      <w:instrText xml:space="preserve"> PAGE   \* MERGEFORMAT </w:instrText>
    </w:r>
    <w:r>
      <w:fldChar w:fldCharType="separate"/>
    </w:r>
    <w:r w:rsidR="00E65A2C">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6AD" w:rsidRDefault="00E536AD" w:rsidP="00E536AD">
      <w:pPr>
        <w:spacing w:after="0" w:line="240" w:lineRule="auto"/>
      </w:pPr>
      <w:r>
        <w:separator/>
      </w:r>
    </w:p>
  </w:footnote>
  <w:footnote w:type="continuationSeparator" w:id="0">
    <w:p w:rsidR="00E536AD" w:rsidRDefault="00E536AD" w:rsidP="00E536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04A" w:rsidRDefault="00ED304A" w:rsidP="00ED304A">
    <w:pPr>
      <w:pStyle w:val="Header"/>
    </w:pPr>
    <w:r>
      <w:rPr>
        <w:noProof/>
        <w:lang w:eastAsia="en-AU"/>
      </w:rPr>
      <w:drawing>
        <wp:inline distT="0" distB="0" distL="0" distR="0" wp14:anchorId="45BC16F3" wp14:editId="5BC93F0B">
          <wp:extent cx="2252345" cy="4039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Department of Education"/>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2345" cy="403915"/>
                  </a:xfrm>
                  <a:prstGeom prst="rect">
                    <a:avLst/>
                  </a:prstGeom>
                </pic:spPr>
              </pic:pic>
            </a:graphicData>
          </a:graphic>
        </wp:inline>
      </w:drawing>
    </w:r>
    <w:r>
      <w:t xml:space="preserve">  </w:t>
    </w:r>
  </w:p>
  <w:p w:rsidR="00E536AD" w:rsidRPr="00ED304A" w:rsidRDefault="00ED304A" w:rsidP="00ED304A">
    <w:pPr>
      <w:pStyle w:val="Header"/>
      <w:jc w:val="center"/>
      <w:rPr>
        <w:b/>
        <w:sz w:val="28"/>
      </w:rPr>
    </w:pPr>
    <w:r w:rsidRPr="00ED304A">
      <w:rPr>
        <w:b/>
        <w:sz w:val="28"/>
      </w:rPr>
      <w:t>Australian International Education: Enabling Growth and Innovation</w:t>
    </w:r>
  </w:p>
  <w:p w:rsidR="00E536AD" w:rsidRDefault="00ED304A" w:rsidP="00ED304A">
    <w:pPr>
      <w:pStyle w:val="Header"/>
      <w:jc w:val="center"/>
    </w:pPr>
    <w:r w:rsidRPr="00ED304A">
      <w:rPr>
        <w:b/>
        <w:sz w:val="28"/>
      </w:rPr>
      <w:t>2016-17 funding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4A90"/>
    <w:multiLevelType w:val="hybridMultilevel"/>
    <w:tmpl w:val="8E000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F74928"/>
    <w:multiLevelType w:val="hybridMultilevel"/>
    <w:tmpl w:val="8C2AA8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50423D7E"/>
    <w:multiLevelType w:val="hybridMultilevel"/>
    <w:tmpl w:val="B0261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2EB599E"/>
    <w:multiLevelType w:val="hybridMultilevel"/>
    <w:tmpl w:val="F3FEDDD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9C"/>
    <w:rsid w:val="000A5C8C"/>
    <w:rsid w:val="001C03A9"/>
    <w:rsid w:val="0020224B"/>
    <w:rsid w:val="00202B57"/>
    <w:rsid w:val="002102B7"/>
    <w:rsid w:val="00296A11"/>
    <w:rsid w:val="002B1CA7"/>
    <w:rsid w:val="003850AD"/>
    <w:rsid w:val="00440F2C"/>
    <w:rsid w:val="00534FAC"/>
    <w:rsid w:val="00535807"/>
    <w:rsid w:val="0056500F"/>
    <w:rsid w:val="005C1D09"/>
    <w:rsid w:val="005F7D65"/>
    <w:rsid w:val="00630A4A"/>
    <w:rsid w:val="00646E9C"/>
    <w:rsid w:val="00674A21"/>
    <w:rsid w:val="0079726F"/>
    <w:rsid w:val="007B6876"/>
    <w:rsid w:val="007C3871"/>
    <w:rsid w:val="0083615A"/>
    <w:rsid w:val="0087029A"/>
    <w:rsid w:val="008E4671"/>
    <w:rsid w:val="008E6870"/>
    <w:rsid w:val="009422C1"/>
    <w:rsid w:val="00954CCC"/>
    <w:rsid w:val="009E1282"/>
    <w:rsid w:val="00A34815"/>
    <w:rsid w:val="00A34EFB"/>
    <w:rsid w:val="00A65480"/>
    <w:rsid w:val="00A657AF"/>
    <w:rsid w:val="00A9346D"/>
    <w:rsid w:val="00B0554B"/>
    <w:rsid w:val="00B62A0F"/>
    <w:rsid w:val="00BC649F"/>
    <w:rsid w:val="00C36773"/>
    <w:rsid w:val="00CC319B"/>
    <w:rsid w:val="00D41810"/>
    <w:rsid w:val="00DF4D22"/>
    <w:rsid w:val="00E536AD"/>
    <w:rsid w:val="00E65A2C"/>
    <w:rsid w:val="00ED304A"/>
    <w:rsid w:val="00F44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List Paragraph1,List Paragraph11,Recommendation,List Paragraph Number,Bulletr List Paragraph,Content descriptions,FooterText,L,List Paragraph2,List Paragraph21,NFP GP Bulleted List,Paragraphe de liste1,numbered,列出段落,列出段落1,列出"/>
    <w:basedOn w:val="Normal"/>
    <w:link w:val="ListParagraphChar"/>
    <w:uiPriority w:val="34"/>
    <w:qFormat/>
    <w:rsid w:val="008E6870"/>
    <w:pPr>
      <w:adjustRightInd w:val="0"/>
      <w:snapToGrid w:val="0"/>
      <w:spacing w:after="120" w:line="280" w:lineRule="atLeast"/>
      <w:ind w:left="720"/>
      <w:contextualSpacing/>
    </w:pPr>
    <w:rPr>
      <w:rFonts w:ascii="Arial" w:eastAsia="MS Mincho" w:hAnsi="Arial" w:cs="Times New Roman"/>
      <w:color w:val="1F497D" w:themeColor="text2"/>
      <w:sz w:val="20"/>
      <w:szCs w:val="20"/>
      <w:lang w:eastAsia="ja-JP"/>
    </w:rPr>
  </w:style>
  <w:style w:type="character" w:customStyle="1" w:styleId="ListParagraphChar">
    <w:name w:val="List Paragraph Char"/>
    <w:aliases w:val="Bullet point Char,List Paragraph1 Char,List Paragraph11 Char,Recommendation Char,List Paragraph Number Char,Bulletr List Paragraph Char,Content descriptions Char,FooterText Char,L Char,List Paragraph2 Char,List Paragraph21 Char"/>
    <w:link w:val="ListParagraph"/>
    <w:uiPriority w:val="34"/>
    <w:qFormat/>
    <w:locked/>
    <w:rsid w:val="000A5C8C"/>
    <w:rPr>
      <w:rFonts w:ascii="Arial" w:eastAsia="MS Mincho" w:hAnsi="Arial" w:cs="Times New Roman"/>
      <w:color w:val="1F497D" w:themeColor="text2"/>
      <w:sz w:val="20"/>
      <w:szCs w:val="20"/>
      <w:lang w:eastAsia="ja-JP"/>
    </w:rPr>
  </w:style>
  <w:style w:type="table" w:styleId="TableGrid">
    <w:name w:val="Table Grid"/>
    <w:basedOn w:val="TableNormal"/>
    <w:uiPriority w:val="59"/>
    <w:rsid w:val="00D41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54B"/>
    <w:rPr>
      <w:rFonts w:ascii="Tahoma" w:hAnsi="Tahoma" w:cs="Tahoma"/>
      <w:sz w:val="16"/>
      <w:szCs w:val="16"/>
    </w:rPr>
  </w:style>
  <w:style w:type="paragraph" w:styleId="Header">
    <w:name w:val="header"/>
    <w:basedOn w:val="Normal"/>
    <w:link w:val="HeaderChar"/>
    <w:uiPriority w:val="99"/>
    <w:unhideWhenUsed/>
    <w:rsid w:val="00E53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6AD"/>
  </w:style>
  <w:style w:type="paragraph" w:styleId="Footer">
    <w:name w:val="footer"/>
    <w:basedOn w:val="Normal"/>
    <w:link w:val="FooterChar"/>
    <w:uiPriority w:val="99"/>
    <w:unhideWhenUsed/>
    <w:rsid w:val="00E53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List Paragraph1,List Paragraph11,Recommendation,List Paragraph Number,Bulletr List Paragraph,Content descriptions,FooterText,L,List Paragraph2,List Paragraph21,NFP GP Bulleted List,Paragraphe de liste1,numbered,列出段落,列出段落1,列出"/>
    <w:basedOn w:val="Normal"/>
    <w:link w:val="ListParagraphChar"/>
    <w:uiPriority w:val="34"/>
    <w:qFormat/>
    <w:rsid w:val="008E6870"/>
    <w:pPr>
      <w:adjustRightInd w:val="0"/>
      <w:snapToGrid w:val="0"/>
      <w:spacing w:after="120" w:line="280" w:lineRule="atLeast"/>
      <w:ind w:left="720"/>
      <w:contextualSpacing/>
    </w:pPr>
    <w:rPr>
      <w:rFonts w:ascii="Arial" w:eastAsia="MS Mincho" w:hAnsi="Arial" w:cs="Times New Roman"/>
      <w:color w:val="1F497D" w:themeColor="text2"/>
      <w:sz w:val="20"/>
      <w:szCs w:val="20"/>
      <w:lang w:eastAsia="ja-JP"/>
    </w:rPr>
  </w:style>
  <w:style w:type="character" w:customStyle="1" w:styleId="ListParagraphChar">
    <w:name w:val="List Paragraph Char"/>
    <w:aliases w:val="Bullet point Char,List Paragraph1 Char,List Paragraph11 Char,Recommendation Char,List Paragraph Number Char,Bulletr List Paragraph Char,Content descriptions Char,FooterText Char,L Char,List Paragraph2 Char,List Paragraph21 Char"/>
    <w:link w:val="ListParagraph"/>
    <w:uiPriority w:val="34"/>
    <w:qFormat/>
    <w:locked/>
    <w:rsid w:val="000A5C8C"/>
    <w:rPr>
      <w:rFonts w:ascii="Arial" w:eastAsia="MS Mincho" w:hAnsi="Arial" w:cs="Times New Roman"/>
      <w:color w:val="1F497D" w:themeColor="text2"/>
      <w:sz w:val="20"/>
      <w:szCs w:val="20"/>
      <w:lang w:eastAsia="ja-JP"/>
    </w:rPr>
  </w:style>
  <w:style w:type="table" w:styleId="TableGrid">
    <w:name w:val="Table Grid"/>
    <w:basedOn w:val="TableNormal"/>
    <w:uiPriority w:val="59"/>
    <w:rsid w:val="00D41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54B"/>
    <w:rPr>
      <w:rFonts w:ascii="Tahoma" w:hAnsi="Tahoma" w:cs="Tahoma"/>
      <w:sz w:val="16"/>
      <w:szCs w:val="16"/>
    </w:rPr>
  </w:style>
  <w:style w:type="paragraph" w:styleId="Header">
    <w:name w:val="header"/>
    <w:basedOn w:val="Normal"/>
    <w:link w:val="HeaderChar"/>
    <w:uiPriority w:val="99"/>
    <w:unhideWhenUsed/>
    <w:rsid w:val="00E53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6AD"/>
  </w:style>
  <w:style w:type="paragraph" w:styleId="Footer">
    <w:name w:val="footer"/>
    <w:basedOn w:val="Normal"/>
    <w:link w:val="FooterChar"/>
    <w:uiPriority w:val="99"/>
    <w:unhideWhenUsed/>
    <w:rsid w:val="00E53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7913">
      <w:bodyDiv w:val="1"/>
      <w:marLeft w:val="0"/>
      <w:marRight w:val="0"/>
      <w:marTop w:val="0"/>
      <w:marBottom w:val="0"/>
      <w:divBdr>
        <w:top w:val="none" w:sz="0" w:space="0" w:color="auto"/>
        <w:left w:val="none" w:sz="0" w:space="0" w:color="auto"/>
        <w:bottom w:val="none" w:sz="0" w:space="0" w:color="auto"/>
        <w:right w:val="none" w:sz="0" w:space="0" w:color="auto"/>
      </w:divBdr>
    </w:div>
    <w:div w:id="323166680">
      <w:bodyDiv w:val="1"/>
      <w:marLeft w:val="0"/>
      <w:marRight w:val="0"/>
      <w:marTop w:val="0"/>
      <w:marBottom w:val="0"/>
      <w:divBdr>
        <w:top w:val="none" w:sz="0" w:space="0" w:color="auto"/>
        <w:left w:val="none" w:sz="0" w:space="0" w:color="auto"/>
        <w:bottom w:val="none" w:sz="0" w:space="0" w:color="auto"/>
        <w:right w:val="none" w:sz="0" w:space="0" w:color="auto"/>
      </w:divBdr>
    </w:div>
    <w:div w:id="412355155">
      <w:bodyDiv w:val="1"/>
      <w:marLeft w:val="0"/>
      <w:marRight w:val="0"/>
      <w:marTop w:val="0"/>
      <w:marBottom w:val="0"/>
      <w:divBdr>
        <w:top w:val="none" w:sz="0" w:space="0" w:color="auto"/>
        <w:left w:val="none" w:sz="0" w:space="0" w:color="auto"/>
        <w:bottom w:val="none" w:sz="0" w:space="0" w:color="auto"/>
        <w:right w:val="none" w:sz="0" w:space="0" w:color="auto"/>
      </w:divBdr>
    </w:div>
    <w:div w:id="943071862">
      <w:bodyDiv w:val="1"/>
      <w:marLeft w:val="0"/>
      <w:marRight w:val="0"/>
      <w:marTop w:val="0"/>
      <w:marBottom w:val="0"/>
      <w:divBdr>
        <w:top w:val="none" w:sz="0" w:space="0" w:color="auto"/>
        <w:left w:val="none" w:sz="0" w:space="0" w:color="auto"/>
        <w:bottom w:val="none" w:sz="0" w:space="0" w:color="auto"/>
        <w:right w:val="none" w:sz="0" w:space="0" w:color="auto"/>
      </w:divBdr>
    </w:div>
    <w:div w:id="14600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5B104AA254C408140A94A68F34674" ma:contentTypeVersion="2" ma:contentTypeDescription="Create a new document." ma:contentTypeScope="" ma:versionID="34cc4b3018f9620ce94ed18133e0941e">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0390D5-C12E-4877-948A-652F68828248}"/>
</file>

<file path=customXml/itemProps2.xml><?xml version="1.0" encoding="utf-8"?>
<ds:datastoreItem xmlns:ds="http://schemas.openxmlformats.org/officeDocument/2006/customXml" ds:itemID="{DA0478FE-9D91-4366-99EC-2A0C9CF7F44B}"/>
</file>

<file path=customXml/itemProps3.xml><?xml version="1.0" encoding="utf-8"?>
<ds:datastoreItem xmlns:ds="http://schemas.openxmlformats.org/officeDocument/2006/customXml" ds:itemID="{58528764-4481-41BB-A991-725F2CF20034}"/>
</file>

<file path=docProps/app.xml><?xml version="1.0" encoding="utf-8"?>
<Properties xmlns="http://schemas.openxmlformats.org/officeDocument/2006/extended-properties" xmlns:vt="http://schemas.openxmlformats.org/officeDocument/2006/docPropsVTypes">
  <Template>34749C65.dotm</Template>
  <TotalTime>477</TotalTime>
  <Pages>5</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Moon</dc:creator>
  <cp:lastModifiedBy>Amy Moon</cp:lastModifiedBy>
  <cp:revision>24</cp:revision>
  <cp:lastPrinted>2017-07-13T00:54:00Z</cp:lastPrinted>
  <dcterms:created xsi:type="dcterms:W3CDTF">2017-05-16T05:01:00Z</dcterms:created>
  <dcterms:modified xsi:type="dcterms:W3CDTF">2017-07-13T00:55:00Z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0x01010030E5B104AA254C408140A94A68F34674</vt:lpwstr>
  </property>
  <property fmtid="{D5CDD505-2E9C-101B-9397-08002B2CF9AE}" pid="3" name="Order">
    <vt:r8>1900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